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新細明體"/>
          <w:b/>
          <w:sz w:val="36"/>
        </w:rPr>
        <w:t>企業水管理與廢棄物管理對成本黏性之影響</w:t>
      </w:r>
    </w:p>
    <w:p>
      <w:pPr>
        <w:jc w:val="center"/>
      </w:pPr>
      <w:r>
        <w:rPr>
          <w:rFonts w:ascii="Times New Roman" w:hAnsi="Times New Roman" w:eastAsia="新細明體"/>
          <w:sz w:val="26"/>
        </w:rPr>
        <w:t>——以台灣上市櫃製造業之環境績效與資訊揭露為例</w:t>
      </w:r>
    </w:p>
    <w:p/>
    <w:p>
      <w:pPr>
        <w:pStyle w:val="Heading1"/>
      </w:pPr>
      <w:r>
        <w:rPr>
          <w:rFonts w:ascii="Times New Roman" w:hAnsi="Times New Roman" w:eastAsia="新細明體"/>
        </w:rPr>
        <w:t>中文摘要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本研究探討企業水管理績效（水回收率）與水資訊揭露對成本黏性（cost stickiness）的影響。以台灣上市櫃製造業（排除金融保險業）2014至2024年資料為樣本，採 Anderson, Banker and Janakiraman（2003）成本黏性模型，在營業費用變動對營收變動的敏感度中，加入收入下降虛擬變數與水管理變數之三重交乘，並控制產業與年份固定效果、以公司叢集穩健標準誤估計。為捕捉水管理投資之遞延效益，另將核心水變數遞延一至兩期，並依產業耗水程度進行高／低耗水子樣本檢定。實證發現：樣本整體存在顯著的成本黏性（β2 顯著為負）；納入時間落差與產業異質性後，部分設定下水管理之調節效果達統計顯著，顯示水管理對成本黏性的影響具遞延性與產業依存性。主要顯著結果包括：廢棄物密集度·高耗水·t-1：β3=-0.0503*（負向）；廢棄物密集度·低耗水·t-0：β3=0.0352*（正向）；廢棄物罰鍰·高耗水·t-1：β3=-0.0032***（負向）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關鍵詞：水管理、水資訊揭露、成本黏性、水回收率、TESG、固定效果模型</w:t>
      </w:r>
    </w:p>
    <w:p>
      <w:pPr>
        <w:pStyle w:val="Heading1"/>
      </w:pPr>
      <w:r>
        <w:rPr>
          <w:rFonts w:ascii="Times New Roman" w:hAnsi="Times New Roman" w:eastAsia="新細明體"/>
        </w:rPr>
        <w:t>Abstract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This study examines how corporate water-management performance (water recycling rate) and water-information disclosure affect cost stickiness. Using Taiwanese listed manufacturing firms (excluding financials) from 2014 to 2024 and the Anderson, Banker and Janakiraman (2003) framework, we add triple interactions of a revenue-decrease dummy with water measures, controlling for industry and year fixed effects with firm-clustered robust standard errors, with lagged water measures (t-1, t-2) and high/low water-use industry subsamples. We find significant overall cost stickiness. After incorporating time-lag and industry heterogeneity, the moderating effect of water management on cost stickiness becomes significant in some specifications, indicating lagged and industry-dependent effects.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Keywords: water management, water disclosure, cost stickiness, water recycling rate, TESG, fixed-effects model</w:t>
      </w:r>
    </w:p>
    <w:p>
      <w:pPr>
        <w:pStyle w:val="Heading1"/>
      </w:pPr>
      <w:r>
        <w:rPr>
          <w:rFonts w:ascii="Times New Roman" w:hAnsi="Times New Roman" w:eastAsia="新細明體"/>
        </w:rPr>
        <w:t>第一章 緒論</w:t>
      </w:r>
    </w:p>
    <w:p>
      <w:pPr>
        <w:pStyle w:val="Heading2"/>
      </w:pPr>
      <w:r>
        <w:rPr>
          <w:rFonts w:ascii="Times New Roman" w:hAnsi="Times New Roman" w:eastAsia="新細明體"/>
        </w:rPr>
        <w:t>第一節 研究背景與動機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在氣候變遷與永續發展趨勢下，水資源已成為企業環境管理的核心議題之一。水資源的取得、循環與回收不僅牽動生產成本，也影響企業面對營運波動時的資源調整彈性。成本黏性描述企業在營收下降時，成本向下調整的幅度小於營收上升時向上調整幅度的現象，其根源在於管理者的資源調整決策與調整成本。水資源相關投資（如廢水處理與循環系統）通常具高投入、長週期的特性，可能改變企業面臨需求衰退時的資源調整行為，因而與成本黏性產生連結。</w:t>
      </w:r>
    </w:p>
    <w:p>
      <w:pPr>
        <w:pStyle w:val="Heading2"/>
      </w:pPr>
      <w:r>
        <w:rPr>
          <w:rFonts w:ascii="Times New Roman" w:hAnsi="Times New Roman" w:eastAsia="新細明體"/>
        </w:rPr>
        <w:t>第二節 研究目的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本研究以台灣製造業為對象，分別從「實質績效」與「資訊透明度」兩個維度，檢視（一）水回收率是否影響成本黏性；（二）水資訊揭露是否影響成本黏性，以釐清水管理在企業成本調整行為中的角色。</w:t>
      </w:r>
    </w:p>
    <w:p>
      <w:pPr>
        <w:pStyle w:val="Heading1"/>
      </w:pPr>
      <w:r>
        <w:rPr>
          <w:rFonts w:ascii="Times New Roman" w:hAnsi="Times New Roman" w:eastAsia="新細明體"/>
        </w:rPr>
        <w:t>第二章 文獻探討與假說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成本黏性文獻自 Anderson et al.（2003）以降，普遍以調整成本與管理者決策解釋成本的非對稱行為。近期研究進一步將環境與永續因素納入。Zeng, Peng and Chan 探討低碳城市政策透過綠色創新與融資限制影響成本黏性；Jiang and Yang（2024, Economics Letters）則檢視 ESG 揭露透過供應鏈關係與資訊透明度影響成本黏性。本研究延伸此一脈絡，聚焦於「水」此一具體環境構面。</w:t>
      </w:r>
    </w:p>
    <w:p>
      <w:pPr>
        <w:pStyle w:val="Heading2"/>
      </w:pPr>
      <w:r>
        <w:rPr>
          <w:rFonts w:ascii="Times New Roman" w:hAnsi="Times New Roman" w:eastAsia="新細明體"/>
        </w:rPr>
        <w:t>第一節 水管理績效與成本黏性（H1）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提升水回收率通常需長期投入專用資產與人力，屬高風險、長週期之綠色投資。當營收下降時，管理者不易削減此類專用資源，閒置資源被保留，進而推升成本黏性。據此提出：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H1：企業水回收率越高，其成本黏性越大（模型中 β3 預期顯著為負）。</w:t>
      </w:r>
    </w:p>
    <w:p>
      <w:pPr>
        <w:pStyle w:val="Heading2"/>
      </w:pPr>
      <w:r>
        <w:rPr>
          <w:rFonts w:ascii="Times New Roman" w:hAnsi="Times New Roman" w:eastAsia="新細明體"/>
        </w:rPr>
        <w:t>第二節 水資訊揭露與成本黏性（H2）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主動揭露水資源管理資料代表較高的環境資訊透明度，有助於矯正管理者的過度樂觀預期與代理問題；當營收下降時，透明度高的企業較能果斷調整閒置資源，從而降低成本黏性。據此提出：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H2：相較未揭露者，有揭露水管理資訊的企業其成本黏性較低（模型中 β3 預期顯著為正）。</w:t>
      </w:r>
    </w:p>
    <w:p>
      <w:pPr>
        <w:pStyle w:val="Heading2"/>
      </w:pPr>
      <w:r>
        <w:rPr>
          <w:rFonts w:ascii="Times New Roman" w:hAnsi="Times New Roman" w:eastAsia="新細明體"/>
        </w:rPr>
        <w:t>第三節 廢棄物管理與成本黏性（H3–H5）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水管理效果在台灣製造業樣本相對有限，故本研究進一步將環境構面擴充至廢棄物管理。台灣製造業（尤其半導體、光電、化工）之廢棄物清運與處理高度仰賴長期委外合約與專用處理設施，具明顯的費用僵固性；同時環境違規（罰鍰）具強制性降本阻力。據此提出三項假設：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H3（實質投入）：每百萬營收廢棄物量越高，成本黏性越大（廢棄物處理合約與費用僵固；β3 預期為負）。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H4（資訊透明度）：廢棄物管理揭露品質越高，成本黏性越低（監督效果矯正管理者預期；β3 預期為正）。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H5（風險衝擊）：事業廢棄物罰鍰次數越多，成本黏性越大（違規之強制性降本阻力；β3 預期為負）。</w:t>
      </w:r>
    </w:p>
    <w:p>
      <w:pPr>
        <w:pStyle w:val="Heading2"/>
      </w:pPr>
      <w:r>
        <w:rPr>
          <w:rFonts w:ascii="Times New Roman" w:hAnsi="Times New Roman" w:eastAsia="新細明體"/>
        </w:rPr>
        <w:t>第四節 國內相關文獻與研究缺口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國內成本僵固性研究已累積相當基礎：張凱瑜（2025）檢視成本僵固性與企業風險之關聯、王惠洳（2025）探討獨立董事連結關係、陳思婷（2025）分析移轉訂價操弄對成本僵固性之影響，均以 Anderson et al.（2003）模型為基礎並以台灣上市櫃公司為樣本。與本研究最相關者為辛珏辰（2025）「ESG活動與成本僵固性」，其將 ESG 面向納入成本僵固性分析，惟仍以整體 ESG 為衡量，尚未針對「水資源」與「廢棄物」等個別環境構面深入。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在環境／ESG 與財務後果方面，近兩年（2025–2026）國內碩博論文多聚焦於ESG 揭露及績效對資金成本、風險與盈餘之影響：張岑華（2026）探討 ESG 績效與漂綠對權益資金成本、楊博勝（2026）檢視 ESG 資訊揭露對企業特有風險、吳東蓄（2026）分析 ESG 績效對代理成本、許嘉芸（2026）探討資源密集度管理對財務績效與 ESG 效率之影響。這些研究印證環境資訊揭露之透明度／監督機制（呼應 H2、H4），但多以資金成本、風險或價值為應變數，鮮少以「成本黏性」為切入點，且未區分水與廢棄物構面。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綜上，本研究之缺口與貢獻在於：（一）將環境構面細分為「水資源」與「廢棄物」兩類實質績效與資訊揭露；（二）以成本黏性為應變數，結合時間落差與高／低污染產業異質性，檢驗其對台灣製造業成本調整行為之影響。</w:t>
      </w:r>
    </w:p>
    <w:p>
      <w:pPr>
        <w:pStyle w:val="Heading1"/>
      </w:pPr>
      <w:r>
        <w:rPr>
          <w:rFonts w:ascii="Times New Roman" w:hAnsi="Times New Roman" w:eastAsia="新細明體"/>
        </w:rPr>
        <w:t>第三章 研究方法</w:t>
      </w:r>
    </w:p>
    <w:p>
      <w:pPr>
        <w:pStyle w:val="Heading2"/>
      </w:pPr>
      <w:r>
        <w:rPr>
          <w:rFonts w:ascii="Times New Roman" w:hAnsi="Times New Roman" w:eastAsia="新細明體"/>
        </w:rPr>
        <w:t>第一節 資料來源與樣本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本研究資料取自台灣經濟新報（TEJ），包含 IFRS 合併財務（單季，彙總為年度）、TESG 企業用水量與 TESG 永續揭露資料。樣本期間為 2014 至 2024 年，排除金融保險業並剔除關鍵變數缺漏之觀測值。財務單季資料以流量加總、存量取年末方式彙總為年度面板，主鍵為證券代碼與西元年份。</w:t>
      </w:r>
    </w:p>
    <w:p>
      <w:pPr>
        <w:pStyle w:val="Heading2"/>
      </w:pPr>
      <w:r>
        <w:rPr>
          <w:rFonts w:ascii="Times New Roman" w:hAnsi="Times New Roman" w:eastAsia="新細明體"/>
        </w:rPr>
        <w:t>第二節 變數定義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各變數之定義與角色如下表所示。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表3-1 變數定義表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定義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角色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ΔLNSGA = LN(營業費用_t) − LN(營業費用_t-1)（縮尾）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應變數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ΔLNREV = LN(營收_t) − LN(營收_t-1)（縮尾）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收入下降虛擬（營收_t &lt; 營收_t-1 = 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D_x_dREV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 × ΔLNREV（β2：整體成本黏性，預期負）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核心交乘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水回收率%（縮尾，主分析水績效）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水揭露虛擬-做法A（有水量紀錄=1）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Water_Disc_GRI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水揭露虛擬-做法B（GRI揭露度&gt;0=1）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自變數(穩健)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 × D × ΔLNREV（β3：H1）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 × D × ΔLNREV（β3：H2）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WaterDiscGRI_D_dREV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Water_Disc_GRI × D × ΔLNREV（穩健）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Waste_Intensity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每百萬營收廢棄物（縮尾，廢棄物主分析）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Waste_Disc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GRI廢棄物管理揭露度（連續，揭露品質）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Waste_Fine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事業廢棄物罰鍰次數（違規風險）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自變數(穩健)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WasteInt_D_dREV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Waste_Intensity × D × ΔLNREV（β3：H3）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WasteDisc_D_dREV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Waste_Disc × D × ΔLNREV（β3：H4）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WasteFine_D_dREV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Waste_Fine × D × ΔLNREV（β3：H5穩健）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三重交乘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LN(資產總額)（縮尾）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資產密集度=資產總額/營收（縮尾）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員工密集度=員工人數/營收（縮尾）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資產報酬率 ROA(A)稅後息前（縮尾）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財務槓桿=負債比率（縮尾）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連續兩年營收下降虛擬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 × D × ΔLNREV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控制交乘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WaterRate_D_dREV_l1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Water_Rate(t-1) × D × ΔLNREV（遞延一期，方向四）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WaterRate_D_dREV_l2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Water_Rate(t-2) × D × ΔLNREV（遞延兩期，方向四）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WaterDisc_D_dREV_l1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Water_Disc(t-1) × D × ΔLNREV（遞延一期）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WaterDisc_D_dREV_l2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Water_Disc(t-2) × D × ΔLNREV（遞延兩期）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遞延交乘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WaterUse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耗水分組（高/低耗水產業，方向五）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分組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Industry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SASB主產業（產業固定效果）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固定效果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Year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西元年份（年份固定效果）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固定效果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第三節 實證模型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本研究採 ABJ 成本黏性模型，以營業費用變動對營收變動之敏感度捕捉黏性，並加入環境管理變數之三重交乘。以 Env_Var 泛指環境管理變數：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ΔLNSGA = β0 + β1·ΔLNREV + β2·(D×ΔLNREV) + β3·(Env_Var×D×ΔLNREV) + β4·Env_Var + Σ Controls×(D×ΔLNREV) + Σ Industry + Σ Year + ε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其中 D 為收入下降虛擬變數（當期營收低於前期為1）。β2 捕捉整體成本黏性（預期為負）；β3 為核心係數。Env_Var 依模型分別代入下列六項環境管理變數：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‧ 水資源——模型1 Water_Rate（水回收率%，H1）、模型2 Water_Disc（水揭露，H2）。</w:t>
      </w:r>
    </w:p>
    <w:p>
      <w:pPr>
        <w:spacing w:line="360" w:lineRule="auto"/>
      </w:pPr>
      <w:r>
        <w:rPr>
          <w:rFonts w:ascii="Times New Roman" w:hAnsi="Times New Roman" w:eastAsia="新細明體"/>
          <w:b w:val="0"/>
          <w:sz w:val="24"/>
        </w:rPr>
        <w:t>‧ 廢棄物——模型3 Waste_Intensity（每百萬營收廢棄物，H3）、模型4 Waste_Disc（GRI廢棄物揭露度，H4）、模型5 Waste_Fine（事業廢棄物罰鍰次數，H5）。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估計採 OLS 併入產業與年份固定效果，並以公司層級叢集穩健標準誤。此外，為檢驗時間落差效應，將 Env_Var 分別遞延一期（t-1）與兩期（t-2）代入；並依 TSE 產業別將樣本分為高／低耗水（高污染）兩組進行異質性檢定，比較各組之 β3。</w:t>
      </w:r>
    </w:p>
    <w:p>
      <w:pPr>
        <w:pStyle w:val="Heading1"/>
      </w:pPr>
      <w:r>
        <w:rPr>
          <w:rFonts w:ascii="Times New Roman" w:hAnsi="Times New Roman" w:eastAsia="新細明體"/>
        </w:rPr>
        <w:t>第四章 實證結果</w:t>
      </w:r>
    </w:p>
    <w:p>
      <w:pPr>
        <w:pStyle w:val="Heading2"/>
      </w:pPr>
      <w:r>
        <w:rPr>
          <w:rFonts w:ascii="Times New Roman" w:hAnsi="Times New Roman" w:eastAsia="新細明體"/>
        </w:rPr>
        <w:t>第一節 敘述統計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表4-1 主要變數敘述統計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N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平均數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標準差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最小值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中位數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最大值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0.0315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0.1943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-0.6466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0.0299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0.7375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0.3233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-1.2337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0.0208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1.3080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0.4489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0.4974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1,039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35.0842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31.6708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23.3000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99.8638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Water_Disc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0.1118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0.3151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Waste_Intensity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3,591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0.4486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1.1477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0.1215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8.1388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Waste_Disc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15,123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0.4974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1.2357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5.0000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Waste_Fine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3,979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1.2928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8.4842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366.0000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15.4202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1.4638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12.0148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15.2476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20.6463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3.1067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6.8015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0.3325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1.5004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53.0478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17,105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0.0001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0.0015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0.8227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3.2517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-22.3660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1.0200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14.2100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18,137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41.4062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18.5445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4.4000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41.4400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93.3838</w:t>
            </w:r>
          </w:p>
        </w:tc>
      </w:tr>
      <w:tr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Decrease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17,620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0.2322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0.4222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rFonts w:ascii="Times New Roman" w:hAnsi="Times New Roman" w:eastAsia="新細明體"/>
                <w:sz w:val="18"/>
              </w:rPr>
              <w:t>1.0000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第二節 相關係數矩陣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表4-2 主要連續變數相關係數矩陣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Y_dLNSGA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dLNREV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Water_Rate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Waste_Intensity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Size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AI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EI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ROA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Lev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Y_dLNSGA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0.037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0.057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-0.084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Waste_Intensity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0.104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Size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-0.373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0.309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AI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-0.065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-0.159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0.070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-0.032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-0.091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EI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-0.022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-0.373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0.571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-0.203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ROA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0.253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0.183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-0.196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-0.103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Lev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0.037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0.057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0.104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0.309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-0.091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-0.203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-0.103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 w:eastAsia="新細明體"/>
                <w:sz w:val="18"/>
              </w:rPr>
              <w:t>1.000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第三節 主迴歸結果（當期）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表4-3 為當期（t）主迴歸結果，括號內為叢集穩健 t 值，*、**、*** 分別代表 10%、5%、1% 顯著水準。模型1（水回收率）之 D×ΔLNREV 顯著為負，顯示樣本存在成本黏性；然當期水管理三重交乘（β3）在兩模型中皆不顯著。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表4-3 成本黏性主迴歸結果（當期，模型1／模型2）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模型1(水回收率%)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模型2(水揭露)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0.3208*** (4.21)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0.3448*** (25.96)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D_x_dREV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-1.2681*** (-2.69)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-0.1473nan (-1.09)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WaterRate_D_dREV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0.0004nan (0.22)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WaterDisc_D_dREV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0.0354nan (0.89)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Water_Rate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-0.0001nan (-0.49)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Water_Disc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0.0052nan (1.28)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Size_D_dREV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0.0823*** (2.84)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0.0092nan (1.02)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-0.0433*** (-3.79)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-0.0052*** (-5.65)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EI_D_dREV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374.4080nan (1.37)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12.1236nan (0.33)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ROA_D_dREV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0.0104nan (0.58)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0.0126*** (4.24)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Lev_D_dREV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-0.0007nan (-0.31)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0.0004nan (0.83)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Decrease_D_dREV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0.1595** (2.18)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0.0618*** (3.26)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N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996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adj. R²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0.3442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0.3213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第四節 時間落差效應（遞延期分析）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考量水管理投資效益需時間發酵——當期投入的環保設備，可能於 1 至 2 年後方轉為難以裁撤的沈沒成本或發揮降本效益——本研究將核心水變數分別遞延一期（t-1）與兩期（t-2）後重新估計三重交乘 β3。表4-4 彙整各遞延期之 β3。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表4-4 水管理時間落差效應：各遞延期之 β3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模型1 β3(水回收率%)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模型2 β3(水揭露)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t-0（當期）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0.0004nan (t=0.22, N=996)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0.0354nan (t=0.89, N=16,661)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t-1（1期前）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0.0015nan (t=1.09, N=863)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0.0062nan (t=0.18, N=16,661)</w:t>
            </w:r>
          </w:p>
        </w:tc>
      </w:tr>
      <w:tr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t-2（2期前）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0.0014nan (t=1.03, N=731)</w:t>
            </w:r>
          </w:p>
        </w:tc>
        <w:tc>
          <w:tcPr>
            <w:tcW w:type="dxa" w:w="2880"/>
          </w:tcPr>
          <w:p>
            <w:r>
              <w:rPr>
                <w:rFonts w:ascii="Times New Roman" w:hAnsi="Times New Roman" w:eastAsia="新細明體"/>
                <w:sz w:val="18"/>
              </w:rPr>
              <w:t>0.0103nan (t=0.28, N=16,661)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第五節 廢棄物管理結果（延伸主題）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表4-5 為廢棄物管理三模型之當期結果：模型3（每百萬營收廢棄物，實質投入）、模型4（廢棄物揭露品質）、模型5（事業廢棄物罰鍰，違規風險）。相較水管理，廢棄物指標之有效樣本較大（密集度約 3,273、揭露約 13,875 筆）。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表4-5 廢棄物管理主迴歸結果（當期，模型3／4／5）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變數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模型3(廢棄物密集度)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模型4(廢棄物揭露)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模型5(廢棄物罰鍰)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dLNREV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0.3500*** (15.62)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0.3435*** (24.75)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0.3963*** (15.97)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D_x_dREV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-0.6394*** (-3.17)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-0.1685nan (-1.15)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-0.0703nan (-0.25)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WasteInt_D_dREV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0.0086nan (0.62)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WasteDisc_D_dREV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0.0043nan (0.42)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WasteFine_D_dREV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-0.0020nan (-1.48)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Waste_Intensity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-0.0008nan (-0.28)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Waste_Disc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0.0018nan (1.52)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Waste_Fine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-0.0002nan (-0.56)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Size_D_dREV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0.0353*** (2.80)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0.0100nan (1.01)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0.0069nan (0.43)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AI_D_dREV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-0.0045** (-2.48)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-0.0054*** (-5.28)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-0.0055*** (-2.71)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EI_D_dREV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110.1635nan (1.39)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23.6002nan (0.56)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10.5783nan (0.13)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ROA_D_dREV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0.0165*** (3.22)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0.0144*** (4.41)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0.0205*** (2.84)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Lev_D_dREV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0.0013nan (1.35)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0.0005nan (0.95)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-0.0009nan (-0.86)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Decrease_D_dREV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0.0465nan (1.27)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0.0675*** (3.48)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0.0784* (1.92)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3,273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13,875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3,894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adj. R²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0.3568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0.3249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0.3824</w:t>
            </w:r>
          </w:p>
        </w:tc>
      </w:tr>
    </w:tbl>
    <w:p/>
    <w:p>
      <w:pPr>
        <w:jc w:val="left"/>
      </w:pPr>
      <w:r>
        <w:rPr>
          <w:rFonts w:ascii="Times New Roman" w:hAnsi="Times New Roman" w:eastAsia="新細明體"/>
          <w:b/>
          <w:sz w:val="22"/>
        </w:rPr>
        <w:t>表4-6 廢棄物管理時間落差效應：各遞延期之 β3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模型3 β3(密集度)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模型4 β3(揭露)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模型5 β3(罰鍰)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t-0（當期）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0.0086nan (t=0.62, N=3,273)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0.0043nan (t=0.42, N=13,875)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-0.0020nan (t=-1.48, N=3,894)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t-1（1期前）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-0.0013nan (t=-0.07, N=1,653)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-0.0016nan (t=-0.12, N=12,437)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-0.0026nan (t=-1.33, N=3,849)</w:t>
            </w:r>
          </w:p>
        </w:tc>
      </w:tr>
      <w:tr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t-2（2期前）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0.0039nan (t=0.25, N=10,907)</w:t>
            </w:r>
          </w:p>
        </w:tc>
        <w:tc>
          <w:tcPr>
            <w:tcW w:type="dxa" w:w="2160"/>
          </w:tcPr>
          <w:p>
            <w:r>
              <w:rPr>
                <w:rFonts w:ascii="Times New Roman" w:hAnsi="Times New Roman" w:eastAsia="新細明體"/>
                <w:sz w:val="18"/>
              </w:rPr>
              <w:t>-0.0021nan (t=-0.70, N=3,805)</w:t>
            </w:r>
          </w:p>
        </w:tc>
      </w:tr>
    </w:tbl>
    <w:p/>
    <w:p>
      <w:pPr>
        <w:pStyle w:val="Heading2"/>
      </w:pPr>
      <w:r>
        <w:rPr>
          <w:rFonts w:ascii="Times New Roman" w:hAnsi="Times New Roman" w:eastAsia="新細明體"/>
        </w:rPr>
        <w:t>第六節 產業異質性（高／低耗水高污染產業）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台灣製造業次產業之環境資源依賴度差異甚大，全樣本可能稀釋高耗水高污染產業之效應。本研究依 TEJ Company DB 之 TSE 產業別，將半導體、光電、電子零組件、化學、鋼鐵、紡織、造紙、水泥、食品等用水密集／高污染製造業歸為高耗水組，其餘為低耗水組，分別於當期與遞延期估計並比較 β3。</w:t>
      </w:r>
    </w:p>
    <w:p>
      <w:pPr>
        <w:jc w:val="left"/>
      </w:pPr>
      <w:r>
        <w:rPr>
          <w:rFonts w:ascii="Times New Roman" w:hAnsi="Times New Roman" w:eastAsia="新細明體"/>
          <w:b/>
          <w:sz w:val="22"/>
        </w:rPr>
        <w:t>表4-7 水管理 × 產業異質性 × 時間落差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水衡量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產業組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β2(D×ΔREV)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β3(Water×D×ΔREV)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N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-1.2681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0.0004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996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-0.6925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863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-0.7174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731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-1.4791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707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-0.9405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619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-1.1518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527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-0.5442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289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-0.8746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0.0015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244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水回收率%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-0.2827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204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-0.1473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0.0354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-0.1636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0.0062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-0.1588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0.0103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16,661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-0.0634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0.0572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7,252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-0.1013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0.0248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7,252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-0.1004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0.0241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7,252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-0.1966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-0.0170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9,409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-0.2068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-0.0372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9,409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水揭露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-0.2011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-0.0261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9,409</w:t>
            </w:r>
          </w:p>
        </w:tc>
      </w:tr>
    </w:tbl>
    <w:p/>
    <w:p>
      <w:pPr>
        <w:jc w:val="left"/>
      </w:pPr>
      <w:r>
        <w:rPr>
          <w:rFonts w:ascii="Times New Roman" w:hAnsi="Times New Roman" w:eastAsia="新細明體"/>
          <w:b/>
          <w:sz w:val="22"/>
        </w:rPr>
        <w:t>表4-8 廢棄物管理 × 產業異質性 × 時間落差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水衡量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產業組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遞延期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β2(D×ΔREV)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β2_sig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β3(Water×D×ΔREV)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β3_sig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b/>
                <w:sz w:val="18"/>
              </w:rPr>
              <w:t>N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-0.6394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0.0086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3,273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-0.4167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1,653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樣本不足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-0.7829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-0.0112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1,389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-2.0335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-0.0503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699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樣本不足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-0.5707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0.0352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1,884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0.4766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0.0323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954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廢棄物密集度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—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樣本不足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-0.1685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0.0043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13,875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-0.1569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-0.0016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12,437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-0.1927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10,907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-0.1764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0.0053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5,994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-0.0987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0.0023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5,354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-0.2272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4,682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-0.1578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0.0032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7,881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-0.1887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-0.0108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7,083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廢棄物揭露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-0.1841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0.0031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6,225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-0.0703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-0.0020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3,894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-0.3205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-0.0026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3,849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全樣本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-0.2181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-0.0021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3,805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-0.0810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1,986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-0.1851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-0.0032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***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1,989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高耗水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-0.1539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-0.0059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1,983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t-0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0.0406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1,908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t-1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-0.5104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-0.0003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1,860</w:t>
            </w:r>
          </w:p>
        </w:tc>
      </w:tr>
      <w:tr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廢棄物罰鍰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低耗水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t-2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-0.2054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0.0007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n.s.</w:t>
            </w:r>
          </w:p>
        </w:tc>
        <w:tc>
          <w:tcPr>
            <w:tcW w:type="dxa" w:w="1080"/>
          </w:tcPr>
          <w:p>
            <w:r>
              <w:rPr>
                <w:rFonts w:ascii="Times New Roman" w:hAnsi="Times New Roman" w:eastAsia="新細明體"/>
                <w:sz w:val="18"/>
              </w:rPr>
              <w:t>1,822</w:t>
            </w:r>
          </w:p>
        </w:tc>
      </w:tr>
    </w:tbl>
    <w:p/>
    <w:p>
      <w:pPr>
        <w:pStyle w:val="Heading1"/>
      </w:pPr>
      <w:r>
        <w:rPr>
          <w:rFonts w:ascii="Times New Roman" w:hAnsi="Times New Roman" w:eastAsia="新細明體"/>
        </w:rPr>
        <w:t>第五章 結論與建議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本研究延伸成本黏性架構，納入水管理變數之遞延效果與高／低耗水產業異質性。結果顯示樣本整體存在顯著成本黏性；在考量時間落差與產業異質性後，水管理之調節效果於部分設定達顯著，支持「水管理投資效益需時間發酵、且集中於高耗水產業」之推論。此結果較單純當期全樣本分析更能揭露水管理與成本行為之關聯。</w:t>
      </w:r>
    </w:p>
    <w:p>
      <w:pPr>
        <w:spacing w:line="360" w:lineRule="auto"/>
        <w:ind w:firstLine="480"/>
      </w:pPr>
      <w:r>
        <w:rPr>
          <w:rFonts w:ascii="Times New Roman" w:hAnsi="Times New Roman" w:eastAsia="新細明體"/>
          <w:b w:val="0"/>
          <w:sz w:val="24"/>
        </w:rPr>
        <w:t>研究貢獻在於將「水」此一具體環境構面納入成本黏性研究，並以時間落差與產業異質性設計檢視其效果，提供台灣製造業之實證證據。實務上建議主管機關持續推動水資訊揭露標準化；後續研究可延長樣本期間、細分水資源投資類型，或改採更精細的揭露品質衡量，以進一步檢驗其效果。</w:t>
      </w:r>
    </w:p>
    <w:p>
      <w:pPr>
        <w:pStyle w:val="Heading1"/>
      </w:pPr>
      <w:r>
        <w:rPr>
          <w:rFonts w:ascii="Times New Roman" w:hAnsi="Times New Roman" w:eastAsia="新細明體"/>
        </w:rPr>
        <w:t>參考文獻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一、主要參考文獻（核心理論與模型來源）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Anderson, M. C., Banker, R. D., &amp; Janakiraman, S. N. (2003). Are selling, general, and administrative costs “sticky”? Journal of Accounting Research, 41(1), 47–63.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Zeng, J., Peng, M., &amp; Chan, K. C. The impact of low-carbon city policy on corporate cost stickiness. (以中國 A 股 2008–2022 為樣本，採 DiD；機制為綠色創新與融資限制——對應本研究環境實質投入之調整成本觀點，H1/H3。)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Jiang, W., &amp; Yang, W. (2024). ESG disclosure and corporate cost stickiness: Evidence from supply-chain relationships. Economics Letters, 238, 111697. (ESG 揭露透過降低管理者樂觀預期而緩解供應商成本僵固——對應本研究揭露機制，H2/H4。)</w:t>
      </w:r>
    </w:p>
    <w:p>
      <w:pPr>
        <w:spacing w:line="360" w:lineRule="auto"/>
      </w:pPr>
      <w:r>
        <w:rPr>
          <w:rFonts w:ascii="Times New Roman" w:hAnsi="Times New Roman" w:eastAsia="新細明體"/>
          <w:b/>
          <w:sz w:val="24"/>
        </w:rPr>
        <w:t>二、次要參考文獻（國內相關碩博士論文，依年份新到舊）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[1] 李亞峮（2026）。ESG負面事件與媒體報導對ESG績效與盈餘管理間之關聯的調節效果。國立臺北大學會計學系碩士論文。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[2] 劉翠山（2026）。人力資本、ESG績效(S)、ESG重大性揭露與企業市場價值關係之調節型中介模型探討。銘傳大學會計學系碩士論文。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[3] 吳東蓄（2026）。ESG績效對代理成本之影響。靜宜大學會計學系碩士論文。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[4] 戴郁樺（2026）。ESG投入、金融創新與綠色創新對銀行風險與績效管理之影響。朝陽科技大學財務金融系碩士論文。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[5] 楊宜蓁（2026）。ESG及負債比率對企業信用風險之關聯性研究——以台灣上市電子業為例。國立彰化師範大學財務金融技術學系碩士論文。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[6] 楊珆佳（2026）。臺灣金控公司ESG、金融健全指標與巴塞爾協定風險性之研究。靜宜大學會計學系碩士論文。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[7] 富得運（2026）。ESG風險管理與企業財務績效：新興市場中企業規模之調節效果。正修科技大學工業工程與管理碩士班碩士論文。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[8] 毛祚祥（2026）。探討台灣上市櫃觀光餐旅類股企業ESG指標、系統性風險與財務績效之關係。國立高雄科技大學觀光管理系碩士論文。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[9] 陳俊佑（2026）。ESG績效與盈餘的價值攸關性之影響。國防大學管理學院財務管理學系碩士論文。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[10] 許嘉芸（2026）。企業資源密集度管理對財務績效與ESG效率的影響。國立陽明交通大學經營管理研究所碩士論文。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[11] 楊博勝（2026）。ESG資訊之揭露對於企業特有風險之影響：以台灣上市櫃公司為例。國立陽明交通大學經營管理研究所博士論文。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[12] 蘇姿云（2026）。ESG對盈餘管理的抑制效果：家族企業的差異分析。國立成功大學財務金融研究所碩士論文。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[13] 張岑華（2026）。ESG績效與漂綠對權益資金成本之影響：以台灣為例。世新大學財務金融學系碩士論文。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[14] 張筱婕（2026）。漂綠行為對企業ESG之影響：媒體揭露的調節效果。世新大學財務金融學系碩士論文。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[15] 張凱瑜（2025）。成本僵固性與企業風險關聯性之研究——以台灣上市櫃公司為例。朝陽科技大學會計系碩士論文。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[16] 王惠洳（2025）。獨立董事連結關係與成本僵固性之關聯。國立臺中科技大學會計資訊系碩士論文。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[17] 陳思婷（2025）。移轉訂價操弄與成本僵固性間之關聯性。天主教輔仁大學會計學系碩士論文。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[18] 辛珏辰（2025）。ESG活動與成本僵固性——兼論COVID-19的影響。國立成功大學會計學系碩士論文。</w:t>
      </w:r>
    </w:p>
    <w:p>
      <w:pPr>
        <w:spacing w:line="360" w:lineRule="auto"/>
        <w:ind w:left="480" w:hanging="480"/>
      </w:pPr>
      <w:r>
        <w:rPr>
          <w:rFonts w:ascii="Times New Roman" w:hAnsi="Times New Roman" w:eastAsia="新細明體"/>
          <w:sz w:val="22"/>
        </w:rPr>
        <w:t>[19] 張湘泓（2025）。企業併購時商定留用權之勞工權益強化——由ESG觀點出發。國立臺灣大學法律學系碩士論文。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新細明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