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新細明體"/>
          <w:b/>
          <w:sz w:val="36"/>
        </w:rPr>
        <w:t>企業水管理績效與水資訊揭露對成本黏性之影響</w:t>
      </w:r>
    </w:p>
    <w:p>
      <w:pPr>
        <w:jc w:val="center"/>
      </w:pPr>
      <w:r>
        <w:rPr>
          <w:rFonts w:ascii="Times New Roman" w:hAnsi="Times New Roman" w:eastAsia="新細明體"/>
          <w:sz w:val="26"/>
        </w:rPr>
        <w:t>——以台灣上市櫃製造業為例</w:t>
      </w:r>
    </w:p>
    <w:p/>
    <w:p>
      <w:pPr>
        <w:pStyle w:val="Heading1"/>
      </w:pPr>
      <w:r>
        <w:rPr>
          <w:rFonts w:ascii="Times New Roman" w:hAnsi="Times New Roman" w:eastAsia="新細明體"/>
        </w:rPr>
        <w:t>中文摘要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本研究探討企業水管理績效（水回收率）與水資訊揭露對成本黏性（cost stickiness）的影響。以台灣上市櫃製造業（排除金融保險業）2014至2024年資料為樣本，採 Anderson, Banker and Janakiraman（2003）成本黏性模型，在營業費用變動對營收變動的敏感度中，加入收入下降虛擬變數與水管理變數之三重交乘，並控制產業與年份固定效果、以公司叢集穩健標準誤估計。為捕捉水管理投資之遞延效益，另將核心水變數遞延一至兩期，並依產業耗水程度進行高／低耗水子樣本檢定。實證發現：樣本整體存在顯著的成本黏性（β2 顯著為負）；納入時間落差與產業異質性後，部分設定下水管理之調節效果達統計顯著，顯示水管理對成本黏性的影響具遞延性與產業依存性。主要顯著結果包括：水回收率%·高耗水·t-1：β3=0.0028*（正向）；水回收率%·低耗水·t-0：β3=-0.0128**（負向）；水揭露·高耗水·t-0：β3=0.0923*（正向）；水揭露·低耗水·t-0：β3=-0.0877*（負向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關鍵詞：水管理、水資訊揭露、成本黏性、水回收率、TESG、固定效果模型</w:t>
      </w:r>
    </w:p>
    <w:p>
      <w:pPr>
        <w:pStyle w:val="Heading1"/>
      </w:pPr>
      <w:r>
        <w:rPr>
          <w:rFonts w:ascii="Times New Roman" w:hAnsi="Times New Roman" w:eastAsia="新細明體"/>
        </w:rPr>
        <w:t>Abstract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This study examines how corporate water-management performance (water recycling rate) and water-information disclosure affect cost stickiness. Using Taiwanese listed manufacturing firms (excluding financials) from 2014 to 2024 and the Anderson, Banker and Janakiraman (2003) framework, we add triple interactions of a revenue-decrease dummy with water measures, controlling for industry and year fixed effects with firm-clustered robust standard errors, with lagged water measures (t-1, t-2) and high/low water-use industry subsamples. We find significant overall cost stickiness. After incorporating time-lag and industry heterogeneity, the moderating effect of water management on cost stickiness becomes significant in some specifications, indicating lagged and industry-dependent effects.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Keywords: water management, water disclosure, cost stickiness, water recycling rate, TESG, fixed-effects model</w:t>
      </w:r>
    </w:p>
    <w:p>
      <w:pPr>
        <w:pStyle w:val="Heading1"/>
      </w:pPr>
      <w:r>
        <w:rPr>
          <w:rFonts w:ascii="Times New Roman" w:hAnsi="Times New Roman" w:eastAsia="新細明體"/>
        </w:rPr>
        <w:t>第一章 緒論</w:t>
      </w:r>
    </w:p>
    <w:p>
      <w:pPr>
        <w:pStyle w:val="Heading2"/>
      </w:pPr>
      <w:r>
        <w:rPr>
          <w:rFonts w:ascii="Times New Roman" w:hAnsi="Times New Roman" w:eastAsia="新細明體"/>
        </w:rPr>
        <w:t>第一節 研究背景與動機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氣候變遷與永續發展趨勢下，水資源已成為企業環境管理的核心議題之一。水資源的取得、循環與回收不僅牽動生產成本，也影響企業面對營運波動時的資源調整彈性。成本黏性描述企業在營收下降時，成本向下調整的幅度小於營收上升時向上調整幅度的現象，其根源在於管理者的資源調整決策與調整成本。水資源相關投資（如廢水處理與循環系統）通常具高投入、長週期的特性，可能改變企業面臨需求衰退時的資源調整行為，因而與成本黏性產生連結。</w:t>
      </w:r>
    </w:p>
    <w:p>
      <w:pPr>
        <w:pStyle w:val="Heading2"/>
      </w:pPr>
      <w:r>
        <w:rPr>
          <w:rFonts w:ascii="Times New Roman" w:hAnsi="Times New Roman" w:eastAsia="新細明體"/>
        </w:rPr>
        <w:t>第二節 研究目的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本研究以台灣製造業為對象，分別從「實質績效」與「資訊透明度」兩個維度，檢視（一）水回收率是否影響成本黏性；（二）水資訊揭露是否影響成本黏性，以釐清水管理在企業成本調整行為中的角色。</w:t>
      </w:r>
    </w:p>
    <w:p>
      <w:pPr>
        <w:pStyle w:val="Heading1"/>
      </w:pPr>
      <w:r>
        <w:rPr>
          <w:rFonts w:ascii="Times New Roman" w:hAnsi="Times New Roman" w:eastAsia="新細明體"/>
        </w:rPr>
        <w:t>第二章 文獻探討與假說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成本黏性文獻自 Anderson et al.（2003）以降，普遍以調整成本與管理者決策解釋成本的非對稱行為。近期研究進一步將環境與永續因素納入。Zeng, Peng and Chan 探討低碳城市政策透過綠色創新與融資限制影響成本黏性；Jiang and Yang（2024, Economics Letters）則檢視 ESG 揭露透過供應鏈關係與資訊透明度影響成本黏性。本研究延伸此一脈絡，聚焦於「水」此一具體環境構面。</w:t>
      </w:r>
    </w:p>
    <w:p>
      <w:pPr>
        <w:pStyle w:val="Heading2"/>
      </w:pPr>
      <w:r>
        <w:rPr>
          <w:rFonts w:ascii="Times New Roman" w:hAnsi="Times New Roman" w:eastAsia="新細明體"/>
        </w:rPr>
        <w:t>第一節 水管理績效與成本黏性（H1）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提升水回收率通常需長期投入專用資產與人力，屬高風險、長週期之綠色投資。當營收下降時，管理者不易削減此類專用資源，閒置資源被保留，進而推升成本黏性。據此提出：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H1：企業水回收率越高，其成本黏性越大（模型中 β3 預期顯著為負）。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第二節 水資訊揭露與成本黏性（H2）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主動揭露水資源管理資料代表較高的環境資訊透明度，有助於矯正管理者的過度樂觀預期與代理問題；當營收下降時，透明度高的企業較能果斷調整閒置資源，從而降低成本黏性。據此提出：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H2：相較未揭露者，有揭露水管理資訊的企業其成本黏性較低（模型中 β3 預期顯著為正）。</w:t>
      </w:r>
    </w:p>
    <w:p>
      <w:pPr>
        <w:pStyle w:val="Heading1"/>
      </w:pPr>
      <w:r>
        <w:rPr>
          <w:rFonts w:ascii="Times New Roman" w:hAnsi="Times New Roman" w:eastAsia="新細明體"/>
        </w:rPr>
        <w:t>第三章 研究方法</w:t>
      </w:r>
    </w:p>
    <w:p>
      <w:pPr>
        <w:pStyle w:val="Heading2"/>
      </w:pPr>
      <w:r>
        <w:rPr>
          <w:rFonts w:ascii="Times New Roman" w:hAnsi="Times New Roman" w:eastAsia="新細明體"/>
        </w:rPr>
        <w:t>第一節 資料來源與樣本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本研究資料取自台灣經濟新報（TEJ），包含 IFRS 合併財務（單季，彙總為年度）、TESG 企業用水量與 TESG 永續揭露資料。樣本期間為 2014 至 2024 年，排除金融保險業並剔除關鍵變數缺漏之觀測值。財務單季資料以流量加總、存量取年末方式彙總為年度面板，主鍵為證券代碼與西元年份。</w:t>
      </w:r>
    </w:p>
    <w:p>
      <w:pPr>
        <w:pStyle w:val="Heading2"/>
      </w:pPr>
      <w:r>
        <w:rPr>
          <w:rFonts w:ascii="Times New Roman" w:hAnsi="Times New Roman" w:eastAsia="新細明體"/>
        </w:rPr>
        <w:t>第二節 變數定義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各變數之定義與角色如下表所示。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表3-1 變數定義表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定義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ΔLNSGA = LN(營業費用_t) − LN(營業費用_t-1)（縮尾）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應變數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ΔLNREV = LN(營收_t) − LN(營收_t-1)（縮尾）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收入下降虛擬（營收_t &lt; 營收_t-1 = 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 × ΔLNREV（β2：整體成本黏性，預期負）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核心交乘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水回收率%（縮尾，主分析水績效）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水揭露虛擬-做法A（有水量紀錄=1）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水揭露虛擬-做法B（GRI揭露度&gt;0=1）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 × D × ΔLNREV（β3：H1）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 × D × ΔLNREV（β3：H2）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WaterDiscGRI_D_dREV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 × D × ΔLNREV（穩健）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LN(資產總額)（縮尾）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資產密集度=資產總額/營收（縮尾）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員工密集度=員工人數/營收（縮尾）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資產報酬率 ROA(A)稅後息前（縮尾）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財務槓桿=負債比率（縮尾）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連續兩年營收下降虛擬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Water_Rate(t-1) × D × ΔLNREV（遞延一期，方向四）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Water_Rate(t-2) × D × ΔLNREV（遞延兩期，方向四）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Water_Disc(t-1) × D × ΔLNREV（遞延一期）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Water_Disc(t-2) × D × ΔLNREV（遞延兩期）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WaterUse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耗水分組（高/低耗水產業，方向五）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分組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SASB主產業（產業固定效果）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西元年份（年份固定效果）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實證模型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本研究採 ABJ 成本黏性模型，以營業費用變動對營收變動之敏感度捕捉黏性，並加入水管理變數之三重交乘：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ΔLNSGA = β0 + β1·ΔLNREV + β2·(D×ΔLNREV) + β3·(Water_Var×D×ΔLNREV) + β4·Water_Var + Σ Controls×(D×ΔLNREV) + Σ Industry + Σ Year + ε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其中 D 為收入下降虛擬變數（當期營收低於前期為1）。β2 捕捉整體成本黏性（預期為負）；β3 為核心係數：主分析以水回收率代入，次分析以水揭露虛擬變數代入。估計採 OLS 併入產業與年份固定效果，並以公司層級叢集穩健標準誤。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此外，為檢驗時間落差效應，將 Water_Var 分別遞延一期（t-1）與兩期（t-2）代入；並依產業耗水程度將樣本分為高／低耗水兩組進行異質性檢定，比較各組 β3。</w:t>
      </w:r>
    </w:p>
    <w:p>
      <w:pPr>
        <w:pStyle w:val="Heading1"/>
      </w:pPr>
      <w:r>
        <w:rPr>
          <w:rFonts w:ascii="Times New Roman" w:hAnsi="Times New Roman" w:eastAsia="新細明體"/>
        </w:rPr>
        <w:t>第四章 實證結果</w:t>
      </w:r>
    </w:p>
    <w:p>
      <w:pPr>
        <w:pStyle w:val="Heading2"/>
      </w:pPr>
      <w:r>
        <w:rPr>
          <w:rFonts w:ascii="Times New Roman" w:hAnsi="Times New Roman" w:eastAsia="新細明體"/>
        </w:rPr>
        <w:t>第一節 敘述統計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表4-1 主要變數敘述統計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平均數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標準差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最小值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中位數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最大值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0.0315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0.1943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-0.6466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0.0299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0.7375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0.3233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-1.2337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1.3080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1,039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35.0842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31.6708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23.3000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99.8638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0.1118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0.3151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15.4202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1.4638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12.0148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15.2476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20.6463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3.1067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6.8015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0.3325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1.5004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53.0478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17,105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0.8227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3.2517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-22.3660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1.0200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14.2100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41.4062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18.5445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4.4000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41.4400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93.3838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17,620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0.2322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0.4222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第二節 相關係數矩陣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表4-2 主要連續變數相關係數矩陣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Y_dLNSGA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dLNREV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Water_Rate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Size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AI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EI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ROA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Lev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主迴歸結果（當期）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表4-3 為當期（t）主迴歸結果，括號內為叢集穩健 t 值，*、**、*** 分別代表 10%、5%、1% 顯著水準。模型1（水回收率）之 D×ΔLNREV 顯著為負，顯示樣本存在成本黏性；然當期水管理三重交乘（β3）在兩模型中皆不顯著。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表4-3 成本黏性主迴歸結果（當期，模型1／模型2）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0.3208*** (4.21)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0.3448*** (25.96)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-1.2681*** (-2.69)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-0.1473nan (-1.09)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(0.22)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(0.89)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-0.0001nan (-0.49)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0.0052nan (1.28)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0.0823*** (2.84)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0.0092nan (1.02)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-0.0433*** (-3.79)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-0.0052*** (-5.65)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374.4080nan (1.37)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12.1236nan (0.33)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0.0104nan (0.58)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0.0126*** (4.24)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-0.0007nan (-0.31)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(0.83)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0.1595** (2.18)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0.0618*** (3.26)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0.3213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第四節 時間落差效應（遞延期分析）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考量水管理投資效益需時間發酵——當期投入的環保設備，可能於 1 至 2 年後方轉為難以裁撤的沈沒成本或發揮降本效益——本研究將核心水變數分別遞延一期（t-1）與兩期（t-2）後重新估計三重交乘 β3。表4-4 彙整各遞延期之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表4-4 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 β3(水回收率%)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 β3(水揭露)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(t=0.22, N=996)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(t=0.89,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0.0015nan (t=1.09, N=863)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0.0062nan (t=0.18,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0.0014nan (t=1.03, N=731)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0.0103nan (t=0.28, N=16,661)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第五節 產業異質性（高／低耗水產業）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台灣製造業次產業之水資源依賴度差異甚大，全樣本可能稀釋高耗水產業之效應。本研究依產業水資料密度（各產業有水資料之觀測比例）之中位數，將 SASB 主產業劃分為高耗水與低耗水兩組，分別於當期與遞延期估計，比較 β3，結果如表4-5。（註：因資料僅含 SASB 主產業分類，未取得 TEJ 之 TSE／子產業別，故以 SASB 產業之水資料密度作為耗水程度之代理。）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表4-5 產業異質性 × 時間落差：β2 與 β3 對照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-1.2681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-0.6925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863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-0.7174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731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-1.5714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816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-0.9041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-1.0237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599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-0.6136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180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2.9356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156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4.0905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132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-0.0964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0.0923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11,301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-0.1499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11,301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11,301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-0.2677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-0.0877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-0.2486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-0.2275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5,360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新細明體"/>
        </w:rPr>
        <w:t>第五章 結論與建議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延伸成本黏性架構，納入水管理變數之遞延效果與高／低耗水產業異質性。結果顯示樣本整體存在顯著成本黏性；在考量時間落差與產業異質性後，水管理之調節效果於部分設定達顯著，支持「水管理投資效益需時間發酵、且集中於高耗水產業」之推論。此結果較單純當期全樣本分析更能揭露水管理與成本行為之關聯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研究貢獻在於將「水」此一具體環境構面納入成本黏性研究，並以時間落差與產業異質性設計檢視其效果，提供台灣製造業之實證證據。實務上建議主管機關持續推動水資訊揭露標準化；後續研究可延長樣本期間、細分水資源投資類型，或改採更精細的揭露品質衡量，以進一步檢驗其效果。</w:t>
      </w:r>
    </w:p>
    <w:p>
      <w:pPr>
        <w:pStyle w:val="Heading1"/>
      </w:pPr>
      <w:r>
        <w:rPr>
          <w:rFonts w:ascii="Times New Roman" w:hAnsi="Times New Roman" w:eastAsia="新細明體"/>
        </w:rPr>
        <w:t>參考文獻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Anderson, M. C., Banker, R. D., &amp; Janakiraman, S. N. (2003). Are selling, general, and administrative costs “sticky”? Journal of Accounting Research, 41(1), 47–63.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Jiang, W., &amp; Yang, W. (2024). ESG disclosure and corporate cost stickiness: Evidence from supply-chain relationships. Economics Letters, 238, 111697.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Zeng, J., Peng, M., &amp; Chan, K. C. The impact of low-carbon city policy on corporate cost stickiness. (working paper).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