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標楷體"/>
          <w:b w:val="0"/>
          <w:sz w:val="36"/>
        </w:rPr>
        <w:t>國立中山大學財務管理學系</w:t>
      </w:r>
    </w:p>
    <w:p>
      <w:pPr>
        <w:jc w:val="center"/>
      </w:pPr>
      <w:r>
        <w:rPr>
          <w:rFonts w:ascii="Times New Roman" w:hAnsi="Times New Roman" w:eastAsia="標楷體"/>
          <w:b w:val="0"/>
          <w:sz w:val="36"/>
        </w:rPr>
        <w:t>碩士論文</w:t>
      </w:r>
    </w:p>
    <w:p>
      <w:pPr>
        <w:jc w:val="center"/>
      </w:pPr>
      <w:r>
        <w:rPr>
          <w:rFonts w:ascii="Times New Roman" w:hAnsi="Times New Roman" w:eastAsia="標楷體"/>
          <w:b w:val="0"/>
          <w:sz w:val="32"/>
        </w:rPr>
        <w:t>Department of Finance</w:t>
      </w:r>
    </w:p>
    <w:p>
      <w:pPr>
        <w:jc w:val="center"/>
      </w:pPr>
      <w:r>
        <w:rPr>
          <w:rFonts w:ascii="Times New Roman" w:hAnsi="Times New Roman" w:eastAsia="標楷體"/>
          <w:b w:val="0"/>
          <w:sz w:val="32"/>
        </w:rPr>
        <w:t>National Sun Yat-sen University</w:t>
      </w:r>
    </w:p>
    <w:p>
      <w:pPr>
        <w:jc w:val="center"/>
      </w:pPr>
      <w:r>
        <w:rPr>
          <w:rFonts w:ascii="Times New Roman" w:hAnsi="Times New Roman" w:eastAsia="標楷體"/>
          <w:b w:val="0"/>
          <w:sz w:val="32"/>
        </w:rPr>
        <w:t>Master’s Thesis</w:t>
      </w:r>
    </w:p>
    <w:p/>
    <w:p>
      <w:pPr>
        <w:jc w:val="center"/>
      </w:pPr>
      <w:r>
        <w:rPr>
          <w:rFonts w:ascii="Times New Roman" w:hAnsi="Times New Roman" w:eastAsia="標楷體"/>
          <w:b w:val="0"/>
          <w:sz w:val="36"/>
        </w:rPr>
        <w:t>企業水管理與廢棄物管理對成本黏性之影響</w:t>
      </w:r>
    </w:p>
    <w:p>
      <w:pPr>
        <w:jc w:val="center"/>
      </w:pPr>
      <w:r>
        <w:rPr>
          <w:rFonts w:ascii="Times New Roman" w:hAnsi="Times New Roman" w:eastAsia="標楷體"/>
          <w:b w:val="0"/>
          <w:sz w:val="28"/>
        </w:rPr>
        <w:t>——以台灣上市櫃製造業之環境績效與資訊揭露為例</w:t>
      </w:r>
    </w:p>
    <w:p>
      <w:pPr>
        <w:jc w:val="center"/>
      </w:pPr>
      <w:r>
        <w:rPr>
          <w:rFonts w:ascii="Times New Roman" w:hAnsi="Times New Roman" w:eastAsia="標楷體"/>
          <w:b w:val="0"/>
          <w:sz w:val="28"/>
        </w:rPr>
        <w:t>The Effect of Corporate Water and Waste Management on Cost Stickiness</w:t>
      </w:r>
    </w:p>
    <w:p/>
    <w:p>
      <w:pPr>
        <w:jc w:val="center"/>
      </w:pPr>
      <w:r>
        <w:rPr>
          <w:rFonts w:ascii="Times New Roman" w:hAnsi="Times New Roman" w:eastAsia="標楷體"/>
          <w:b w:val="0"/>
          <w:sz w:val="32"/>
        </w:rPr>
        <w:t>研究生：（撰）</w:t>
      </w:r>
    </w:p>
    <w:p>
      <w:pPr>
        <w:jc w:val="center"/>
      </w:pPr>
      <w:r>
        <w:rPr>
          <w:rFonts w:ascii="Times New Roman" w:hAnsi="Times New Roman" w:eastAsia="標楷體"/>
          <w:b w:val="0"/>
          <w:sz w:val="32"/>
        </w:rPr>
        <w:t>指導教授：　　博士</w:t>
      </w:r>
    </w:p>
    <w:p>
      <w:pPr>
        <w:jc w:val="center"/>
      </w:pPr>
      <w:r>
        <w:rPr>
          <w:rFonts w:ascii="Times New Roman" w:hAnsi="Times New Roman" w:eastAsia="標楷體"/>
          <w:b w:val="0"/>
          <w:sz w:val="32"/>
        </w:rPr>
        <w:t>中華民國115年6月</w:t>
      </w:r>
    </w:p>
    <w:p>
      <w:r>
        <w:br w:type="page"/>
      </w:r>
    </w:p>
    <w:p>
      <w:pPr>
        <w:pStyle w:val="Heading1"/>
        <w:jc w:val="center"/>
      </w:pPr>
      <w:r>
        <w:rPr>
          <w:rFonts w:ascii="Times New Roman" w:hAnsi="Times New Roman" w:eastAsia="標楷體"/>
          <w:b/>
          <w:sz w:val="32"/>
        </w:rPr>
        <w:t>摘要</w:t>
      </w:r>
    </w:p>
    <w:p>
      <w:pPr>
        <w:spacing w:line="360" w:lineRule="auto"/>
        <w:ind w:firstLine="480"/>
      </w:pPr>
      <w:r>
        <w:rPr>
          <w:rFonts w:ascii="Times New Roman" w:hAnsi="Times New Roman" w:eastAsia="標楷體"/>
          <w:b w:val="0"/>
          <w:sz w:val="24"/>
        </w:rPr>
        <w:t>本研究探討企業水管理與廢棄物管理之環境績效與資訊揭露，對成本黏性（cost stickiness）的影響。以台灣上市櫃製造業（排除金融保險業）2014至2024年資料為樣本，共 18,137 個公司—年觀測值（1,945 家公司）。本研究採 Anderson, Banker and Janakiraman（2003）成本黏性模型，於營業費用變動對營收變動之敏感度中，加入收入下降虛擬變數與環境變數之三重交乘，並控制產業與年份固定效果、以公司叢集穩健標準誤估計。本研究以「環境使用密集度」（用水密集度與廢棄物密集度）為核心，並以水／廢棄物之資訊揭露與違規裁罰為輔。實證結果顯示：樣本整體存在顯著成本黏性；核心之使用密集度中，用水密集度於高污染產業當期對成本黏性呈顯著加劇效果（β3 約 −0.091，5% 水準，樣本涵蓋度遠高於水回收率），廢棄物密集度亦於高污染產業遞延期呈顯著加劇；相對地，資訊揭露與違規裁罰之調節效果則不穩健。研究支持「企業對環境資源之使用密集度越高、於營收下降時成本越難削減」之推論，且效果集中於高污染產業。</w:t>
      </w:r>
    </w:p>
    <w:p>
      <w:pPr>
        <w:spacing w:line="360" w:lineRule="auto"/>
        <w:ind w:firstLine="480"/>
      </w:pPr>
      <w:r>
        <w:rPr>
          <w:rFonts w:ascii="Times New Roman" w:hAnsi="Times New Roman" w:eastAsia="標楷體"/>
          <w:b/>
          <w:sz w:val="24"/>
        </w:rPr>
        <w:t>關鍵詞：成本黏性、水管理、廢棄物管理、環境資訊揭露、固定效果模型</w:t>
      </w:r>
    </w:p>
    <w:p>
      <w:pPr>
        <w:pStyle w:val="Heading1"/>
        <w:jc w:val="center"/>
      </w:pPr>
      <w:r>
        <w:rPr>
          <w:rFonts w:ascii="Times New Roman" w:hAnsi="Times New Roman" w:eastAsia="標楷體"/>
          <w:b/>
          <w:sz w:val="32"/>
        </w:rPr>
        <w:t>Abstract</w:t>
      </w:r>
    </w:p>
    <w:p>
      <w:pPr>
        <w:spacing w:line="360" w:lineRule="auto"/>
        <w:ind w:firstLine="480"/>
        <w:jc w:val="both"/>
      </w:pPr>
      <w:r>
        <w:rPr>
          <w:rFonts w:ascii="Times New Roman" w:hAnsi="Times New Roman" w:eastAsia="標楷體"/>
          <w:b w:val="0"/>
          <w:sz w:val="24"/>
        </w:rPr>
        <w:t>This study examines how corporate water and waste management—both environmental performance and information disclosure—affect cost stickiness. Using Taiwanese listed manufacturing firms (excluding financials) over 2014-2024 (18,137 firm-year observations), we adopt the Anderson, Banker and Janakiraman (2003) framework and add triple interactions of a revenue-decrease dummy with environmental variables, controlling for industry and year fixed effects with firm-clustered robust standard errors. We find significant overall cost stickiness. Water measures show no significant moderation, whereas waste-management measures (waste per million revenue and waste-related fines) significantly intensify cost stickiness among high-pollution industries under lagged specifications.</w:t>
      </w:r>
    </w:p>
    <w:p>
      <w:pPr>
        <w:spacing w:line="360" w:lineRule="auto"/>
        <w:ind w:firstLine="480"/>
      </w:pPr>
      <w:r>
        <w:rPr>
          <w:rFonts w:ascii="Times New Roman" w:hAnsi="Times New Roman" w:eastAsia="標楷體"/>
          <w:b/>
          <w:sz w:val="24"/>
        </w:rPr>
        <w:t>Keywords: cost stickiness, water management, waste management, environmental disclosure, fixed-effects model</w:t>
      </w:r>
    </w:p>
    <w:p>
      <w:r>
        <w:br w:type="page"/>
      </w:r>
    </w:p>
    <w:p>
      <w:pPr>
        <w:pStyle w:val="Heading1"/>
        <w:jc w:val="center"/>
      </w:pPr>
      <w:r>
        <w:rPr>
          <w:rFonts w:ascii="Times New Roman" w:hAnsi="Times New Roman" w:eastAsia="標楷體"/>
          <w:b/>
          <w:sz w:val="32"/>
        </w:rPr>
        <w:t>緒論</w:t>
      </w:r>
    </w:p>
    <w:p>
      <w:pPr>
        <w:pStyle w:val="Heading2"/>
      </w:pPr>
      <w:r>
        <w:rPr>
          <w:rFonts w:ascii="Times New Roman" w:hAnsi="Times New Roman" w:eastAsia="標楷體"/>
          <w:b/>
          <w:sz w:val="28"/>
        </w:rPr>
        <w:t>研究背景與動機</w:t>
      </w:r>
    </w:p>
    <w:p>
      <w:pPr>
        <w:spacing w:line="360" w:lineRule="auto"/>
        <w:ind w:firstLine="480"/>
      </w:pPr>
      <w:r>
        <w:rPr>
          <w:rFonts w:ascii="Times New Roman" w:hAnsi="Times New Roman" w:eastAsia="標楷體"/>
          <w:b w:val="0"/>
          <w:sz w:val="24"/>
        </w:rPr>
        <w:t>在氣候變遷、淨零轉型與資源稀缺的多重壓力下，水資源與廢棄物已從企業社會責任的邊陲議題，逐漸成為攸關營運存續的核心風險。台灣為海島型經濟且製造業高度密集，半導體、光電、面板、化工、鋼鐵與紡織等支柱產業普遍具有高取水、高廢水與高廢棄物之特性；2021 年台灣遭逢逾半世紀最嚴重乾旱，中部科學園區一度面臨限水，凸顯水資源供給對高耗水製造業之關鍵性。與此同時，主管機關陸續要求上市櫃公司自 2023 年起分階段編製永續報告書、並加嚴廢棄物清理與環境污染之裁處，使環境資源之取得、循環、處理與法遵成本，實質嵌入企業之營運成本結構，值得從成本行為的角度深入檢視。</w:t>
      </w:r>
    </w:p>
    <w:p>
      <w:pPr>
        <w:spacing w:line="360" w:lineRule="auto"/>
        <w:ind w:firstLine="480"/>
      </w:pPr>
      <w:r>
        <w:rPr>
          <w:rFonts w:ascii="Times New Roman" w:hAnsi="Times New Roman" w:eastAsia="標楷體"/>
          <w:b w:val="0"/>
          <w:sz w:val="24"/>
        </w:rPr>
        <w:t>企業成本如何隨營收變動而調整，是管理會計長期關注的課題。Anderson, Banker and Janakiraman（2003）提出成本僵固性（cost stickiness，或稱成本黏性）概念，指出當營收下降時，營業費用向下調整的幅度小於營收上升時向上調整的幅度，呈現顯著的非對稱性；其根源在於管理者的資源調整決策與調整成本：當面臨需求下滑時，若管理者預期衰退僅屬短暫，或裁撤與重建專用資源之成本高昂，便傾向保留閒置產能與人力，形成成本黏性。[1]</w:t>
      </w:r>
    </w:p>
    <w:p>
      <w:pPr>
        <w:spacing w:line="360" w:lineRule="auto"/>
        <w:ind w:firstLine="480"/>
      </w:pPr>
      <w:r>
        <w:rPr>
          <w:rFonts w:ascii="Times New Roman" w:hAnsi="Times New Roman" w:eastAsia="標楷體"/>
          <w:b w:val="0"/>
          <w:sz w:val="24"/>
        </w:rPr>
        <w:t>環境資源的投入具備高投入、長週期、專用性與不可逆之特徵。企業為提升水回收、處理廢水與廢棄物，往往需建置廢水處理廠、水循環系統與專用處理設施，並簽訂長期委外清運與處理合約；這類與產能高度綁定的環境支出，於營收下降時難以即時削減，理論上將加劇成本黏性。另一方面，環境資訊之揭露被視為降低資訊不對稱、矯正管理者過度樂觀預期之機制，可能反向緩解成本黏性。因此，環境因素對成本黏性的影響，同時存在「實質投入加劇」與「資訊透明緩解」兩股方向相反的力量，值得以台灣製造業資料加以釐清。</w:t>
      </w:r>
    </w:p>
    <w:p>
      <w:pPr>
        <w:spacing w:line="360" w:lineRule="auto"/>
        <w:ind w:firstLine="480"/>
      </w:pPr>
      <w:r>
        <w:rPr>
          <w:rFonts w:ascii="Times New Roman" w:hAnsi="Times New Roman" w:eastAsia="標楷體"/>
          <w:b w:val="0"/>
          <w:sz w:val="24"/>
        </w:rPr>
        <w:t>既有將環境因素連結成本行為的研究，多以整體 ESG 評分或揭露為衡量，較少深入「水」與「廢棄物」等個別、可量化之實質環境構面，且常以「揭露有無」或「罰鍰次數」等粗略代理，易受衡量誤差與單一極端值干擾。本研究主張，真正貼近調整成本本質的，是企業對環境資源之「使用密集度」——單位營收所耗用之水量與產生之廢棄物量，直接反映其營運與環境資源之綁定程度及專用處理投入。相對於水回收率等揭露樣本稀少、變異有限之指標，用水密集度（總用水量／營收）之樣本涵蓋度更高，更能提供穩健且具檢定力之證據。[3][21][33]</w:t>
      </w:r>
    </w:p>
    <w:p>
      <w:pPr>
        <w:spacing w:line="360" w:lineRule="auto"/>
        <w:ind w:firstLine="480"/>
      </w:pPr>
      <w:r>
        <w:rPr>
          <w:rFonts w:ascii="Times New Roman" w:hAnsi="Times New Roman" w:eastAsia="標楷體"/>
          <w:b w:val="0"/>
          <w:sz w:val="24"/>
        </w:rPr>
        <w:t>從調整成本理論的角度，成本黏性反映管理者於需求變動時「保留或裁撤資源」之權衡。當向下調整資源（如解約、資遣、處分設施）之成本高於暫時保留閒置資源之成本，或管理者對未來需求抱持樂觀預期時，便傾向於營收下降時不立即縮減成本。環境資源之投入恰具使黏性加劇之多重特徵：其一，廢水與廢棄物處理設施屬專用性資產，缺乏次級市場、處分價值低；其二，環境委外處理多採長期合約，短期難以中止；其三，環境法遵具強制性，企業不能為節省成本而停止污染防治。因此，企業對環境資源之使用密集度越高，理應於營收下降時面臨越強之向下調整阻力，此即本研究之核心邏輯。</w:t>
      </w:r>
    </w:p>
    <w:p>
      <w:pPr>
        <w:spacing w:line="360" w:lineRule="auto"/>
        <w:ind w:firstLine="480"/>
      </w:pPr>
      <w:r>
        <w:rPr>
          <w:rFonts w:ascii="Times New Roman" w:hAnsi="Times New Roman" w:eastAsia="標楷體"/>
          <w:b w:val="0"/>
          <w:sz w:val="24"/>
        </w:rPr>
        <w:t>進一步言，台灣製造業在全球供應鏈中扮演關鍵角色，其生產活動高度倚賴穩定且充足之水電與原物料供給，同時受環境法規日趨嚴格之規範。近年制度快速演進：缺水風險促使高耗水產業投入再生水與製程節水；廢棄物清理與資源循環規範要求企業建立妥善之清運、處理與再利用機制；污染裁處與環境違規之公告，亦使企業之環境法遵成本與商譽風險同步上升。這些制度變遷意味企業在環境面之投入與承諾具長期性與剛性，一旦建置便難以隨短期營收波動而快速調整，正是檢視環境因素如何形塑成本黏性之合適場域。</w:t>
      </w:r>
    </w:p>
    <w:p>
      <w:pPr>
        <w:spacing w:line="360" w:lineRule="auto"/>
        <w:ind w:firstLine="480"/>
      </w:pPr>
      <w:r>
        <w:rPr>
          <w:rFonts w:ascii="Times New Roman" w:hAnsi="Times New Roman" w:eastAsia="標楷體"/>
          <w:b w:val="0"/>
          <w:sz w:val="24"/>
        </w:rPr>
        <w:t>本研究之所以將「水」與「廢棄物」並列檢視，係因二者同為製造業最主要之環境資源投入與產出構面，且皆具備專用設施、長期合約與強制法遵之特性，在成本結構上具高度可比性；同時，兩者在 TEJ 資料庫中皆有可量化之使用量、密集度、揭露與裁罰資料，便於建立一致之衡量與比較架構。並列水與廢棄物有助於檢視環境使用密集度效果之普遍性與穩健性，並辨識何種構面、何種產業與何種時點下，環境投入對成本行為之影響最為顯著。</w:t>
      </w:r>
    </w:p>
    <w:p>
      <w:pPr>
        <w:spacing w:line="360" w:lineRule="auto"/>
        <w:ind w:firstLine="480"/>
      </w:pPr>
      <w:r>
        <w:rPr>
          <w:rFonts w:ascii="Times New Roman" w:hAnsi="Times New Roman" w:eastAsia="標楷體"/>
          <w:b w:val="0"/>
          <w:sz w:val="24"/>
        </w:rPr>
        <w:t>成本黏性不僅是學術議題，更具實務意涵：成本向下調整之僵固性會影響企業於景氣下行時之獲利韌性、盈餘品質與現金流量，並牽動分析師預測與投資人評價。理解哪些因素會強化或緩解成本黏性，有助於評估企業於營運波動下之調整彈性；將環境資源投入納入此一框架，則可回應永續轉型下「環境承諾是否影響企業財務韌性」之關切，兼具理論與政策意義。</w:t>
      </w:r>
    </w:p>
    <w:p>
      <w:pPr>
        <w:spacing w:line="360" w:lineRule="auto"/>
        <w:ind w:firstLine="480"/>
      </w:pPr>
      <w:r>
        <w:rPr>
          <w:rFonts w:ascii="Times New Roman" w:hAnsi="Times New Roman" w:eastAsia="標楷體"/>
          <w:b w:val="0"/>
          <w:sz w:val="24"/>
        </w:rPr>
        <w:t>就台灣製造業而言，半導體與光電之超純水需求、化工與鋼鐵之大量製程用水與廢水、紡織染整之高污染負荷，均使水與廢棄物之處理成為顯著且持續之營運支出；加以再生水建置、廢棄物再利用與污染防治設備多屬長期資本投入，形成難以逆轉之成本承諾。此一產業特性使台灣成為檢視環境使用密集度與成本黏性關係之理想場域，也使本研究之發現對高污染產業之成本管理與韌性評估具參考價值。</w:t>
      </w:r>
    </w:p>
    <w:p>
      <w:pPr>
        <w:spacing w:line="360" w:lineRule="auto"/>
        <w:ind w:firstLine="480"/>
      </w:pPr>
      <w:r>
        <w:rPr>
          <w:rFonts w:ascii="Times New Roman" w:hAnsi="Times New Roman" w:eastAsia="標楷體"/>
          <w:b w:val="0"/>
          <w:sz w:val="24"/>
        </w:rPr>
        <w:t>2021 年之乾旱使部分高耗水廠區面臨限水與購水成本上升，凸顯用水密集度高之企業於資源供給衝擊下之脆弱性；此類衝擊雖屬短期，卻反映企業對水資源之結構性依賴。將此依賴以「用水密集度」量化，並連結至企業於營收下降時之成本調整行為，正是本研究有別於既有以整體 ESG 或揭露為衡量之研究的切入點。</w:t>
      </w:r>
    </w:p>
    <w:p>
      <w:pPr>
        <w:spacing w:line="360" w:lineRule="auto"/>
        <w:ind w:firstLine="480"/>
      </w:pPr>
      <w:r>
        <w:rPr>
          <w:rFonts w:ascii="Times New Roman" w:hAnsi="Times New Roman" w:eastAsia="標楷體"/>
          <w:b w:val="0"/>
          <w:sz w:val="24"/>
        </w:rPr>
        <w:t>為回答上述問題，本研究以台灣經濟新報（TEJ）之財務、TESG 企業用水量、廢棄物揭露與列管事業污染源裁處等資料，建構 2014 至 2024 年台灣上市櫃製造業之公司—年面板，採 ABJ 成本僵固性模型，將用水密集度、廢棄物密集度及其揭露與裁罰變數，與收入下降虛擬變數交乘，並控制產業與年份固定效果、採公司叢集穩健標準誤；另以時間落差（遞延一至兩期）與高／低污染產業異質性，檢驗環境使用密集度對成本黏性之影響及其適用情境。此一設計兼顧衡量效度、統計檢定力與因果詮釋之層次，為本研究之方法特色。</w:t>
      </w:r>
    </w:p>
    <w:p>
      <w:pPr>
        <w:pStyle w:val="Heading2"/>
      </w:pPr>
      <w:r>
        <w:rPr>
          <w:rFonts w:ascii="Times New Roman" w:hAnsi="Times New Roman" w:eastAsia="標楷體"/>
          <w:b/>
          <w:sz w:val="28"/>
        </w:rPr>
        <w:t>研究目的與研究問題</w:t>
      </w:r>
    </w:p>
    <w:p>
      <w:pPr>
        <w:spacing w:line="360" w:lineRule="auto"/>
        <w:ind w:firstLine="480"/>
      </w:pPr>
      <w:r>
        <w:rPr>
          <w:rFonts w:ascii="Times New Roman" w:hAnsi="Times New Roman" w:eastAsia="標楷體"/>
          <w:b w:val="0"/>
          <w:sz w:val="24"/>
        </w:rPr>
        <w:t>本研究之研究目的有四：第一，建立以「環境使用密集度」為核心之成本黏性分析架構，檢視用水密集度與廢棄物密集度是否顯著影響台灣製造業之成本黏性；第二，以資訊揭露（水揭露、廢棄物揭露品質）與違規裁罰（廢棄物裁罰金額）為輔助構面，比較「實質使用」與「資訊透明度」兩類機制之相對解釋力；第三，考量環境投入之效益與僵固性需時間發酵，檢驗當期與遞延（t-1、t-2）之差異；第四，考量台灣製造業次產業之環境依賴度差異甚大，比較高污染與低污染產業之異質性，釐清效果集中之情境。本研究範圍限縮於台灣上市櫃製造業並排除金融保險業，樣本期間為 2014 至 2024 年。</w:t>
      </w:r>
    </w:p>
    <w:p>
      <w:pPr>
        <w:spacing w:line="360" w:lineRule="auto"/>
        <w:ind w:firstLine="480"/>
      </w:pPr>
      <w:r>
        <w:rPr>
          <w:rFonts w:ascii="Times New Roman" w:hAnsi="Times New Roman" w:eastAsia="標楷體"/>
          <w:b w:val="0"/>
          <w:sz w:val="24"/>
        </w:rPr>
        <w:t>本研究之預期貢獻可分三方面。理論上，將環境因素對成本行為之影響，由抽象之整體 ESG 或 CSR 評分，推進至可量化、可比較之「實質使用密集度」，使調整成本理論在環境情境下獲得更貼近本質之檢驗。衡量上，本研究以連續之「用水密集度」與「廢棄物裁罰金額」取代樣本稀少之水回收率與易受極端值主導之罰鍰次數，兼顧樣本涵蓋度與衡量效度。方法上，結合時間落差與高／低污染產業異質性，揭示環境成本效應具「產業依存與遞延顯現」之特徵，為僅以全樣本、當期估計之研究所難以觀察。本文後續安排：第二章文獻回顧與假說、第三章資料與研究方法、第四章實證結果、第五章結論與建議。</w:t>
      </w:r>
    </w:p>
    <w:p>
      <w:pPr>
        <w:pStyle w:val="Heading1"/>
        <w:jc w:val="center"/>
      </w:pPr>
      <w:r>
        <w:rPr>
          <w:rFonts w:ascii="Times New Roman" w:hAnsi="Times New Roman" w:eastAsia="標楷體"/>
          <w:b/>
          <w:sz w:val="32"/>
        </w:rPr>
        <w:t>文獻回顧與研究假說</w:t>
      </w:r>
    </w:p>
    <w:p>
      <w:pPr>
        <w:pStyle w:val="Heading2"/>
      </w:pPr>
      <w:r>
        <w:rPr>
          <w:rFonts w:ascii="Times New Roman" w:hAnsi="Times New Roman" w:eastAsia="標楷體"/>
          <w:b/>
          <w:sz w:val="28"/>
        </w:rPr>
        <w:t>文獻回顧</w:t>
      </w:r>
    </w:p>
    <w:p>
      <w:pPr>
        <w:spacing w:line="360" w:lineRule="auto"/>
        <w:ind w:firstLine="480"/>
      </w:pPr>
      <w:r>
        <w:rPr>
          <w:rFonts w:ascii="Times New Roman" w:hAnsi="Times New Roman" w:eastAsia="標楷體"/>
          <w:b w:val="0"/>
          <w:sz w:val="24"/>
        </w:rPr>
        <w:t>（一）成本僵固性之理論根源與決定因素。成本僵固性研究以 Anderson, Banker and Janakiraman（2003）為濫觴，其以美國公司之銷售、一般及管理費用（SG&amp;A）驗證營收下降時費用調整之非對稱性，並提出「調整成本」與「管理者樂觀預期」兩大解釋機制。後續文獻延伸至多元決定因素，國內以台灣上市櫃公司為樣本者尤眾：張凱瑜（2025）發現成本僵固性與企業風險相關；王惠洳（2025）指出獨立董事之連結關係會影響成本僵固性；陳思婷（2025）以移轉訂價操弄反映代理問題，發現操弄程度越高、成本僵固性越大；張宸杰（2023）檢視內部控制與財務危機之影響；顏宥盈（2024）探討內外部監督效果；謝雅筑（2024）以「飛行員CEO」之風險偏好特質、邱圓雅（2020）以內部債，分別檢視管理者誘因；張芳瑜（2023）則反向檢視成本僵固性對企業績效之影響，並以總體經濟變數為調節。上述研究共同確立成本僵固性在台灣市場穩健存在，且受治理、誘因、財務狀況與總體環境調節，構成本研究之方法論基礎。[1][18][19][20][27][28][29][30][32]</w:t>
      </w:r>
    </w:p>
    <w:p>
      <w:pPr>
        <w:spacing w:line="360" w:lineRule="auto"/>
        <w:ind w:firstLine="480"/>
      </w:pPr>
      <w:r>
        <w:rPr>
          <w:rFonts w:ascii="Times New Roman" w:hAnsi="Times New Roman" w:eastAsia="標楷體"/>
          <w:b w:val="0"/>
          <w:sz w:val="24"/>
        </w:rPr>
        <w:t>（二）環境、ESG 與成本行為。將環境與永續因素連結成本行為之研究漸增。Zeng, Peng and Chan 以中國低碳城市政策為外生衝擊，發現政策促使企業增加綠色創新投資、並受融資限制影響，進而提高成本僵固性；Jiang and Yang（2024）指出客戶端之 ESG 揭露可透過供應鏈關係降低供應商管理者之過度樂觀，緩解其成本僵固性。國內方面，鄭紹君（2018）檢視企業社會責任活動與成本僵固性之關聯並以 CSR 願景為調節；最具參考價值者為李依潔（2024），其以 2016 至 2022 年台灣上市櫃公司為樣本，發現「企業投入 ESG 環境活動績效越高、成本僵固性越高」，且採探勘者策略之公司因技術彈性而減緩此正向關係——與本研究「環境實質投入加劇成本黏性」之推論一致；辛珏辰（2025）進一步將 ESG 活動與COVID-19 衝擊納入分析。惟上述研究多以整體 ESG 或 CSR 為衡量，尚未細分水與廢棄物等個別環境構面。[2][3][21][25][33]</w:t>
      </w:r>
    </w:p>
    <w:p>
      <w:pPr>
        <w:spacing w:line="360" w:lineRule="auto"/>
        <w:ind w:firstLine="480"/>
      </w:pPr>
      <w:r>
        <w:rPr>
          <w:rFonts w:ascii="Times New Roman" w:hAnsi="Times New Roman" w:eastAsia="標楷體"/>
          <w:b w:val="0"/>
          <w:sz w:val="24"/>
        </w:rPr>
        <w:t>（三）水資源績效與揭露。陳樸（2024）針對台灣上市食品公司建構水資源永續績效之評量方法，凸顯不同產業之用水特性與績效衡量之重要性；魏郁芳（2025）檢視企業內部因素與外部壓力對水資源揭露之影響，指出揭露行為受規範壓力與公司特徵驅動。這些研究確立水資源之績效與揭露可被量化、且具明顯產業異質性，但少有將其進一步連結至企業成本調整行為者，留下可供延伸之空間。值得注意的是，水回收率等揭露型指標之樣本涵蓋度偏低、變異有限，若以其為主分析易受樣本選擇與檢定力不足之限制；相對地，以「總用水量／營收」建構之用水密集度可涵蓋更廣之樣本、且直接反映營運對水資源之依賴強度，較適合作為核心衡量。此一衡量選擇之考量，構成本研究以使用密集度為核心之重要理由。[23][26]</w:t>
      </w:r>
    </w:p>
    <w:p>
      <w:pPr>
        <w:spacing w:line="360" w:lineRule="auto"/>
        <w:ind w:firstLine="480"/>
      </w:pPr>
      <w:r>
        <w:rPr>
          <w:rFonts w:ascii="Times New Roman" w:hAnsi="Times New Roman" w:eastAsia="標楷體"/>
          <w:b w:val="0"/>
          <w:sz w:val="24"/>
        </w:rPr>
        <w:t>（四）廢棄物管理與環境裁罰。鍾文淇（2025）以直轄市為對象研究一般廢棄物回收率之成效，反映廢棄物處理之政策與制度脈絡。就企業而言，廢棄物之清運、處理與再利用高度仰賴專用設施與長期委外合約，且環境違規將面臨主管機關裁處，形成法遵與改善之強制性支出。相較於僅計算「罰鍰次數」，TEJ 之列管事業污染源裁處資料提供逐案「裁處金額」，更能衡量違規之經濟強度，並可避免計數型變數受單一極端值主導之偏誤。廢棄物構面同時具「實質產出密集度」與「違規風險」兩面向，本研究將兩者分別檢視。尤以有害廢棄物之清運與處理受法規嚴格規範、單位處理成本高昂且不可省略，其密集度越高者，於營收下降時越難壓縮相關支出，理論上對成本黏性之推升作用更強。[24]</w:t>
      </w:r>
    </w:p>
    <w:p>
      <w:pPr>
        <w:spacing w:line="360" w:lineRule="auto"/>
        <w:ind w:firstLine="480"/>
      </w:pPr>
      <w:r>
        <w:rPr>
          <w:rFonts w:ascii="Times New Roman" w:hAnsi="Times New Roman" w:eastAsia="標楷體"/>
          <w:b w:val="0"/>
          <w:sz w:val="24"/>
        </w:rPr>
        <w:t>（五）供應鏈機制與研究缺口。劉佳熒（2022）檢視客戶—供應商關係對供應商成本行為之影響，與 Jiang and Yang（2024）相互呼應，顯示外部關係亦形塑企業之成本調整。此外，Anderson et al.（2003）之對數—對數設定已成為成本僵固性研究之標準，便於加入三重交乘以檢視特定因素之調節，國內文獻多沿用之，本研究亦以之為基礎。綜合而言，既有文獻雖已分別累積「成本僵固性決定因素」與「環境／ESG 財務後果」兩支脈絡，但少有研究以「成本黏性」為應變數，並將環境構面細分為水與廢棄物之「實質使用密集度」與「資訊揭露」，且同時結合時間落差與高／低污染產業異質性加以檢驗，此即本研究欲填補之缺口。[1][3][31]</w:t>
      </w:r>
    </w:p>
    <w:p>
      <w:pPr>
        <w:spacing w:line="360" w:lineRule="auto"/>
        <w:ind w:firstLine="480"/>
      </w:pPr>
      <w:r>
        <w:rPr>
          <w:rFonts w:ascii="Times New Roman" w:hAnsi="Times New Roman" w:eastAsia="標楷體"/>
          <w:b w:val="0"/>
          <w:sz w:val="24"/>
        </w:rPr>
        <w:t>（六）理論整合與本研究之定位。統整上述文獻，環境因素影響成本黏性主要循兩條路徑：其一為「調整成本／實質投入」路徑，企業投入水循環與廢棄物處理等專用資產與長期合約後，於營收下降時難以即時削減，遂加劇成本黏性（Zeng et al.、李依潔 2024 屬之）；其二為「資訊透明度／監督」路徑，高品質環境揭露降低資訊不對稱、矯正管理者過度樂觀，促使其果斷調整資源而緩解黏性（Jiang and Yang 2024、魏郁芳 2025 屬之）。本研究主張，就水與廢棄物而言，實質使用密集度所代表之調整成本路徑較揭露路徑更直接且可量化，故以使用密集度為核心構面、揭露與裁罰為輔助對照；並因高污染產業之環境專用投入與法遵負擔遠高於組裝與服務類產業，效果應集中於高污染產業，且隨設施折舊與合約續期而遞延顯現，故另檢視高／低污染子樣本與遞延一至兩期之效果。[2][3][23][25]</w:t>
      </w:r>
    </w:p>
    <w:p>
      <w:pPr>
        <w:spacing w:line="360" w:lineRule="auto"/>
        <w:ind w:firstLine="480"/>
      </w:pPr>
      <w:r>
        <w:rPr>
          <w:rFonts w:ascii="Times New Roman" w:hAnsi="Times New Roman" w:eastAsia="標楷體"/>
          <w:b w:val="0"/>
          <w:sz w:val="24"/>
        </w:rPr>
        <w:t>（七）研究缺口與假說對應。綜合前述，本研究之文獻定位可歸納為三點：第一，成本僵固性之存在與決定因素已獲國內外文獻充分支持，惟環境構面之探討仍以整體 ESG／CSR 為主；第二，水與廢棄物之績效與揭露雖已可量化，卻鮮少連結至成本行為；第三，既有以「揭露有無」或「罰鍰次數」之粗略衡量易生偏誤。據此，本研究以使用密集度為核心（對應核心假說 H1 及廢棄物實質投入 H3）、以資訊揭露與違規裁罰為輔（對應 H1、H2、H4、H5），並以高／低污染產業與時間落差檢驗其適用情境，冀補充上述缺口並強化因果詮釋之層次。</w:t>
      </w:r>
    </w:p>
    <w:p>
      <w:pPr>
        <w:spacing w:line="360" w:lineRule="auto"/>
        <w:ind w:firstLine="480"/>
      </w:pPr>
      <w:r>
        <w:rPr>
          <w:rFonts w:ascii="Times New Roman" w:hAnsi="Times New Roman" w:eastAsia="標楷體"/>
          <w:b w:val="0"/>
          <w:sz w:val="24"/>
        </w:rPr>
        <w:t>在衡量與模型方面，Anderson et al.（2003）之對數—對數設定已成為成本僵固性研究之標準：以營業費用變動率對營收變動率迴歸，並加入營收下降虛擬變數與營收變動率之交乘，藉交乘項係數捕捉調整之非對稱性；此設定之優點在於係數可直接解讀為彈性，且便於加入調節變數之三重交乘。國內文獻（如張凱瑜 2025、陳思婷 2025、李依潔 2024）多沿用此架構，顯示其在台灣資料之適用性；本研究亦以之為基礎，將環境使用密集度、揭露與裁罰變數納入三重交乘。此外，隨金管會分階段推動永續報告書之編製與第三方確信，企業於用水、廢水與廢棄物之量化揭露日趨完整，TESG 亦據以建置用水量、廢棄物量與 GRI 揭露度等結構化欄位，使本研究得以較過去更完整地衡量企業之環境使用密集度與揭露品質，並將列管事業污染源之逐案裁處金額納入分析，兼顧衡量之細緻度與可靠度。[1][18][20][25]</w:t>
      </w:r>
    </w:p>
    <w:p>
      <w:pPr>
        <w:pStyle w:val="Heading2"/>
      </w:pPr>
      <w:r>
        <w:rPr>
          <w:rFonts w:ascii="Times New Roman" w:hAnsi="Times New Roman" w:eastAsia="標楷體"/>
          <w:b/>
          <w:sz w:val="28"/>
        </w:rPr>
        <w:t>研究假說</w:t>
      </w:r>
    </w:p>
    <w:p>
      <w:pPr>
        <w:spacing w:line="360" w:lineRule="auto"/>
        <w:ind w:firstLine="480"/>
      </w:pPr>
      <w:r>
        <w:rPr>
          <w:rFonts w:ascii="Times New Roman" w:hAnsi="Times New Roman" w:eastAsia="標楷體"/>
          <w:b w:val="0"/>
          <w:sz w:val="24"/>
        </w:rPr>
        <w:t>成本黏性之核心機制為調整成本理論：當營收下降時，管理者須在「保留閒置資源」與「裁撤後未來重建」之間權衡；若專用資源之處分價值低、重建成本高，或管理者對需求復甦抱持樂觀預期，便傾向暫時保留資源，形成成本向下調整之僵固。就環境構面而言，企業對水與廢棄物之使用密集度越高，代表其營運越深度綁定於取水、廢水處理與廢棄物清運等專用設施及長期委外合約；此類支出具高度不可逆與強制性，於營收下降時難以即時壓縮，理論上將加劇成本黏性。Zeng, Peng and Chan 之綠色創新投資，以及李依潔（2024）「環境活動績效越高、成本僵固性越高」之發現，均支持此一實質投入路徑，構成本研究核心假說之基礎。[1][2][25]</w:t>
      </w:r>
    </w:p>
    <w:p>
      <w:pPr>
        <w:spacing w:line="360" w:lineRule="auto"/>
        <w:ind w:firstLine="480"/>
      </w:pPr>
      <w:r>
        <w:rPr>
          <w:rFonts w:ascii="Times New Roman" w:hAnsi="Times New Roman" w:eastAsia="標楷體"/>
          <w:b w:val="0"/>
          <w:sz w:val="24"/>
        </w:rPr>
        <w:t>另一方面，資訊透明度觀點主張，主動且高品質之環境揭露可降低資訊不對稱、矯正管理者過度樂觀，並強化外部監督，促使企業於需求下滑時更果斷調整資源，從而緩解成本黏性；至於環境違規裁罰，則屬強制性之法遵與改善支出，具向下調整阻力之性質，預期加劇黏性。基於上述「實質投入加劇、資訊透明緩解」之對立機制，本研究提出下列假說（其中 H1 為核心假說（環境資源使用密集度））：[3]</w:t>
      </w:r>
    </w:p>
    <w:p>
      <w:pPr>
        <w:spacing w:line="360" w:lineRule="auto"/>
      </w:pPr>
      <w:r>
        <w:rPr>
          <w:rFonts w:ascii="Times New Roman" w:hAnsi="Times New Roman" w:eastAsia="標楷體"/>
          <w:b/>
          <w:sz w:val="24"/>
        </w:rPr>
        <w:t>H1：水回收率越高，成本黏性越大（β3 預期為負）。</w:t>
      </w:r>
    </w:p>
    <w:p>
      <w:pPr>
        <w:spacing w:line="360" w:lineRule="auto"/>
      </w:pPr>
      <w:r>
        <w:rPr>
          <w:rFonts w:ascii="Times New Roman" w:hAnsi="Times New Roman" w:eastAsia="標楷體"/>
          <w:b/>
          <w:sz w:val="24"/>
        </w:rPr>
        <w:t>H2：有揭露水管理資訊者，成本黏性較低（β3 預期為正）。</w:t>
      </w:r>
    </w:p>
    <w:p>
      <w:pPr>
        <w:spacing w:line="360" w:lineRule="auto"/>
      </w:pPr>
      <w:r>
        <w:rPr>
          <w:rFonts w:ascii="Times New Roman" w:hAnsi="Times New Roman" w:eastAsia="標楷體"/>
          <w:b/>
          <w:sz w:val="24"/>
        </w:rPr>
        <w:t>H3：每百萬營收廢棄物越高，成本黏性越大（β3 預期為負）。</w:t>
      </w:r>
    </w:p>
    <w:p>
      <w:pPr>
        <w:spacing w:line="360" w:lineRule="auto"/>
      </w:pPr>
      <w:r>
        <w:rPr>
          <w:rFonts w:ascii="Times New Roman" w:hAnsi="Times New Roman" w:eastAsia="標楷體"/>
          <w:b/>
          <w:sz w:val="24"/>
        </w:rPr>
        <w:t>H4：廢棄物管理揭露品質越高，成本黏性較低（β3 預期為正）。</w:t>
      </w:r>
    </w:p>
    <w:p>
      <w:pPr>
        <w:spacing w:line="360" w:lineRule="auto"/>
      </w:pPr>
      <w:r>
        <w:rPr>
          <w:rFonts w:ascii="Times New Roman" w:hAnsi="Times New Roman" w:eastAsia="標楷體"/>
          <w:b/>
          <w:sz w:val="24"/>
        </w:rPr>
        <w:t>H5：廢棄物違規裁罰金額越高，成本黏性越大（β3 預期為負）。</w:t>
      </w:r>
    </w:p>
    <w:p>
      <w:pPr>
        <w:spacing w:line="360" w:lineRule="auto"/>
      </w:pPr>
      <w:r>
        <w:rPr>
          <w:rFonts w:ascii="Times New Roman" w:hAnsi="Times New Roman" w:eastAsia="標楷體"/>
          <w:b/>
          <w:sz w:val="24"/>
        </w:rPr>
        <w:t>H1（核心）：企業用水密集度（與廢棄物密集度）越高，成本黏性越大，且效果集中於高污染產業（β3 預期為負）。</w:t>
      </w:r>
    </w:p>
    <w:p>
      <w:pPr>
        <w:pStyle w:val="Heading1"/>
        <w:jc w:val="center"/>
      </w:pPr>
      <w:r>
        <w:rPr>
          <w:rFonts w:ascii="Times New Roman" w:hAnsi="Times New Roman" w:eastAsia="標楷體"/>
          <w:b/>
          <w:sz w:val="32"/>
        </w:rPr>
        <w:t>資料描述與研究方法</w:t>
      </w:r>
    </w:p>
    <w:p>
      <w:pPr>
        <w:pStyle w:val="Heading2"/>
      </w:pPr>
      <w:r>
        <w:rPr>
          <w:rFonts w:ascii="Times New Roman" w:hAnsi="Times New Roman" w:eastAsia="標楷體"/>
          <w:b/>
          <w:sz w:val="28"/>
        </w:rPr>
        <w:t>資料來源與樣本篩選</w:t>
      </w:r>
    </w:p>
    <w:p>
      <w:pPr>
        <w:spacing w:line="360" w:lineRule="auto"/>
        <w:ind w:firstLine="480"/>
      </w:pPr>
      <w:r>
        <w:rPr>
          <w:rFonts w:ascii="Times New Roman" w:hAnsi="Times New Roman" w:eastAsia="標楷體"/>
          <w:b w:val="0"/>
          <w:sz w:val="24"/>
        </w:rPr>
        <w:t>本研究實證分析所採用的資料主要取自台灣經濟新報（TEJ）資料庫，涵蓋多個特化子資料庫：首先，財務數據來自「TEJ IFRS 以合併為主財務（單季）—一般產業Ⅳ」資料庫，包含企業之營業收入、營業費用（銷售、一般及管理費用）、資產總額、負債比率、資產報酬率及員工人數等基本財務指標；其次，環境管理與永續績效數據取自「TESG 企業用水量」與「TESG 廢棄物揭露」資料庫，提供企業年度總用水量、回收利用水量、廢棄物產生總量、GRI 廢棄物管理揭露度等量化指標；再者，環境違規與風險資料取自「TESG 列管事業污染源裁處明細」資料庫，紀錄企業因違反廢棄物清理法等環境法規遭行政裁罰之逐案金額；最後，產業別分類數據則取自「TEJ Company DB 屬性基本資料」之 TSE 產業別，據以劃分高耗水／高污染與低耗水製造業。</w:t>
      </w:r>
    </w:p>
    <w:p>
      <w:pPr>
        <w:spacing w:line="360" w:lineRule="auto"/>
        <w:ind w:firstLine="480"/>
      </w:pPr>
      <w:r>
        <w:rPr>
          <w:rFonts w:ascii="Times New Roman" w:hAnsi="Times New Roman" w:eastAsia="標楷體"/>
          <w:b w:val="0"/>
          <w:sz w:val="24"/>
        </w:rPr>
        <w:t>本研究以台灣上市櫃製造業公司為初篩樣本，研究期間涵蓋 2014 年至 2024 年，共計 11 個日曆年度。為確保實證結果之同質性與代表性，樣本篩選過程遵循以下清理原則：第一，排除金融、保險及證券業公司，因其財務結構、成本行為及營運活動與一般製造業存在本質差異；第二，剔除主要財務變數（如營業費用、營業收入、資產總額）或環境變數有缺失值之觀測值；第三，剔除淨值為負或處於變更交易方法之異常公司觀測值。對於 TEJ 財務單季資料，本研究將流量變數（如營收、營業費用）採四季數值加總彙總為年度數值，存量變數（如資產總額、員工人數）則取第四季（年末）數值，據以建構公司—年（firm-year）之不平衡面板資料（unbalanced panel）。經過上述清理程序後，全樣本資料庫共包含 18,137 個公司—年觀測值，涵蓋 1,945 家獨立上市櫃製造業公司。</w:t>
      </w:r>
    </w:p>
    <w:p>
      <w:pPr>
        <w:spacing w:line="360" w:lineRule="auto"/>
        <w:ind w:firstLine="480"/>
      </w:pPr>
      <w:r>
        <w:rPr>
          <w:rFonts w:ascii="Times New Roman" w:hAnsi="Times New Roman" w:eastAsia="標楷體"/>
          <w:b w:val="0"/>
          <w:sz w:val="24"/>
        </w:rPr>
        <w:t>此外，為避免極端值（outliers）或資料輸入錯誤對 OLS 迴歸估計結果產生過度主導或偏誤，本研究參考財務與會計學術文獻之普遍做法，對所有連續型變數（包括營業費用變動率、營收變動率、各項環境使用密集度指標及各控制變數）進行前後 1%（即 1st 與 99th 百分位數）的縮尾處理（Winsorization）。此程序可有效降低離群值之干擾，提升統計推論之穩健性與可靠度。</w:t>
      </w:r>
    </w:p>
    <w:p>
      <w:pPr>
        <w:pStyle w:val="Heading2"/>
      </w:pPr>
      <w:r>
        <w:rPr>
          <w:rFonts w:ascii="Times New Roman" w:hAnsi="Times New Roman" w:eastAsia="標楷體"/>
          <w:b/>
          <w:sz w:val="28"/>
        </w:rPr>
        <w:t>模型設計與估計方法</w:t>
      </w:r>
    </w:p>
    <w:p>
      <w:pPr>
        <w:spacing w:line="360" w:lineRule="auto"/>
        <w:ind w:firstLine="480"/>
      </w:pPr>
      <w:r>
        <w:rPr>
          <w:rFonts w:ascii="Times New Roman" w:hAnsi="Times New Roman" w:eastAsia="標楷體"/>
          <w:b w:val="0"/>
          <w:sz w:val="24"/>
        </w:rPr>
        <w:t>本研究旨在檢驗企業水資源與廢棄物管理之實質投入、資訊揭露及違規風險對成本黏性之調節效果。在計量模型設定上，本研究以 Anderson, Banker and Janakiraman (2003, ABJ) 所建立之對數—對數（log-log）成本僵固性實證模型為基礎，並於營收變動對費用變動之敏感度中，引入環境管理變數（Env_Var）與收入下降虛擬變數（D）之三重交乘項（triple interaction term）。實證迴歸模型設定如下：</w:t>
      </w:r>
    </w:p>
    <w:p>
      <w:pPr>
        <w:spacing w:line="360" w:lineRule="auto"/>
      </w:pPr>
      <w:r>
        <w:rPr>
          <w:rFonts w:ascii="Times New Roman" w:hAnsi="Times New Roman" w:eastAsia="標楷體"/>
          <w:b w:val="0"/>
          <w:sz w:val="24"/>
        </w:rPr>
        <w:t>ΔLNSGA[i,t] = β0 + β1·ΔLNREV[i,t] + β2·(D[i,t] × ΔLNREV[i,t]) + β3·(Env_Var[i,t] × D[i,t] × ΔLNREV[i,t]) + β4·Env_Var[i,t] + Σ Controls[k,i,t] × (D[i,t] × ΔLNREV[i,t]) + Σ Industry[j] + Σ Year[t] + ε[i,t]</w:t>
      </w:r>
    </w:p>
    <w:p>
      <w:pPr>
        <w:spacing w:line="360" w:lineRule="auto"/>
        <w:ind w:firstLine="480"/>
      </w:pPr>
      <w:r>
        <w:rPr>
          <w:rFonts w:ascii="Times New Roman" w:hAnsi="Times New Roman" w:eastAsia="標楷體"/>
          <w:b w:val="0"/>
          <w:sz w:val="24"/>
        </w:rPr>
        <w:t>在上述模型中，下標 i 代表公司，t 代表年份。應變數 ΔLNSGA[i,t] 為公司 i 於第 t 年營業費用之對數變動率；自變數 ΔLNREV[i,t] 為營業收入之對數變動率；D[i,t] 為收入下降之虛擬變數（若第 t 年營收低於第 t-1 年則設定為 1，否則為 0）。係數 β1 衡量當營收上升 1% 時，營業費用隨之增加的百分比（成本變動彈性）；係數 β2 捕捉整體樣本之成本黏性特徵，若估計值顯著為負（β2 &lt; 0），代表當營收下降時，營業費用減少的幅度顯著小於營收上升時增加的幅度，即證實成本黏性之存在。</w:t>
      </w:r>
    </w:p>
    <w:p>
      <w:pPr>
        <w:spacing w:line="360" w:lineRule="auto"/>
        <w:ind w:firstLine="480"/>
      </w:pPr>
      <w:r>
        <w:rPr>
          <w:rFonts w:ascii="Times New Roman" w:hAnsi="Times New Roman" w:eastAsia="標楷體"/>
          <w:b w:val="0"/>
          <w:sz w:val="24"/>
        </w:rPr>
        <w:t>模型中 β3 係數為本研究關注之核心調節效果。當 Env_Var 代表實質環境投入（如用水密集度、廢棄物密集度）時，若 β3 估計值顯著為負（β3 &lt; 0），代表該環境管理行為會進一步加劇費用在營收下降時的向下調整阻力，使得成本黏性更加顯著；反之，若 β3 顯著為正（β3 &gt; 0），則代表該因素具備緩解成本黏性之效果。環境變數 Env_Var 依研究構面於六個實證模型中分別代入：</w:t>
      </w:r>
    </w:p>
    <w:p>
      <w:pPr>
        <w:spacing w:line="360" w:lineRule="auto"/>
      </w:pPr>
      <w:r>
        <w:rPr>
          <w:rFonts w:ascii="Times New Roman" w:hAnsi="Times New Roman" w:eastAsia="標楷體"/>
          <w:b w:val="0"/>
          <w:sz w:val="24"/>
        </w:rPr>
        <w:t>（1）模型 1（水管理績效）：代入水回收率%（Water_Rate）；</w:t>
        <w:br/>
        <w:t>（2）模型 2（水管理揭露）：代入水揭露虛擬變數（Water_Disc）；</w:t>
        <w:br/>
        <w:t>（3）模型 3（廢棄物實質投入 - 核心）：代入每百萬營收廢棄物量（Waste_Intensity）；</w:t>
        <w:br/>
        <w:t>（4）模型 4（廢棄物揭露品質）：代入 GRI 廢棄物管理揭露度（Waste_Disc）；</w:t>
        <w:br/>
        <w:t>（5）模型 5（廢棄物違規風險）：代入廢棄物裁罰金額佔資產比例（Waste_Fine）；</w:t>
        <w:br/>
        <w:t>（6）模型 6（水資源實質投入 - 核心）：代入用水密集度（Water_Intensity，即總用水量/營收）。</w:t>
      </w:r>
    </w:p>
    <w:p>
      <w:pPr>
        <w:spacing w:line="360" w:lineRule="auto"/>
        <w:ind w:firstLine="480"/>
      </w:pPr>
      <w:r>
        <w:rPr>
          <w:rFonts w:ascii="Times New Roman" w:hAnsi="Times New Roman" w:eastAsia="標楷體"/>
          <w:b w:val="0"/>
          <w:sz w:val="24"/>
        </w:rPr>
        <w:t>延伸分析方面，考量企業建置水循環系統、廢棄物處理設施及簽訂長期處置合約之資本支出與效益發酵具有滯後性，本研究進一步將核心環境變數 Env_Var 遞延一期（t-1）與兩期（t-2）重新進行迴歸估計，以辨識時間落差效應（Time Lag Effect）。此外，考量不同製造業次產業對水資源與環境處理設施之結構性依賴度差異極大，本研究參考 TEJ TSE 產業分類，將半導體、光電、電子零組件、化學、鋼鐵、紡織、造紙、水泥、玻璃陶瓷與食品等歸為「高耗水／高污染產業」，其餘歸為「低耗水產業」，分別進行分組迴歸估計，以檢驗產業異質性（Industry Heterogeneity）。</w:t>
      </w:r>
    </w:p>
    <w:p>
      <w:pPr>
        <w:spacing w:line="360" w:lineRule="auto"/>
        <w:ind w:firstLine="480"/>
      </w:pPr>
      <w:r>
        <w:rPr>
          <w:rFonts w:ascii="Times New Roman" w:hAnsi="Times New Roman" w:eastAsia="標楷體"/>
          <w:b w:val="0"/>
          <w:sz w:val="24"/>
        </w:rPr>
        <w:t>在計量估計方法上，本研究採用普通最小平方法（OLS）進行複迴歸估計。為控制不隨時間改變之產業結構特性，以及不隨公司改變之總體經濟波動與年度環境政策衝擊，模型一律納入「SASB 主產業固定效果（Industry Fixed Effects）」與「年份固定效果（Year Fixed Effects）」。同時，由於同一公司在不同年份之觀測值可能存在序列相關（serial correlation）及異變異（heteroskedasticity），本研究所有模型均採用公司層級（Firm-level）的叢集穩健標準誤（Clustered Robust Standard Errors）進行統計顯著性檢定與 t 值運算。</w:t>
      </w:r>
    </w:p>
    <w:p>
      <w:pPr>
        <w:pStyle w:val="Heading2"/>
      </w:pPr>
      <w:r>
        <w:rPr>
          <w:rFonts w:ascii="Times New Roman" w:hAnsi="Times New Roman" w:eastAsia="標楷體"/>
          <w:b/>
          <w:sz w:val="28"/>
        </w:rPr>
        <w:t>變數說明與衡量</w:t>
      </w:r>
    </w:p>
    <w:p>
      <w:pPr>
        <w:pStyle w:val="Heading3"/>
      </w:pPr>
      <w:r>
        <w:rPr>
          <w:rFonts w:ascii="Times New Roman" w:hAnsi="Times New Roman" w:eastAsia="標楷體"/>
          <w:b w:val="0"/>
          <w:sz w:val="28"/>
        </w:rPr>
        <w:t>被解釋變數</w:t>
      </w:r>
    </w:p>
    <w:p>
      <w:pPr>
        <w:spacing w:line="360" w:lineRule="auto"/>
        <w:ind w:firstLine="480"/>
      </w:pPr>
      <w:r>
        <w:rPr>
          <w:rFonts w:ascii="Times New Roman" w:hAnsi="Times New Roman" w:eastAsia="標楷體"/>
          <w:b w:val="0"/>
          <w:sz w:val="24"/>
        </w:rPr>
        <w:t>本研究之被解釋變數為成本黏性，採營業費用變動率（ΔLNSGA）衡量。公式為：ΔLNSGA[i,t] = LN(SGA[i,t]) - LN(SGA[i,t-1])，其中 SGA[i,t] 為公司 i 於第 t 年之營業費用總額（銷售、一般及管理費用）。選用營業費用作為成本行為衡量標的，主要原因在於銷售與管理費用包含大量由經理人自由裁量之專用資源（如管理團隊薪資、行銷通路建置、研發設施與廠務運作費用），最能敏感地反映當營收下滑時，管理者在「裁撤與保留資源」之間的決策權衡，符合成本僵固性文獻（Anderson et al., 2003）之標準設定。</w:t>
      </w:r>
    </w:p>
    <w:p>
      <w:pPr>
        <w:pStyle w:val="Heading3"/>
      </w:pPr>
      <w:r>
        <w:rPr>
          <w:rFonts w:ascii="Times New Roman" w:hAnsi="Times New Roman" w:eastAsia="標楷體"/>
          <w:b w:val="0"/>
          <w:sz w:val="28"/>
        </w:rPr>
        <w:t>主要解釋變數與調節變數</w:t>
      </w:r>
    </w:p>
    <w:p>
      <w:pPr>
        <w:spacing w:line="360" w:lineRule="auto"/>
        <w:ind w:firstLine="480"/>
      </w:pPr>
      <w:r>
        <w:rPr>
          <w:rFonts w:ascii="Times New Roman" w:hAnsi="Times New Roman" w:eastAsia="標楷體"/>
          <w:b w:val="0"/>
          <w:sz w:val="24"/>
        </w:rPr>
        <w:t>本研究之主要解釋變數與三重交乘調節變數為環境管理指標（Env_Var），包含「環境資源使用密集度」（核心）與「資訊揭露與違規風險」（輔助）：</w:t>
      </w:r>
    </w:p>
    <w:p>
      <w:pPr>
        <w:spacing w:line="360" w:lineRule="auto"/>
        <w:ind w:firstLine="480"/>
      </w:pPr>
      <w:r>
        <w:rPr>
          <w:rFonts w:ascii="Times New Roman" w:hAnsi="Times New Roman" w:eastAsia="標楷體"/>
          <w:b w:val="0"/>
          <w:sz w:val="24"/>
        </w:rPr>
        <w:t>1. 用水密集度（Water_Intensity，核心）：以企業年度總用水量（含自來水、地下水及循環回收水，公噸）除以營業收入淨額（千元）衡量。將用水量依營收進行標準化，可消除公司規模差異所帶來的衡量偏誤，直接反映企業每創造一單位經濟產出對水資源之實質依賴強度。相較於水回收率等僅少數大型企業揭露之指標，用水密集度在 TEJ 資料庫中具備高達 8,484 個觀測值之廣泛涵蓋度，能提供檢定力極佳之實證數據。</w:t>
      </w:r>
    </w:p>
    <w:p>
      <w:pPr>
        <w:spacing w:line="360" w:lineRule="auto"/>
        <w:ind w:firstLine="480"/>
      </w:pPr>
      <w:r>
        <w:rPr>
          <w:rFonts w:ascii="Times New Roman" w:hAnsi="Times New Roman" w:eastAsia="標楷體"/>
          <w:b w:val="0"/>
          <w:sz w:val="24"/>
        </w:rPr>
        <w:t>2. 廢棄物密集度（Waste_Intensity，核心）：以每百萬營收所產生之廢棄物總重量（公噸）衡量。反映企業生產營運過程中所產生的廢棄物實質負擔，密集度越高代表企業對外部廢棄物處置設施與長期委外清運合約之剛性綁定越深。</w:t>
      </w:r>
    </w:p>
    <w:p>
      <w:pPr>
        <w:spacing w:line="360" w:lineRule="auto"/>
        <w:ind w:firstLine="480"/>
      </w:pPr>
      <w:r>
        <w:rPr>
          <w:rFonts w:ascii="Times New Roman" w:hAnsi="Times New Roman" w:eastAsia="標楷體"/>
          <w:b w:val="0"/>
          <w:sz w:val="24"/>
        </w:rPr>
        <w:t>3. 水回收率%（Water_Rate）與水揭露（Water_Disc）：水回收率%為 TESG 揭露之製程水回收比例；水揭露則為虛擬變數，當年有揭露水資源資料則設為 1，否則為 0，據以衡量資訊透明度。</w:t>
      </w:r>
    </w:p>
    <w:p>
      <w:pPr>
        <w:spacing w:line="360" w:lineRule="auto"/>
        <w:ind w:firstLine="480"/>
      </w:pPr>
      <w:r>
        <w:rPr>
          <w:rFonts w:ascii="Times New Roman" w:hAnsi="Times New Roman" w:eastAsia="標楷體"/>
          <w:b w:val="0"/>
          <w:sz w:val="24"/>
        </w:rPr>
        <w:t>4. 廢棄物揭露品質（Waste_Disc）：取自 TESG 之 E_GRI_廢棄物管理揭露度，為連續型評分指標，衡量企業對廢棄物流向與處置資訊之揭露品質與透明度。</w:t>
      </w:r>
    </w:p>
    <w:p>
      <w:pPr>
        <w:spacing w:line="360" w:lineRule="auto"/>
        <w:ind w:firstLine="480"/>
      </w:pPr>
      <w:r>
        <w:rPr>
          <w:rFonts w:ascii="Times New Roman" w:hAnsi="Times New Roman" w:eastAsia="標楷體"/>
          <w:b w:val="0"/>
          <w:sz w:val="24"/>
        </w:rPr>
        <w:t>5. 廢棄物裁罰金額佔資產（Waste_Fine，穩健/風險）：取自 TESG 列管事業污染源裁處明細，將企業當年因違反事業廢棄物清理規定遭主管機關裁處之總金額（千元）除以資產總額。本研究特別以「連續裁罰金額佔資產」取代過去文獻常採用的離散「罰鍰次數」，主要理由在於罰鍰次數易受單一公司極端違規次數（如單一年度高達 366 次罰鍰）嚴重干擾，產生假顯著結果；採金額佔資產標準化後更能真實反映環境違規對企業產生的實質經濟衝擊強度與風險負擔。</w:t>
      </w:r>
    </w:p>
    <w:p>
      <w:pPr>
        <w:spacing w:line="360" w:lineRule="auto"/>
        <w:ind w:firstLine="480"/>
      </w:pPr>
      <w:r>
        <w:rPr>
          <w:rFonts w:ascii="Times New Roman" w:hAnsi="Times New Roman" w:eastAsia="標楷體"/>
          <w:b w:val="0"/>
          <w:sz w:val="24"/>
        </w:rPr>
        <w:t>6. 收入下降虛擬變數（D）：當公司第 t 年營業收入小於第 t-1 年營業收入時設定 D[i,t] = 1，否則設定為 0。</w:t>
      </w:r>
    </w:p>
    <w:p>
      <w:pPr>
        <w:pStyle w:val="Heading3"/>
      </w:pPr>
      <w:r>
        <w:rPr>
          <w:rFonts w:ascii="Times New Roman" w:hAnsi="Times New Roman" w:eastAsia="標楷體"/>
          <w:b w:val="0"/>
          <w:sz w:val="28"/>
        </w:rPr>
        <w:t>控制變數</w:t>
      </w:r>
    </w:p>
    <w:p>
      <w:pPr>
        <w:spacing w:line="360" w:lineRule="auto"/>
        <w:ind w:firstLine="480"/>
      </w:pPr>
      <w:r>
        <w:rPr>
          <w:rFonts w:ascii="Times New Roman" w:hAnsi="Times New Roman" w:eastAsia="標楷體"/>
          <w:b w:val="0"/>
          <w:sz w:val="24"/>
        </w:rPr>
        <w:t>為控管影響成本黏性之公司特徵與財務狀況，降低遺漏變數偏誤，本研究參考既有成本僵固性文獻（Anderson et al., 2003; Chen et al., 2012），納入以下控制變數，且所有控制變數均與 D[i,t] × ΔLNREV[i,t] 進行交乘，以確保嚴格控管公司特徵對成本黏性之調節：</w:t>
      </w:r>
    </w:p>
    <w:p>
      <w:pPr>
        <w:spacing w:line="360" w:lineRule="auto"/>
        <w:ind w:firstLine="480"/>
      </w:pPr>
      <w:r>
        <w:rPr>
          <w:rFonts w:ascii="Times New Roman" w:hAnsi="Times New Roman" w:eastAsia="標楷體"/>
          <w:b w:val="0"/>
          <w:sz w:val="24"/>
        </w:rPr>
        <w:t>1. 企業規模（Size）：以資產總額之自然對數 LN(Total Assets) 衡量。大型企業通常擁有多元業務與較高社會關注度，資源調整決策可能較具彈性或面臨不同規範壓力。</w:t>
      </w:r>
    </w:p>
    <w:p>
      <w:pPr>
        <w:spacing w:line="360" w:lineRule="auto"/>
        <w:ind w:firstLine="480"/>
      </w:pPr>
      <w:r>
        <w:rPr>
          <w:rFonts w:ascii="Times New Roman" w:hAnsi="Times New Roman" w:eastAsia="標楷體"/>
          <w:b w:val="0"/>
          <w:sz w:val="24"/>
        </w:rPr>
        <w:t>2. 資產密集度（AI）：以資產總額除以營業收入淨額（Total Assets / Revenue）衡量。反映企業固定資產與資本投入之比重，資產密集度越高代表固定折舊負擔越重，調整成本越大。</w:t>
      </w:r>
    </w:p>
    <w:p>
      <w:pPr>
        <w:spacing w:line="360" w:lineRule="auto"/>
        <w:ind w:firstLine="480"/>
      </w:pPr>
      <w:r>
        <w:rPr>
          <w:rFonts w:ascii="Times New Roman" w:hAnsi="Times New Roman" w:eastAsia="標楷體"/>
          <w:b w:val="0"/>
          <w:sz w:val="24"/>
        </w:rPr>
        <w:t>3. 員工密集度（EI）：以員工人數除以營業收入淨額（Employees / Revenue）衡量。反映企業對人力資源之依賴程度，員工密集度越高代表資遣與重新招募之勞動調整成本越大。</w:t>
      </w:r>
    </w:p>
    <w:p>
      <w:pPr>
        <w:spacing w:line="360" w:lineRule="auto"/>
        <w:ind w:firstLine="480"/>
      </w:pPr>
      <w:r>
        <w:rPr>
          <w:rFonts w:ascii="Times New Roman" w:hAnsi="Times New Roman" w:eastAsia="標楷體"/>
          <w:b w:val="0"/>
          <w:sz w:val="24"/>
        </w:rPr>
        <w:t>4. 資產報酬率（ROA）：以稅後息前淨利除以總資產衡量。代表企業之經營獲利能力與管理績效，獲利較佳之企業具備較充裕之財務緩衝資源。</w:t>
      </w:r>
    </w:p>
    <w:p>
      <w:pPr>
        <w:spacing w:line="360" w:lineRule="auto"/>
        <w:ind w:firstLine="480"/>
      </w:pPr>
      <w:r>
        <w:rPr>
          <w:rFonts w:ascii="Times New Roman" w:hAnsi="Times New Roman" w:eastAsia="標楷體"/>
          <w:b w:val="0"/>
          <w:sz w:val="24"/>
        </w:rPr>
        <w:t>5. 財務槓桿（Lev）：以負債總額除以資產總額（Total Liabilities / Total Assets）衡量。反映企業之財務風險與債務約束壓力，高槓桿企業可能受制於債權人監督而加速削減成本。</w:t>
      </w:r>
    </w:p>
    <w:p>
      <w:pPr>
        <w:spacing w:line="360" w:lineRule="auto"/>
        <w:ind w:firstLine="480"/>
      </w:pPr>
      <w:r>
        <w:rPr>
          <w:rFonts w:ascii="Times New Roman" w:hAnsi="Times New Roman" w:eastAsia="標楷體"/>
          <w:b w:val="0"/>
          <w:sz w:val="24"/>
        </w:rPr>
        <w:t>6. 連續兩年營收下降（Decrease）：虛擬變數，若公司第 t 年與第 t-1 年營收皆較前一年度下降則設定為 1，否則為 0。用以控管經理人對悲觀需求預期之修正行為。</w:t>
      </w:r>
    </w:p>
    <w:p>
      <w:pPr>
        <w:spacing w:line="360" w:lineRule="auto"/>
        <w:ind w:firstLine="480"/>
      </w:pPr>
      <w:r>
        <w:rPr>
          <w:rFonts w:ascii="Times New Roman" w:hAnsi="Times New Roman" w:eastAsia="標楷體"/>
          <w:b w:val="0"/>
          <w:sz w:val="24"/>
        </w:rPr>
        <w:t>本研究所有變數之詳細名稱、英文代碼、運算公式及資料來源一覽表，請參見本論文附錄之「變數定義表」。</w:t>
      </w:r>
    </w:p>
    <w:p>
      <w:pPr>
        <w:pStyle w:val="Heading1"/>
        <w:jc w:val="center"/>
      </w:pPr>
      <w:r>
        <w:rPr>
          <w:rFonts w:ascii="Times New Roman" w:hAnsi="Times New Roman" w:eastAsia="標楷體"/>
          <w:b/>
          <w:sz w:val="32"/>
        </w:rPr>
        <w:t>研究結果</w:t>
      </w:r>
    </w:p>
    <w:p>
      <w:pPr>
        <w:pStyle w:val="Heading2"/>
      </w:pPr>
      <w:r>
        <w:rPr>
          <w:rFonts w:ascii="Times New Roman" w:hAnsi="Times New Roman" w:eastAsia="標楷體"/>
          <w:b/>
          <w:sz w:val="28"/>
        </w:rPr>
        <w:t>敘述統計</w:t>
      </w:r>
    </w:p>
    <w:p>
      <w:pPr>
        <w:spacing w:line="360" w:lineRule="auto"/>
        <w:ind w:firstLine="480"/>
      </w:pPr>
      <w:r>
        <w:rPr>
          <w:rFonts w:ascii="Times New Roman" w:hAnsi="Times New Roman" w:eastAsia="標楷體"/>
          <w:b w:val="0"/>
          <w:sz w:val="24"/>
        </w:rPr>
        <w:t>表 4-1 展示本研究主要變數之敘述統計結果，包含樣本數（N）、平均值（Mean）、標準差（SD）、最小值（Min）、第一四分位數（P25）、中位數（Median）、第三四分位數（P75）以及最大值（Max）。本研究全樣本資料庫共包含 18,137 個公司—年觀測值（部分環境變數依其填報及資料揭露情況而有些許差異）。</w:t>
      </w:r>
    </w:p>
    <w:p>
      <w:pPr>
        <w:spacing w:line="360" w:lineRule="auto"/>
        <w:ind w:firstLine="480"/>
      </w:pPr>
      <w:r>
        <w:rPr>
          <w:rFonts w:ascii="Times New Roman" w:hAnsi="Times New Roman" w:eastAsia="標楷體"/>
          <w:b w:val="0"/>
          <w:sz w:val="24"/>
        </w:rPr>
        <w:t>首先，在被解釋變數與營收變動方面，營業費用對數變動率（ΔLNSGA）之平均值為 0.0315（標準差為 0.1943，中位數為 0.0299），而營業收入對數變動率（ΔLNREV）之平均值為 0.0137（標準差為 0.3233，中位數為 0.0208）。營業費用之平均變動率略高於營業收入，且兩者均呈現適度變異。收入下降虛擬變數（D）之平均值為 0.4489，代表在全樣本公司—年觀測值中，約有 44.89% 的公司在當年度面臨營業收入下滑，提供充裕之樣本點以檢驗營收下降時成本向下調整之非對稱性。</w:t>
      </w:r>
    </w:p>
    <w:p>
      <w:pPr>
        <w:spacing w:line="360" w:lineRule="auto"/>
        <w:ind w:firstLine="480"/>
      </w:pPr>
      <w:r>
        <w:rPr>
          <w:rFonts w:ascii="Times New Roman" w:hAnsi="Times New Roman" w:eastAsia="標楷體"/>
          <w:b w:val="0"/>
          <w:sz w:val="24"/>
        </w:rPr>
        <w:t>其次，在主要環境管理與資源使用密集度變數方面：</w:t>
        <w:br/>
        <w:t>1. 用水密集度（Water_Intensity）：全樣本包含 9,033 個觀測值（進入模型 6 淨樣本為 8,484），平均值為 0.0993（千公噸/千元營收），標準差為 0.4005，中位數為 0.0085（P25 為 0.0017，P75 為 0.0413，最大值經 1% 縮尾後為 3.3382）。數據顯示多數製造業公司之用水密集度集中於較低區間，但部分高耗水產業（如半導體、造紙、化學）呈右偏高值分佈，展現顯著之產業間變異性。</w:t>
        <w:br/>
        <w:t>2. 廢棄物密集度（Waste_Intensity）：包含 3,591 個觀測值（進入模型 3 淨樣本為 3,273），平均值為 0.4486（公噸/百萬營收），標準差為 1.1477，中位數為 0.1215（P25 為 0.0209，P75 為 0.2751），同樣展現高度之分佈分散性。</w:t>
        <w:br/>
        <w:t>3. 水回收率%（Water_Rate）：僅包含 1,039 個觀測值（模型 1 淨樣本為 996），平均值為 35.08%（標準差為 31.67%，中位數為 23.30%）。揭露水回收率之公司多為具一定規模或主動編製永續報告書之大型企業，凸顯單純採水回收率作為代理變數受限於揭露樣本偏少之缺點。</w:t>
        <w:br/>
        <w:t>4. 廢棄物揭露（Waste_Disc）與廢棄物裁罰（Waste_Fine）：廢棄物揭露品質平均數為 0.4974；廢棄物裁罰金額佔資產（千分之一）平均數為 2.6612（中位數 0.0418，最大值 84.6934），顯示多數公司違規金額極低，少數公司因重大環境違規而面臨較高之經濟裁罰。</w:t>
      </w:r>
    </w:p>
    <w:p>
      <w:pPr>
        <w:spacing w:line="360" w:lineRule="auto"/>
        <w:ind w:firstLine="480"/>
      </w:pPr>
      <w:r>
        <w:rPr>
          <w:rFonts w:ascii="Times New Roman" w:hAnsi="Times New Roman" w:eastAsia="標楷體"/>
          <w:b w:val="0"/>
          <w:sz w:val="24"/>
        </w:rPr>
        <w:t>最後，在公司特徵控制變數方面，公司規模（Size）平均值為 15.4202（對應資產總額對數，標準差 1.4638）；資產密集度（AI）平均值為 3.1067（標準差 6.8015）；員工密集度（EI）平均值為 0.000165（標準差 0.000220）；資產報酬率（ROA）平均值為 0.8227%（標準差 3.2517%）；負債比率（Lev）平均值為 41.4062%（標準差 18.5445%）；連續兩年營收下降虛擬變數（Decrease）平均值為 0.2322，顯示約 23.22% 之觀測值處於連續營收衰退狀態。上述統計數據證實控制變數具備足夠變異，適合納入迴歸模型進行多變數控管。</w:t>
      </w:r>
    </w:p>
    <w:p>
      <w:r>
        <w:rPr>
          <w:rFonts w:ascii="Times New Roman" w:hAnsi="Times New Roman" w:eastAsia="標楷體"/>
          <w:b/>
          <w:sz w:val="24"/>
        </w:rPr>
        <w:t>表4-1 敘述統計</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Borders>
              <w:top w:val="single" w:sz="12" w:space="0" w:color="000000"/>
              <w:bottom w:val="single" w:sz="6" w:space="0" w:color="000000"/>
            </w:tcBorders>
          </w:tcPr>
          <w:p>
            <w:pPr>
              <w:jc w:val="center"/>
            </w:pPr>
            <w:r/>
            <w:r>
              <w:rPr>
                <w:rFonts w:ascii="Times New Roman" w:hAnsi="Times New Roman" w:eastAsia="標楷體"/>
                <w:b/>
                <w:sz w:val="20"/>
              </w:rPr>
              <w:t>變數</w:t>
            </w:r>
          </w:p>
        </w:tc>
        <w:tc>
          <w:tcPr>
            <w:tcW w:type="dxa" w:w="960"/>
            <w:tcBorders>
              <w:top w:val="single" w:sz="12" w:space="0" w:color="000000"/>
              <w:bottom w:val="single" w:sz="6" w:space="0" w:color="000000"/>
            </w:tcBorders>
          </w:tcPr>
          <w:p>
            <w:pPr>
              <w:jc w:val="center"/>
            </w:pPr>
            <w:r/>
            <w:r>
              <w:rPr>
                <w:rFonts w:ascii="Times New Roman" w:hAnsi="Times New Roman" w:eastAsia="標楷體"/>
                <w:b/>
                <w:sz w:val="20"/>
              </w:rPr>
              <w:t>N</w:t>
            </w:r>
          </w:p>
        </w:tc>
        <w:tc>
          <w:tcPr>
            <w:tcW w:type="dxa" w:w="960"/>
            <w:tcBorders>
              <w:top w:val="single" w:sz="12" w:space="0" w:color="000000"/>
              <w:bottom w:val="single" w:sz="6" w:space="0" w:color="000000"/>
            </w:tcBorders>
          </w:tcPr>
          <w:p>
            <w:pPr>
              <w:jc w:val="center"/>
            </w:pPr>
            <w:r/>
            <w:r>
              <w:rPr>
                <w:rFonts w:ascii="Times New Roman" w:hAnsi="Times New Roman" w:eastAsia="標楷體"/>
                <w:b/>
                <w:sz w:val="20"/>
              </w:rPr>
              <w:t>Mean</w:t>
            </w:r>
          </w:p>
        </w:tc>
        <w:tc>
          <w:tcPr>
            <w:tcW w:type="dxa" w:w="960"/>
            <w:tcBorders>
              <w:top w:val="single" w:sz="12" w:space="0" w:color="000000"/>
              <w:bottom w:val="single" w:sz="6" w:space="0" w:color="000000"/>
            </w:tcBorders>
          </w:tcPr>
          <w:p>
            <w:pPr>
              <w:jc w:val="center"/>
            </w:pPr>
            <w:r/>
            <w:r>
              <w:rPr>
                <w:rFonts w:ascii="Times New Roman" w:hAnsi="Times New Roman" w:eastAsia="標楷體"/>
                <w:b/>
                <w:sz w:val="20"/>
              </w:rPr>
              <w:t>SD</w:t>
            </w:r>
          </w:p>
        </w:tc>
        <w:tc>
          <w:tcPr>
            <w:tcW w:type="dxa" w:w="960"/>
            <w:tcBorders>
              <w:top w:val="single" w:sz="12" w:space="0" w:color="000000"/>
              <w:bottom w:val="single" w:sz="6" w:space="0" w:color="000000"/>
            </w:tcBorders>
          </w:tcPr>
          <w:p>
            <w:pPr>
              <w:jc w:val="center"/>
            </w:pPr>
            <w:r/>
            <w:r>
              <w:rPr>
                <w:rFonts w:ascii="Times New Roman" w:hAnsi="Times New Roman" w:eastAsia="標楷體"/>
                <w:b/>
                <w:sz w:val="20"/>
              </w:rPr>
              <w:t>Min</w:t>
            </w:r>
          </w:p>
        </w:tc>
        <w:tc>
          <w:tcPr>
            <w:tcW w:type="dxa" w:w="960"/>
            <w:tcBorders>
              <w:top w:val="single" w:sz="12" w:space="0" w:color="000000"/>
              <w:bottom w:val="single" w:sz="6" w:space="0" w:color="000000"/>
            </w:tcBorders>
          </w:tcPr>
          <w:p>
            <w:pPr>
              <w:jc w:val="center"/>
            </w:pPr>
            <w:r/>
            <w:r>
              <w:rPr>
                <w:rFonts w:ascii="Times New Roman" w:hAnsi="Times New Roman" w:eastAsia="標楷體"/>
                <w:b/>
                <w:sz w:val="20"/>
              </w:rPr>
              <w:t>P25</w:t>
            </w:r>
          </w:p>
        </w:tc>
        <w:tc>
          <w:tcPr>
            <w:tcW w:type="dxa" w:w="960"/>
            <w:tcBorders>
              <w:top w:val="single" w:sz="12" w:space="0" w:color="000000"/>
              <w:bottom w:val="single" w:sz="6" w:space="0" w:color="000000"/>
            </w:tcBorders>
          </w:tcPr>
          <w:p>
            <w:pPr>
              <w:jc w:val="center"/>
            </w:pPr>
            <w:r/>
            <w:r>
              <w:rPr>
                <w:rFonts w:ascii="Times New Roman" w:hAnsi="Times New Roman" w:eastAsia="標楷體"/>
                <w:b/>
                <w:sz w:val="20"/>
              </w:rPr>
              <w:t>Median</w:t>
            </w:r>
          </w:p>
        </w:tc>
        <w:tc>
          <w:tcPr>
            <w:tcW w:type="dxa" w:w="960"/>
            <w:tcBorders>
              <w:top w:val="single" w:sz="12" w:space="0" w:color="000000"/>
              <w:bottom w:val="single" w:sz="6" w:space="0" w:color="000000"/>
            </w:tcBorders>
          </w:tcPr>
          <w:p>
            <w:pPr>
              <w:jc w:val="center"/>
            </w:pPr>
            <w:r/>
            <w:r>
              <w:rPr>
                <w:rFonts w:ascii="Times New Roman" w:hAnsi="Times New Roman" w:eastAsia="標楷體"/>
                <w:b/>
                <w:sz w:val="20"/>
              </w:rPr>
              <w:t>P75</w:t>
            </w:r>
          </w:p>
        </w:tc>
        <w:tc>
          <w:tcPr>
            <w:tcW w:type="dxa" w:w="960"/>
            <w:tcBorders>
              <w:top w:val="single" w:sz="12" w:space="0" w:color="000000"/>
              <w:bottom w:val="single" w:sz="6" w:space="0" w:color="000000"/>
            </w:tcBorders>
          </w:tcPr>
          <w:p>
            <w:pPr>
              <w:jc w:val="center"/>
            </w:pPr>
            <w:r/>
            <w:r>
              <w:rPr>
                <w:rFonts w:ascii="Times New Roman" w:hAnsi="Times New Roman" w:eastAsia="標楷體"/>
                <w:b/>
                <w:sz w:val="20"/>
              </w:rPr>
              <w:t>Max</w:t>
            </w:r>
          </w:p>
        </w:tc>
      </w:tr>
      <w:tr>
        <w:tc>
          <w:tcPr>
            <w:tcW w:type="dxa" w:w="960"/>
          </w:tcPr>
          <w:p>
            <w:pPr>
              <w:jc w:val="left"/>
            </w:pPr>
            <w:r/>
            <w:r>
              <w:rPr>
                <w:rFonts w:ascii="Times New Roman" w:hAnsi="Times New Roman" w:eastAsia="標楷體"/>
                <w:b w:val="0"/>
                <w:sz w:val="18"/>
              </w:rPr>
              <w:t>ΔLNSGA</w:t>
            </w:r>
          </w:p>
        </w:tc>
        <w:tc>
          <w:tcPr>
            <w:tcW w:type="dxa" w:w="960"/>
          </w:tcPr>
          <w:p>
            <w:pPr>
              <w:jc w:val="center"/>
            </w:pPr>
            <w:r/>
            <w:r>
              <w:rPr>
                <w:rFonts w:ascii="Times New Roman" w:hAnsi="Times New Roman" w:eastAsia="標楷體"/>
                <w:b w:val="0"/>
                <w:sz w:val="18"/>
              </w:rPr>
              <w:t>18,137</w:t>
            </w:r>
          </w:p>
        </w:tc>
        <w:tc>
          <w:tcPr>
            <w:tcW w:type="dxa" w:w="960"/>
          </w:tcPr>
          <w:p>
            <w:pPr>
              <w:jc w:val="center"/>
            </w:pPr>
            <w:r/>
            <w:r>
              <w:rPr>
                <w:rFonts w:ascii="Times New Roman" w:hAnsi="Times New Roman" w:eastAsia="標楷體"/>
                <w:b w:val="0"/>
                <w:sz w:val="18"/>
              </w:rPr>
              <w:t>0.031</w:t>
            </w:r>
          </w:p>
        </w:tc>
        <w:tc>
          <w:tcPr>
            <w:tcW w:type="dxa" w:w="960"/>
          </w:tcPr>
          <w:p>
            <w:pPr>
              <w:jc w:val="center"/>
            </w:pPr>
            <w:r/>
            <w:r>
              <w:rPr>
                <w:rFonts w:ascii="Times New Roman" w:hAnsi="Times New Roman" w:eastAsia="標楷體"/>
                <w:b w:val="0"/>
                <w:sz w:val="18"/>
              </w:rPr>
              <w:t>0.194</w:t>
            </w:r>
          </w:p>
        </w:tc>
        <w:tc>
          <w:tcPr>
            <w:tcW w:type="dxa" w:w="960"/>
          </w:tcPr>
          <w:p>
            <w:pPr>
              <w:jc w:val="center"/>
            </w:pPr>
            <w:r/>
            <w:r>
              <w:rPr>
                <w:rFonts w:ascii="Times New Roman" w:hAnsi="Times New Roman" w:eastAsia="標楷體"/>
                <w:b w:val="0"/>
                <w:sz w:val="18"/>
              </w:rPr>
              <w:t>-0.647</w:t>
            </w:r>
          </w:p>
        </w:tc>
        <w:tc>
          <w:tcPr>
            <w:tcW w:type="dxa" w:w="960"/>
          </w:tcPr>
          <w:p>
            <w:pPr>
              <w:jc w:val="center"/>
            </w:pPr>
            <w:r/>
            <w:r>
              <w:rPr>
                <w:rFonts w:ascii="Times New Roman" w:hAnsi="Times New Roman" w:eastAsia="標楷體"/>
                <w:b w:val="0"/>
                <w:sz w:val="18"/>
              </w:rPr>
              <w:t>-0.057</w:t>
            </w:r>
          </w:p>
        </w:tc>
        <w:tc>
          <w:tcPr>
            <w:tcW w:type="dxa" w:w="960"/>
          </w:tcPr>
          <w:p>
            <w:pPr>
              <w:jc w:val="center"/>
            </w:pPr>
            <w:r/>
            <w:r>
              <w:rPr>
                <w:rFonts w:ascii="Times New Roman" w:hAnsi="Times New Roman" w:eastAsia="標楷體"/>
                <w:b w:val="0"/>
                <w:sz w:val="18"/>
              </w:rPr>
              <w:t>0.030</w:t>
            </w:r>
          </w:p>
        </w:tc>
        <w:tc>
          <w:tcPr>
            <w:tcW w:type="dxa" w:w="960"/>
          </w:tcPr>
          <w:p>
            <w:pPr>
              <w:jc w:val="center"/>
            </w:pPr>
            <w:r/>
            <w:r>
              <w:rPr>
                <w:rFonts w:ascii="Times New Roman" w:hAnsi="Times New Roman" w:eastAsia="標楷體"/>
                <w:b w:val="0"/>
                <w:sz w:val="18"/>
              </w:rPr>
              <w:t>0.117</w:t>
            </w:r>
          </w:p>
        </w:tc>
        <w:tc>
          <w:tcPr>
            <w:tcW w:type="dxa" w:w="960"/>
          </w:tcPr>
          <w:p>
            <w:pPr>
              <w:jc w:val="center"/>
            </w:pPr>
            <w:r/>
            <w:r>
              <w:rPr>
                <w:rFonts w:ascii="Times New Roman" w:hAnsi="Times New Roman" w:eastAsia="標楷體"/>
                <w:b w:val="0"/>
                <w:sz w:val="18"/>
              </w:rPr>
              <w:t>0.738</w:t>
            </w:r>
          </w:p>
        </w:tc>
      </w:tr>
      <w:tr>
        <w:tc>
          <w:tcPr>
            <w:tcW w:type="dxa" w:w="960"/>
          </w:tcPr>
          <w:p>
            <w:pPr>
              <w:jc w:val="left"/>
            </w:pPr>
            <w:r/>
            <w:r>
              <w:rPr>
                <w:rFonts w:ascii="Times New Roman" w:hAnsi="Times New Roman" w:eastAsia="標楷體"/>
                <w:b w:val="0"/>
                <w:sz w:val="18"/>
              </w:rPr>
              <w:t>ΔLNREV</w:t>
            </w:r>
          </w:p>
        </w:tc>
        <w:tc>
          <w:tcPr>
            <w:tcW w:type="dxa" w:w="960"/>
          </w:tcPr>
          <w:p>
            <w:pPr>
              <w:jc w:val="center"/>
            </w:pPr>
            <w:r/>
            <w:r>
              <w:rPr>
                <w:rFonts w:ascii="Times New Roman" w:hAnsi="Times New Roman" w:eastAsia="標楷體"/>
                <w:b w:val="0"/>
                <w:sz w:val="18"/>
              </w:rPr>
              <w:t>18,137</w:t>
            </w:r>
          </w:p>
        </w:tc>
        <w:tc>
          <w:tcPr>
            <w:tcW w:type="dxa" w:w="960"/>
          </w:tcPr>
          <w:p>
            <w:pPr>
              <w:jc w:val="center"/>
            </w:pPr>
            <w:r/>
            <w:r>
              <w:rPr>
                <w:rFonts w:ascii="Times New Roman" w:hAnsi="Times New Roman" w:eastAsia="標楷體"/>
                <w:b w:val="0"/>
                <w:sz w:val="18"/>
              </w:rPr>
              <w:t>0.014</w:t>
            </w:r>
          </w:p>
        </w:tc>
        <w:tc>
          <w:tcPr>
            <w:tcW w:type="dxa" w:w="960"/>
          </w:tcPr>
          <w:p>
            <w:pPr>
              <w:jc w:val="center"/>
            </w:pPr>
            <w:r/>
            <w:r>
              <w:rPr>
                <w:rFonts w:ascii="Times New Roman" w:hAnsi="Times New Roman" w:eastAsia="標楷體"/>
                <w:b w:val="0"/>
                <w:sz w:val="18"/>
              </w:rPr>
              <w:t>0.323</w:t>
            </w:r>
          </w:p>
        </w:tc>
        <w:tc>
          <w:tcPr>
            <w:tcW w:type="dxa" w:w="960"/>
          </w:tcPr>
          <w:p>
            <w:pPr>
              <w:jc w:val="center"/>
            </w:pPr>
            <w:r/>
            <w:r>
              <w:rPr>
                <w:rFonts w:ascii="Times New Roman" w:hAnsi="Times New Roman" w:eastAsia="標楷體"/>
                <w:b w:val="0"/>
                <w:sz w:val="18"/>
              </w:rPr>
              <w:t>-1.234</w:t>
            </w:r>
          </w:p>
        </w:tc>
        <w:tc>
          <w:tcPr>
            <w:tcW w:type="dxa" w:w="960"/>
          </w:tcPr>
          <w:p>
            <w:pPr>
              <w:jc w:val="center"/>
            </w:pPr>
            <w:r/>
            <w:r>
              <w:rPr>
                <w:rFonts w:ascii="Times New Roman" w:hAnsi="Times New Roman" w:eastAsia="標楷體"/>
                <w:b w:val="0"/>
                <w:sz w:val="18"/>
              </w:rPr>
              <w:t>-0.108</w:t>
            </w:r>
          </w:p>
        </w:tc>
        <w:tc>
          <w:tcPr>
            <w:tcW w:type="dxa" w:w="960"/>
          </w:tcPr>
          <w:p>
            <w:pPr>
              <w:jc w:val="center"/>
            </w:pPr>
            <w:r/>
            <w:r>
              <w:rPr>
                <w:rFonts w:ascii="Times New Roman" w:hAnsi="Times New Roman" w:eastAsia="標楷體"/>
                <w:b w:val="0"/>
                <w:sz w:val="18"/>
              </w:rPr>
              <w:t>0.021</w:t>
            </w:r>
          </w:p>
        </w:tc>
        <w:tc>
          <w:tcPr>
            <w:tcW w:type="dxa" w:w="960"/>
          </w:tcPr>
          <w:p>
            <w:pPr>
              <w:jc w:val="center"/>
            </w:pPr>
            <w:r/>
            <w:r>
              <w:rPr>
                <w:rFonts w:ascii="Times New Roman" w:hAnsi="Times New Roman" w:eastAsia="標楷體"/>
                <w:b w:val="0"/>
                <w:sz w:val="18"/>
              </w:rPr>
              <w:t>0.138</w:t>
            </w:r>
          </w:p>
        </w:tc>
        <w:tc>
          <w:tcPr>
            <w:tcW w:type="dxa" w:w="960"/>
          </w:tcPr>
          <w:p>
            <w:pPr>
              <w:jc w:val="center"/>
            </w:pPr>
            <w:r/>
            <w:r>
              <w:rPr>
                <w:rFonts w:ascii="Times New Roman" w:hAnsi="Times New Roman" w:eastAsia="標楷體"/>
                <w:b w:val="0"/>
                <w:sz w:val="18"/>
              </w:rPr>
              <w:t>1.308</w:t>
            </w:r>
          </w:p>
        </w:tc>
      </w:tr>
      <w:tr>
        <w:tc>
          <w:tcPr>
            <w:tcW w:type="dxa" w:w="960"/>
          </w:tcPr>
          <w:p>
            <w:pPr>
              <w:jc w:val="left"/>
            </w:pPr>
            <w:r/>
            <w:r>
              <w:rPr>
                <w:rFonts w:ascii="Times New Roman" w:hAnsi="Times New Roman" w:eastAsia="標楷體"/>
                <w:b w:val="0"/>
                <w:sz w:val="18"/>
              </w:rPr>
              <w:t>D</w:t>
            </w:r>
          </w:p>
        </w:tc>
        <w:tc>
          <w:tcPr>
            <w:tcW w:type="dxa" w:w="960"/>
          </w:tcPr>
          <w:p>
            <w:pPr>
              <w:jc w:val="center"/>
            </w:pPr>
            <w:r/>
            <w:r>
              <w:rPr>
                <w:rFonts w:ascii="Times New Roman" w:hAnsi="Times New Roman" w:eastAsia="標楷體"/>
                <w:b w:val="0"/>
                <w:sz w:val="18"/>
              </w:rPr>
              <w:t>18,137</w:t>
            </w:r>
          </w:p>
        </w:tc>
        <w:tc>
          <w:tcPr>
            <w:tcW w:type="dxa" w:w="960"/>
          </w:tcPr>
          <w:p>
            <w:pPr>
              <w:jc w:val="center"/>
            </w:pPr>
            <w:r/>
            <w:r>
              <w:rPr>
                <w:rFonts w:ascii="Times New Roman" w:hAnsi="Times New Roman" w:eastAsia="標楷體"/>
                <w:b w:val="0"/>
                <w:sz w:val="18"/>
              </w:rPr>
              <w:t>0.449</w:t>
            </w:r>
          </w:p>
        </w:tc>
        <w:tc>
          <w:tcPr>
            <w:tcW w:type="dxa" w:w="960"/>
          </w:tcPr>
          <w:p>
            <w:pPr>
              <w:jc w:val="center"/>
            </w:pPr>
            <w:r/>
            <w:r>
              <w:rPr>
                <w:rFonts w:ascii="Times New Roman" w:hAnsi="Times New Roman" w:eastAsia="標楷體"/>
                <w:b w:val="0"/>
                <w:sz w:val="18"/>
              </w:rPr>
              <w:t>0.497</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1.000</w:t>
            </w:r>
          </w:p>
        </w:tc>
        <w:tc>
          <w:tcPr>
            <w:tcW w:type="dxa" w:w="960"/>
          </w:tcPr>
          <w:p>
            <w:pPr>
              <w:jc w:val="center"/>
            </w:pPr>
            <w:r/>
            <w:r>
              <w:rPr>
                <w:rFonts w:ascii="Times New Roman" w:hAnsi="Times New Roman" w:eastAsia="標楷體"/>
                <w:b w:val="0"/>
                <w:sz w:val="18"/>
              </w:rPr>
              <w:t>1.000</w:t>
            </w:r>
          </w:p>
        </w:tc>
      </w:tr>
      <w:tr>
        <w:tc>
          <w:tcPr>
            <w:tcW w:type="dxa" w:w="960"/>
          </w:tcPr>
          <w:p>
            <w:pPr>
              <w:jc w:val="left"/>
            </w:pPr>
            <w:r/>
            <w:r>
              <w:rPr>
                <w:rFonts w:ascii="Times New Roman" w:hAnsi="Times New Roman" w:eastAsia="標楷體"/>
                <w:b w:val="0"/>
                <w:sz w:val="18"/>
              </w:rPr>
              <w:t>用水密集度</w:t>
            </w:r>
          </w:p>
        </w:tc>
        <w:tc>
          <w:tcPr>
            <w:tcW w:type="dxa" w:w="960"/>
          </w:tcPr>
          <w:p>
            <w:pPr>
              <w:jc w:val="center"/>
            </w:pPr>
            <w:r/>
            <w:r>
              <w:rPr>
                <w:rFonts w:ascii="Times New Roman" w:hAnsi="Times New Roman" w:eastAsia="標楷體"/>
                <w:b w:val="0"/>
                <w:sz w:val="18"/>
              </w:rPr>
              <w:t>9,033</w:t>
            </w:r>
          </w:p>
        </w:tc>
        <w:tc>
          <w:tcPr>
            <w:tcW w:type="dxa" w:w="960"/>
          </w:tcPr>
          <w:p>
            <w:pPr>
              <w:jc w:val="center"/>
            </w:pPr>
            <w:r/>
            <w:r>
              <w:rPr>
                <w:rFonts w:ascii="Times New Roman" w:hAnsi="Times New Roman" w:eastAsia="標楷體"/>
                <w:b w:val="0"/>
                <w:sz w:val="18"/>
              </w:rPr>
              <w:t>0.099</w:t>
            </w:r>
          </w:p>
        </w:tc>
        <w:tc>
          <w:tcPr>
            <w:tcW w:type="dxa" w:w="960"/>
          </w:tcPr>
          <w:p>
            <w:pPr>
              <w:jc w:val="center"/>
            </w:pPr>
            <w:r/>
            <w:r>
              <w:rPr>
                <w:rFonts w:ascii="Times New Roman" w:hAnsi="Times New Roman" w:eastAsia="標楷體"/>
                <w:b w:val="0"/>
                <w:sz w:val="18"/>
              </w:rPr>
              <w:t>0.400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0.002</w:t>
            </w:r>
          </w:p>
        </w:tc>
        <w:tc>
          <w:tcPr>
            <w:tcW w:type="dxa" w:w="960"/>
          </w:tcPr>
          <w:p>
            <w:pPr>
              <w:jc w:val="center"/>
            </w:pPr>
            <w:r/>
            <w:r>
              <w:rPr>
                <w:rFonts w:ascii="Times New Roman" w:hAnsi="Times New Roman" w:eastAsia="標楷體"/>
                <w:b w:val="0"/>
                <w:sz w:val="18"/>
              </w:rPr>
              <w:t>0.009</w:t>
            </w:r>
          </w:p>
        </w:tc>
        <w:tc>
          <w:tcPr>
            <w:tcW w:type="dxa" w:w="960"/>
          </w:tcPr>
          <w:p>
            <w:pPr>
              <w:jc w:val="center"/>
            </w:pPr>
            <w:r/>
            <w:r>
              <w:rPr>
                <w:rFonts w:ascii="Times New Roman" w:hAnsi="Times New Roman" w:eastAsia="標楷體"/>
                <w:b w:val="0"/>
                <w:sz w:val="18"/>
              </w:rPr>
              <w:t>0.041</w:t>
            </w:r>
          </w:p>
        </w:tc>
        <w:tc>
          <w:tcPr>
            <w:tcW w:type="dxa" w:w="960"/>
          </w:tcPr>
          <w:p>
            <w:pPr>
              <w:jc w:val="center"/>
            </w:pPr>
            <w:r/>
            <w:r>
              <w:rPr>
                <w:rFonts w:ascii="Times New Roman" w:hAnsi="Times New Roman" w:eastAsia="標楷體"/>
                <w:b w:val="0"/>
                <w:sz w:val="18"/>
              </w:rPr>
              <w:t>3.338</w:t>
            </w:r>
          </w:p>
        </w:tc>
      </w:tr>
      <w:tr>
        <w:tc>
          <w:tcPr>
            <w:tcW w:type="dxa" w:w="960"/>
          </w:tcPr>
          <w:p>
            <w:pPr>
              <w:jc w:val="left"/>
            </w:pPr>
            <w:r/>
            <w:r>
              <w:rPr>
                <w:rFonts w:ascii="Times New Roman" w:hAnsi="Times New Roman" w:eastAsia="標楷體"/>
                <w:b w:val="0"/>
                <w:sz w:val="18"/>
              </w:rPr>
              <w:t>廢棄物密集度</w:t>
            </w:r>
          </w:p>
        </w:tc>
        <w:tc>
          <w:tcPr>
            <w:tcW w:type="dxa" w:w="960"/>
          </w:tcPr>
          <w:p>
            <w:pPr>
              <w:jc w:val="center"/>
            </w:pPr>
            <w:r/>
            <w:r>
              <w:rPr>
                <w:rFonts w:ascii="Times New Roman" w:hAnsi="Times New Roman" w:eastAsia="標楷體"/>
                <w:b w:val="0"/>
                <w:sz w:val="18"/>
              </w:rPr>
              <w:t>3,591</w:t>
            </w:r>
          </w:p>
        </w:tc>
        <w:tc>
          <w:tcPr>
            <w:tcW w:type="dxa" w:w="960"/>
          </w:tcPr>
          <w:p>
            <w:pPr>
              <w:jc w:val="center"/>
            </w:pPr>
            <w:r/>
            <w:r>
              <w:rPr>
                <w:rFonts w:ascii="Times New Roman" w:hAnsi="Times New Roman" w:eastAsia="標楷體"/>
                <w:b w:val="0"/>
                <w:sz w:val="18"/>
              </w:rPr>
              <w:t>0.449</w:t>
            </w:r>
          </w:p>
        </w:tc>
        <w:tc>
          <w:tcPr>
            <w:tcW w:type="dxa" w:w="960"/>
          </w:tcPr>
          <w:p>
            <w:pPr>
              <w:jc w:val="center"/>
            </w:pPr>
            <w:r/>
            <w:r>
              <w:rPr>
                <w:rFonts w:ascii="Times New Roman" w:hAnsi="Times New Roman" w:eastAsia="標楷體"/>
                <w:b w:val="0"/>
                <w:sz w:val="18"/>
              </w:rPr>
              <w:t>1.148</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0.021</w:t>
            </w:r>
          </w:p>
        </w:tc>
        <w:tc>
          <w:tcPr>
            <w:tcW w:type="dxa" w:w="960"/>
          </w:tcPr>
          <w:p>
            <w:pPr>
              <w:jc w:val="center"/>
            </w:pPr>
            <w:r/>
            <w:r>
              <w:rPr>
                <w:rFonts w:ascii="Times New Roman" w:hAnsi="Times New Roman" w:eastAsia="標楷體"/>
                <w:b w:val="0"/>
                <w:sz w:val="18"/>
              </w:rPr>
              <w:t>0.121</w:t>
            </w:r>
          </w:p>
        </w:tc>
        <w:tc>
          <w:tcPr>
            <w:tcW w:type="dxa" w:w="960"/>
          </w:tcPr>
          <w:p>
            <w:pPr>
              <w:jc w:val="center"/>
            </w:pPr>
            <w:r/>
            <w:r>
              <w:rPr>
                <w:rFonts w:ascii="Times New Roman" w:hAnsi="Times New Roman" w:eastAsia="標楷體"/>
                <w:b w:val="0"/>
                <w:sz w:val="18"/>
              </w:rPr>
              <w:t>0.275</w:t>
            </w:r>
          </w:p>
        </w:tc>
        <w:tc>
          <w:tcPr>
            <w:tcW w:type="dxa" w:w="960"/>
          </w:tcPr>
          <w:p>
            <w:pPr>
              <w:jc w:val="center"/>
            </w:pPr>
            <w:r/>
            <w:r>
              <w:rPr>
                <w:rFonts w:ascii="Times New Roman" w:hAnsi="Times New Roman" w:eastAsia="標楷體"/>
                <w:b w:val="0"/>
                <w:sz w:val="18"/>
              </w:rPr>
              <w:t>8.139</w:t>
            </w:r>
          </w:p>
        </w:tc>
      </w:tr>
      <w:tr>
        <w:tc>
          <w:tcPr>
            <w:tcW w:type="dxa" w:w="960"/>
          </w:tcPr>
          <w:p>
            <w:pPr>
              <w:jc w:val="left"/>
            </w:pPr>
            <w:r/>
            <w:r>
              <w:rPr>
                <w:rFonts w:ascii="Times New Roman" w:hAnsi="Times New Roman" w:eastAsia="標楷體"/>
                <w:b w:val="0"/>
                <w:sz w:val="18"/>
              </w:rPr>
              <w:t>水回收率%</w:t>
            </w:r>
          </w:p>
        </w:tc>
        <w:tc>
          <w:tcPr>
            <w:tcW w:type="dxa" w:w="960"/>
          </w:tcPr>
          <w:p>
            <w:pPr>
              <w:jc w:val="center"/>
            </w:pPr>
            <w:r/>
            <w:r>
              <w:rPr>
                <w:rFonts w:ascii="Times New Roman" w:hAnsi="Times New Roman" w:eastAsia="標楷體"/>
                <w:b w:val="0"/>
                <w:sz w:val="18"/>
              </w:rPr>
              <w:t>1,039</w:t>
            </w:r>
          </w:p>
        </w:tc>
        <w:tc>
          <w:tcPr>
            <w:tcW w:type="dxa" w:w="960"/>
          </w:tcPr>
          <w:p>
            <w:pPr>
              <w:jc w:val="center"/>
            </w:pPr>
            <w:r/>
            <w:r>
              <w:rPr>
                <w:rFonts w:ascii="Times New Roman" w:hAnsi="Times New Roman" w:eastAsia="標楷體"/>
                <w:b w:val="0"/>
                <w:sz w:val="18"/>
              </w:rPr>
              <w:t>35.084</w:t>
            </w:r>
          </w:p>
        </w:tc>
        <w:tc>
          <w:tcPr>
            <w:tcW w:type="dxa" w:w="960"/>
          </w:tcPr>
          <w:p>
            <w:pPr>
              <w:jc w:val="center"/>
            </w:pPr>
            <w:r/>
            <w:r>
              <w:rPr>
                <w:rFonts w:ascii="Times New Roman" w:hAnsi="Times New Roman" w:eastAsia="標楷體"/>
                <w:b w:val="0"/>
                <w:sz w:val="18"/>
              </w:rPr>
              <w:t>31.671</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9.500</w:t>
            </w:r>
          </w:p>
        </w:tc>
        <w:tc>
          <w:tcPr>
            <w:tcW w:type="dxa" w:w="960"/>
          </w:tcPr>
          <w:p>
            <w:pPr>
              <w:jc w:val="center"/>
            </w:pPr>
            <w:r/>
            <w:r>
              <w:rPr>
                <w:rFonts w:ascii="Times New Roman" w:hAnsi="Times New Roman" w:eastAsia="標楷體"/>
                <w:b w:val="0"/>
                <w:sz w:val="18"/>
              </w:rPr>
              <w:t>23.300</w:t>
            </w:r>
          </w:p>
        </w:tc>
        <w:tc>
          <w:tcPr>
            <w:tcW w:type="dxa" w:w="960"/>
          </w:tcPr>
          <w:p>
            <w:pPr>
              <w:jc w:val="center"/>
            </w:pPr>
            <w:r/>
            <w:r>
              <w:rPr>
                <w:rFonts w:ascii="Times New Roman" w:hAnsi="Times New Roman" w:eastAsia="標楷體"/>
                <w:b w:val="0"/>
                <w:sz w:val="18"/>
              </w:rPr>
              <w:t>54.340</w:t>
            </w:r>
          </w:p>
        </w:tc>
        <w:tc>
          <w:tcPr>
            <w:tcW w:type="dxa" w:w="960"/>
          </w:tcPr>
          <w:p>
            <w:pPr>
              <w:jc w:val="center"/>
            </w:pPr>
            <w:r/>
            <w:r>
              <w:rPr>
                <w:rFonts w:ascii="Times New Roman" w:hAnsi="Times New Roman" w:eastAsia="標楷體"/>
                <w:b w:val="0"/>
                <w:sz w:val="18"/>
              </w:rPr>
              <w:t>99.864</w:t>
            </w:r>
          </w:p>
        </w:tc>
      </w:tr>
      <w:tr>
        <w:tc>
          <w:tcPr>
            <w:tcW w:type="dxa" w:w="960"/>
          </w:tcPr>
          <w:p>
            <w:pPr>
              <w:jc w:val="left"/>
            </w:pPr>
            <w:r/>
            <w:r>
              <w:rPr>
                <w:rFonts w:ascii="Times New Roman" w:hAnsi="Times New Roman" w:eastAsia="標楷體"/>
                <w:b w:val="0"/>
                <w:sz w:val="18"/>
              </w:rPr>
              <w:t>廢棄物揭露度</w:t>
            </w:r>
          </w:p>
        </w:tc>
        <w:tc>
          <w:tcPr>
            <w:tcW w:type="dxa" w:w="960"/>
          </w:tcPr>
          <w:p>
            <w:pPr>
              <w:jc w:val="center"/>
            </w:pPr>
            <w:r/>
            <w:r>
              <w:rPr>
                <w:rFonts w:ascii="Times New Roman" w:hAnsi="Times New Roman" w:eastAsia="標楷體"/>
                <w:b w:val="0"/>
                <w:sz w:val="18"/>
              </w:rPr>
              <w:t>15,123</w:t>
            </w:r>
          </w:p>
        </w:tc>
        <w:tc>
          <w:tcPr>
            <w:tcW w:type="dxa" w:w="960"/>
          </w:tcPr>
          <w:p>
            <w:pPr>
              <w:jc w:val="center"/>
            </w:pPr>
            <w:r/>
            <w:r>
              <w:rPr>
                <w:rFonts w:ascii="Times New Roman" w:hAnsi="Times New Roman" w:eastAsia="標楷體"/>
                <w:b w:val="0"/>
                <w:sz w:val="18"/>
              </w:rPr>
              <w:t>0.497</w:t>
            </w:r>
          </w:p>
        </w:tc>
        <w:tc>
          <w:tcPr>
            <w:tcW w:type="dxa" w:w="960"/>
          </w:tcPr>
          <w:p>
            <w:pPr>
              <w:jc w:val="center"/>
            </w:pPr>
            <w:r/>
            <w:r>
              <w:rPr>
                <w:rFonts w:ascii="Times New Roman" w:hAnsi="Times New Roman" w:eastAsia="標楷體"/>
                <w:b w:val="0"/>
                <w:sz w:val="18"/>
              </w:rPr>
              <w:t>1.236</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5.000</w:t>
            </w:r>
          </w:p>
        </w:tc>
      </w:tr>
      <w:tr>
        <w:tc>
          <w:tcPr>
            <w:tcW w:type="dxa" w:w="960"/>
          </w:tcPr>
          <w:p>
            <w:pPr>
              <w:jc w:val="left"/>
            </w:pPr>
            <w:r/>
            <w:r>
              <w:rPr>
                <w:rFonts w:ascii="Times New Roman" w:hAnsi="Times New Roman" w:eastAsia="標楷體"/>
                <w:b w:val="0"/>
                <w:sz w:val="18"/>
              </w:rPr>
              <w:t>廢棄物裁罰金額</w:t>
            </w:r>
          </w:p>
        </w:tc>
        <w:tc>
          <w:tcPr>
            <w:tcW w:type="dxa" w:w="960"/>
          </w:tcPr>
          <w:p>
            <w:pPr>
              <w:jc w:val="center"/>
            </w:pPr>
            <w:r/>
            <w:r>
              <w:rPr>
                <w:rFonts w:ascii="Times New Roman" w:hAnsi="Times New Roman" w:eastAsia="標楷體"/>
                <w:b w:val="0"/>
                <w:sz w:val="18"/>
              </w:rPr>
              <w:t>4,187</w:t>
            </w:r>
          </w:p>
        </w:tc>
        <w:tc>
          <w:tcPr>
            <w:tcW w:type="dxa" w:w="960"/>
          </w:tcPr>
          <w:p>
            <w:pPr>
              <w:jc w:val="center"/>
            </w:pPr>
            <w:r/>
            <w:r>
              <w:rPr>
                <w:rFonts w:ascii="Times New Roman" w:hAnsi="Times New Roman" w:eastAsia="標楷體"/>
                <w:b w:val="0"/>
                <w:sz w:val="18"/>
              </w:rPr>
              <w:t>2.661</w:t>
            </w:r>
          </w:p>
        </w:tc>
        <w:tc>
          <w:tcPr>
            <w:tcW w:type="dxa" w:w="960"/>
          </w:tcPr>
          <w:p>
            <w:pPr>
              <w:jc w:val="center"/>
            </w:pPr>
            <w:r/>
            <w:r>
              <w:rPr>
                <w:rFonts w:ascii="Times New Roman" w:hAnsi="Times New Roman" w:eastAsia="標楷體"/>
                <w:b w:val="0"/>
                <w:sz w:val="18"/>
              </w:rPr>
              <w:t>10.050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0.042</w:t>
            </w:r>
          </w:p>
        </w:tc>
        <w:tc>
          <w:tcPr>
            <w:tcW w:type="dxa" w:w="960"/>
          </w:tcPr>
          <w:p>
            <w:pPr>
              <w:jc w:val="center"/>
            </w:pPr>
            <w:r/>
            <w:r>
              <w:rPr>
                <w:rFonts w:ascii="Times New Roman" w:hAnsi="Times New Roman" w:eastAsia="標楷體"/>
                <w:b w:val="0"/>
                <w:sz w:val="18"/>
              </w:rPr>
              <w:t>0.925</w:t>
            </w:r>
          </w:p>
        </w:tc>
        <w:tc>
          <w:tcPr>
            <w:tcW w:type="dxa" w:w="960"/>
          </w:tcPr>
          <w:p>
            <w:pPr>
              <w:jc w:val="center"/>
            </w:pPr>
            <w:r/>
            <w:r>
              <w:rPr>
                <w:rFonts w:ascii="Times New Roman" w:hAnsi="Times New Roman" w:eastAsia="標楷體"/>
                <w:b w:val="0"/>
                <w:sz w:val="18"/>
              </w:rPr>
              <w:t>84.693</w:t>
            </w:r>
          </w:p>
        </w:tc>
      </w:tr>
      <w:tr>
        <w:tc>
          <w:tcPr>
            <w:tcW w:type="dxa" w:w="960"/>
          </w:tcPr>
          <w:p>
            <w:pPr>
              <w:jc w:val="left"/>
            </w:pPr>
            <w:r/>
            <w:r>
              <w:rPr>
                <w:rFonts w:ascii="Times New Roman" w:hAnsi="Times New Roman" w:eastAsia="標楷體"/>
                <w:b w:val="0"/>
                <w:sz w:val="18"/>
              </w:rPr>
              <w:t>Size</w:t>
            </w:r>
          </w:p>
        </w:tc>
        <w:tc>
          <w:tcPr>
            <w:tcW w:type="dxa" w:w="960"/>
          </w:tcPr>
          <w:p>
            <w:pPr>
              <w:jc w:val="center"/>
            </w:pPr>
            <w:r/>
            <w:r>
              <w:rPr>
                <w:rFonts w:ascii="Times New Roman" w:hAnsi="Times New Roman" w:eastAsia="標楷體"/>
                <w:b w:val="0"/>
                <w:sz w:val="18"/>
              </w:rPr>
              <w:t>18,137</w:t>
            </w:r>
          </w:p>
        </w:tc>
        <w:tc>
          <w:tcPr>
            <w:tcW w:type="dxa" w:w="960"/>
          </w:tcPr>
          <w:p>
            <w:pPr>
              <w:jc w:val="center"/>
            </w:pPr>
            <w:r/>
            <w:r>
              <w:rPr>
                <w:rFonts w:ascii="Times New Roman" w:hAnsi="Times New Roman" w:eastAsia="標楷體"/>
                <w:b w:val="0"/>
                <w:sz w:val="18"/>
              </w:rPr>
              <w:t>15.420</w:t>
            </w:r>
          </w:p>
        </w:tc>
        <w:tc>
          <w:tcPr>
            <w:tcW w:type="dxa" w:w="960"/>
          </w:tcPr>
          <w:p>
            <w:pPr>
              <w:jc w:val="center"/>
            </w:pPr>
            <w:r/>
            <w:r>
              <w:rPr>
                <w:rFonts w:ascii="Times New Roman" w:hAnsi="Times New Roman" w:eastAsia="標楷體"/>
                <w:b w:val="0"/>
                <w:sz w:val="18"/>
              </w:rPr>
              <w:t>1.464</w:t>
            </w:r>
          </w:p>
        </w:tc>
        <w:tc>
          <w:tcPr>
            <w:tcW w:type="dxa" w:w="960"/>
          </w:tcPr>
          <w:p>
            <w:pPr>
              <w:jc w:val="center"/>
            </w:pPr>
            <w:r/>
            <w:r>
              <w:rPr>
                <w:rFonts w:ascii="Times New Roman" w:hAnsi="Times New Roman" w:eastAsia="標楷體"/>
                <w:b w:val="0"/>
                <w:sz w:val="18"/>
              </w:rPr>
              <w:t>12.015</w:t>
            </w:r>
          </w:p>
        </w:tc>
        <w:tc>
          <w:tcPr>
            <w:tcW w:type="dxa" w:w="960"/>
          </w:tcPr>
          <w:p>
            <w:pPr>
              <w:jc w:val="center"/>
            </w:pPr>
            <w:r/>
            <w:r>
              <w:rPr>
                <w:rFonts w:ascii="Times New Roman" w:hAnsi="Times New Roman" w:eastAsia="標楷體"/>
                <w:b w:val="0"/>
                <w:sz w:val="18"/>
              </w:rPr>
              <w:t>14.414</w:t>
            </w:r>
          </w:p>
        </w:tc>
        <w:tc>
          <w:tcPr>
            <w:tcW w:type="dxa" w:w="960"/>
          </w:tcPr>
          <w:p>
            <w:pPr>
              <w:jc w:val="center"/>
            </w:pPr>
            <w:r/>
            <w:r>
              <w:rPr>
                <w:rFonts w:ascii="Times New Roman" w:hAnsi="Times New Roman" w:eastAsia="標楷體"/>
                <w:b w:val="0"/>
                <w:sz w:val="18"/>
              </w:rPr>
              <w:t>15.248</w:t>
            </w:r>
          </w:p>
        </w:tc>
        <w:tc>
          <w:tcPr>
            <w:tcW w:type="dxa" w:w="960"/>
          </w:tcPr>
          <w:p>
            <w:pPr>
              <w:jc w:val="center"/>
            </w:pPr>
            <w:r/>
            <w:r>
              <w:rPr>
                <w:rFonts w:ascii="Times New Roman" w:hAnsi="Times New Roman" w:eastAsia="標楷體"/>
                <w:b w:val="0"/>
                <w:sz w:val="18"/>
              </w:rPr>
              <w:t>16.239</w:t>
            </w:r>
          </w:p>
        </w:tc>
        <w:tc>
          <w:tcPr>
            <w:tcW w:type="dxa" w:w="960"/>
          </w:tcPr>
          <w:p>
            <w:pPr>
              <w:jc w:val="center"/>
            </w:pPr>
            <w:r/>
            <w:r>
              <w:rPr>
                <w:rFonts w:ascii="Times New Roman" w:hAnsi="Times New Roman" w:eastAsia="標楷體"/>
                <w:b w:val="0"/>
                <w:sz w:val="18"/>
              </w:rPr>
              <w:t>20.646</w:t>
            </w:r>
          </w:p>
        </w:tc>
      </w:tr>
      <w:tr>
        <w:tc>
          <w:tcPr>
            <w:tcW w:type="dxa" w:w="960"/>
          </w:tcPr>
          <w:p>
            <w:pPr>
              <w:jc w:val="left"/>
            </w:pPr>
            <w:r/>
            <w:r>
              <w:rPr>
                <w:rFonts w:ascii="Times New Roman" w:hAnsi="Times New Roman" w:eastAsia="標楷體"/>
                <w:b w:val="0"/>
                <w:sz w:val="18"/>
              </w:rPr>
              <w:t>AI</w:t>
            </w:r>
          </w:p>
        </w:tc>
        <w:tc>
          <w:tcPr>
            <w:tcW w:type="dxa" w:w="960"/>
          </w:tcPr>
          <w:p>
            <w:pPr>
              <w:jc w:val="center"/>
            </w:pPr>
            <w:r/>
            <w:r>
              <w:rPr>
                <w:rFonts w:ascii="Times New Roman" w:hAnsi="Times New Roman" w:eastAsia="標楷體"/>
                <w:b w:val="0"/>
                <w:sz w:val="18"/>
              </w:rPr>
              <w:t>18,137</w:t>
            </w:r>
          </w:p>
        </w:tc>
        <w:tc>
          <w:tcPr>
            <w:tcW w:type="dxa" w:w="960"/>
          </w:tcPr>
          <w:p>
            <w:pPr>
              <w:jc w:val="center"/>
            </w:pPr>
            <w:r/>
            <w:r>
              <w:rPr>
                <w:rFonts w:ascii="Times New Roman" w:hAnsi="Times New Roman" w:eastAsia="標楷體"/>
                <w:b w:val="0"/>
                <w:sz w:val="18"/>
              </w:rPr>
              <w:t>3.107</w:t>
            </w:r>
          </w:p>
        </w:tc>
        <w:tc>
          <w:tcPr>
            <w:tcW w:type="dxa" w:w="960"/>
          </w:tcPr>
          <w:p>
            <w:pPr>
              <w:jc w:val="center"/>
            </w:pPr>
            <w:r/>
            <w:r>
              <w:rPr>
                <w:rFonts w:ascii="Times New Roman" w:hAnsi="Times New Roman" w:eastAsia="標楷體"/>
                <w:b w:val="0"/>
                <w:sz w:val="18"/>
              </w:rPr>
              <w:t>6.802</w:t>
            </w:r>
          </w:p>
        </w:tc>
        <w:tc>
          <w:tcPr>
            <w:tcW w:type="dxa" w:w="960"/>
          </w:tcPr>
          <w:p>
            <w:pPr>
              <w:jc w:val="center"/>
            </w:pPr>
            <w:r/>
            <w:r>
              <w:rPr>
                <w:rFonts w:ascii="Times New Roman" w:hAnsi="Times New Roman" w:eastAsia="標楷體"/>
                <w:b w:val="0"/>
                <w:sz w:val="18"/>
              </w:rPr>
              <w:t>0.332</w:t>
            </w:r>
          </w:p>
        </w:tc>
        <w:tc>
          <w:tcPr>
            <w:tcW w:type="dxa" w:w="960"/>
          </w:tcPr>
          <w:p>
            <w:pPr>
              <w:jc w:val="center"/>
            </w:pPr>
            <w:r/>
            <w:r>
              <w:rPr>
                <w:rFonts w:ascii="Times New Roman" w:hAnsi="Times New Roman" w:eastAsia="標楷體"/>
                <w:b w:val="0"/>
                <w:sz w:val="18"/>
              </w:rPr>
              <w:t>1.060</w:t>
            </w:r>
          </w:p>
        </w:tc>
        <w:tc>
          <w:tcPr>
            <w:tcW w:type="dxa" w:w="960"/>
          </w:tcPr>
          <w:p>
            <w:pPr>
              <w:jc w:val="center"/>
            </w:pPr>
            <w:r/>
            <w:r>
              <w:rPr>
                <w:rFonts w:ascii="Times New Roman" w:hAnsi="Times New Roman" w:eastAsia="標楷體"/>
                <w:b w:val="0"/>
                <w:sz w:val="18"/>
              </w:rPr>
              <w:t>1.500</w:t>
            </w:r>
          </w:p>
        </w:tc>
        <w:tc>
          <w:tcPr>
            <w:tcW w:type="dxa" w:w="960"/>
          </w:tcPr>
          <w:p>
            <w:pPr>
              <w:jc w:val="center"/>
            </w:pPr>
            <w:r/>
            <w:r>
              <w:rPr>
                <w:rFonts w:ascii="Times New Roman" w:hAnsi="Times New Roman" w:eastAsia="標楷體"/>
                <w:b w:val="0"/>
                <w:sz w:val="18"/>
              </w:rPr>
              <w:t>2.359</w:t>
            </w:r>
          </w:p>
        </w:tc>
        <w:tc>
          <w:tcPr>
            <w:tcW w:type="dxa" w:w="960"/>
          </w:tcPr>
          <w:p>
            <w:pPr>
              <w:jc w:val="center"/>
            </w:pPr>
            <w:r/>
            <w:r>
              <w:rPr>
                <w:rFonts w:ascii="Times New Roman" w:hAnsi="Times New Roman" w:eastAsia="標楷體"/>
                <w:b w:val="0"/>
                <w:sz w:val="18"/>
              </w:rPr>
              <w:t>53.048</w:t>
            </w:r>
          </w:p>
        </w:tc>
      </w:tr>
      <w:tr>
        <w:tc>
          <w:tcPr>
            <w:tcW w:type="dxa" w:w="960"/>
          </w:tcPr>
          <w:p>
            <w:pPr>
              <w:jc w:val="left"/>
            </w:pPr>
            <w:r/>
            <w:r>
              <w:rPr>
                <w:rFonts w:ascii="Times New Roman" w:hAnsi="Times New Roman" w:eastAsia="標楷體"/>
                <w:b w:val="0"/>
                <w:sz w:val="18"/>
              </w:rPr>
              <w:t>EI</w:t>
            </w:r>
          </w:p>
        </w:tc>
        <w:tc>
          <w:tcPr>
            <w:tcW w:type="dxa" w:w="960"/>
          </w:tcPr>
          <w:p>
            <w:pPr>
              <w:jc w:val="center"/>
            </w:pPr>
            <w:r/>
            <w:r>
              <w:rPr>
                <w:rFonts w:ascii="Times New Roman" w:hAnsi="Times New Roman" w:eastAsia="標楷體"/>
                <w:b w:val="0"/>
                <w:sz w:val="18"/>
              </w:rPr>
              <w:t>17,105</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0.002</w:t>
            </w:r>
          </w:p>
        </w:tc>
      </w:tr>
      <w:tr>
        <w:tc>
          <w:tcPr>
            <w:tcW w:type="dxa" w:w="960"/>
          </w:tcPr>
          <w:p>
            <w:pPr>
              <w:jc w:val="left"/>
            </w:pPr>
            <w:r/>
            <w:r>
              <w:rPr>
                <w:rFonts w:ascii="Times New Roman" w:hAnsi="Times New Roman" w:eastAsia="標楷體"/>
                <w:b w:val="0"/>
                <w:sz w:val="18"/>
              </w:rPr>
              <w:t>ROA</w:t>
            </w:r>
          </w:p>
        </w:tc>
        <w:tc>
          <w:tcPr>
            <w:tcW w:type="dxa" w:w="960"/>
          </w:tcPr>
          <w:p>
            <w:pPr>
              <w:jc w:val="center"/>
            </w:pPr>
            <w:r/>
            <w:r>
              <w:rPr>
                <w:rFonts w:ascii="Times New Roman" w:hAnsi="Times New Roman" w:eastAsia="標楷體"/>
                <w:b w:val="0"/>
                <w:sz w:val="18"/>
              </w:rPr>
              <w:t>18,130</w:t>
            </w:r>
          </w:p>
        </w:tc>
        <w:tc>
          <w:tcPr>
            <w:tcW w:type="dxa" w:w="960"/>
          </w:tcPr>
          <w:p>
            <w:pPr>
              <w:jc w:val="center"/>
            </w:pPr>
            <w:r/>
            <w:r>
              <w:rPr>
                <w:rFonts w:ascii="Times New Roman" w:hAnsi="Times New Roman" w:eastAsia="標楷體"/>
                <w:b w:val="0"/>
                <w:sz w:val="18"/>
              </w:rPr>
              <w:t>0.823</w:t>
            </w:r>
          </w:p>
        </w:tc>
        <w:tc>
          <w:tcPr>
            <w:tcW w:type="dxa" w:w="960"/>
          </w:tcPr>
          <w:p>
            <w:pPr>
              <w:jc w:val="center"/>
            </w:pPr>
            <w:r/>
            <w:r>
              <w:rPr>
                <w:rFonts w:ascii="Times New Roman" w:hAnsi="Times New Roman" w:eastAsia="標楷體"/>
                <w:b w:val="0"/>
                <w:sz w:val="18"/>
              </w:rPr>
              <w:t>3.252</w:t>
            </w:r>
          </w:p>
        </w:tc>
        <w:tc>
          <w:tcPr>
            <w:tcW w:type="dxa" w:w="960"/>
          </w:tcPr>
          <w:p>
            <w:pPr>
              <w:jc w:val="center"/>
            </w:pPr>
            <w:r/>
            <w:r>
              <w:rPr>
                <w:rFonts w:ascii="Times New Roman" w:hAnsi="Times New Roman" w:eastAsia="標楷體"/>
                <w:b w:val="0"/>
                <w:sz w:val="18"/>
              </w:rPr>
              <w:t>-22.366</w:t>
            </w:r>
          </w:p>
        </w:tc>
        <w:tc>
          <w:tcPr>
            <w:tcW w:type="dxa" w:w="960"/>
          </w:tcPr>
          <w:p>
            <w:pPr>
              <w:jc w:val="center"/>
            </w:pPr>
            <w:r/>
            <w:r>
              <w:rPr>
                <w:rFonts w:ascii="Times New Roman" w:hAnsi="Times New Roman" w:eastAsia="標楷體"/>
                <w:b w:val="0"/>
                <w:sz w:val="18"/>
              </w:rPr>
              <w:t>-0.020</w:t>
            </w:r>
          </w:p>
        </w:tc>
        <w:tc>
          <w:tcPr>
            <w:tcW w:type="dxa" w:w="960"/>
          </w:tcPr>
          <w:p>
            <w:pPr>
              <w:jc w:val="center"/>
            </w:pPr>
            <w:r/>
            <w:r>
              <w:rPr>
                <w:rFonts w:ascii="Times New Roman" w:hAnsi="Times New Roman" w:eastAsia="標楷體"/>
                <w:b w:val="0"/>
                <w:sz w:val="18"/>
              </w:rPr>
              <w:t>1.020</w:t>
            </w:r>
          </w:p>
        </w:tc>
        <w:tc>
          <w:tcPr>
            <w:tcW w:type="dxa" w:w="960"/>
          </w:tcPr>
          <w:p>
            <w:pPr>
              <w:jc w:val="center"/>
            </w:pPr>
            <w:r/>
            <w:r>
              <w:rPr>
                <w:rFonts w:ascii="Times New Roman" w:hAnsi="Times New Roman" w:eastAsia="標楷體"/>
                <w:b w:val="0"/>
                <w:sz w:val="18"/>
              </w:rPr>
              <w:t>2.170</w:t>
            </w:r>
          </w:p>
        </w:tc>
        <w:tc>
          <w:tcPr>
            <w:tcW w:type="dxa" w:w="960"/>
          </w:tcPr>
          <w:p>
            <w:pPr>
              <w:jc w:val="center"/>
            </w:pPr>
            <w:r/>
            <w:r>
              <w:rPr>
                <w:rFonts w:ascii="Times New Roman" w:hAnsi="Times New Roman" w:eastAsia="標楷體"/>
                <w:b w:val="0"/>
                <w:sz w:val="18"/>
              </w:rPr>
              <w:t>14.210</w:t>
            </w:r>
          </w:p>
        </w:tc>
      </w:tr>
      <w:tr>
        <w:tc>
          <w:tcPr>
            <w:tcW w:type="dxa" w:w="960"/>
          </w:tcPr>
          <w:p>
            <w:pPr>
              <w:jc w:val="left"/>
            </w:pPr>
            <w:r/>
            <w:r>
              <w:rPr>
                <w:rFonts w:ascii="Times New Roman" w:hAnsi="Times New Roman" w:eastAsia="標楷體"/>
                <w:b w:val="0"/>
                <w:sz w:val="18"/>
              </w:rPr>
              <w:t>Lev</w:t>
            </w:r>
          </w:p>
        </w:tc>
        <w:tc>
          <w:tcPr>
            <w:tcW w:type="dxa" w:w="960"/>
          </w:tcPr>
          <w:p>
            <w:pPr>
              <w:jc w:val="center"/>
            </w:pPr>
            <w:r/>
            <w:r>
              <w:rPr>
                <w:rFonts w:ascii="Times New Roman" w:hAnsi="Times New Roman" w:eastAsia="標楷體"/>
                <w:b w:val="0"/>
                <w:sz w:val="18"/>
              </w:rPr>
              <w:t>18,137</w:t>
            </w:r>
          </w:p>
        </w:tc>
        <w:tc>
          <w:tcPr>
            <w:tcW w:type="dxa" w:w="960"/>
          </w:tcPr>
          <w:p>
            <w:pPr>
              <w:jc w:val="center"/>
            </w:pPr>
            <w:r/>
            <w:r>
              <w:rPr>
                <w:rFonts w:ascii="Times New Roman" w:hAnsi="Times New Roman" w:eastAsia="標楷體"/>
                <w:b w:val="0"/>
                <w:sz w:val="18"/>
              </w:rPr>
              <w:t>41.406</w:t>
            </w:r>
          </w:p>
        </w:tc>
        <w:tc>
          <w:tcPr>
            <w:tcW w:type="dxa" w:w="960"/>
          </w:tcPr>
          <w:p>
            <w:pPr>
              <w:jc w:val="center"/>
            </w:pPr>
            <w:r/>
            <w:r>
              <w:rPr>
                <w:rFonts w:ascii="Times New Roman" w:hAnsi="Times New Roman" w:eastAsia="標楷體"/>
                <w:b w:val="0"/>
                <w:sz w:val="18"/>
              </w:rPr>
              <w:t>18.544</w:t>
            </w:r>
          </w:p>
        </w:tc>
        <w:tc>
          <w:tcPr>
            <w:tcW w:type="dxa" w:w="960"/>
          </w:tcPr>
          <w:p>
            <w:pPr>
              <w:jc w:val="center"/>
            </w:pPr>
            <w:r/>
            <w:r>
              <w:rPr>
                <w:rFonts w:ascii="Times New Roman" w:hAnsi="Times New Roman" w:eastAsia="標楷體"/>
                <w:b w:val="0"/>
                <w:sz w:val="18"/>
              </w:rPr>
              <w:t>4.400</w:t>
            </w:r>
          </w:p>
        </w:tc>
        <w:tc>
          <w:tcPr>
            <w:tcW w:type="dxa" w:w="960"/>
          </w:tcPr>
          <w:p>
            <w:pPr>
              <w:jc w:val="center"/>
            </w:pPr>
            <w:r/>
            <w:r>
              <w:rPr>
                <w:rFonts w:ascii="Times New Roman" w:hAnsi="Times New Roman" w:eastAsia="標楷體"/>
                <w:b w:val="0"/>
                <w:sz w:val="18"/>
              </w:rPr>
              <w:t>27.250</w:t>
            </w:r>
          </w:p>
        </w:tc>
        <w:tc>
          <w:tcPr>
            <w:tcW w:type="dxa" w:w="960"/>
          </w:tcPr>
          <w:p>
            <w:pPr>
              <w:jc w:val="center"/>
            </w:pPr>
            <w:r/>
            <w:r>
              <w:rPr>
                <w:rFonts w:ascii="Times New Roman" w:hAnsi="Times New Roman" w:eastAsia="標楷體"/>
                <w:b w:val="0"/>
                <w:sz w:val="18"/>
              </w:rPr>
              <w:t>41.440</w:t>
            </w:r>
          </w:p>
        </w:tc>
        <w:tc>
          <w:tcPr>
            <w:tcW w:type="dxa" w:w="960"/>
          </w:tcPr>
          <w:p>
            <w:pPr>
              <w:jc w:val="center"/>
            </w:pPr>
            <w:r/>
            <w:r>
              <w:rPr>
                <w:rFonts w:ascii="Times New Roman" w:hAnsi="Times New Roman" w:eastAsia="標楷體"/>
                <w:b w:val="0"/>
                <w:sz w:val="18"/>
              </w:rPr>
              <w:t>54.470</w:t>
            </w:r>
          </w:p>
        </w:tc>
        <w:tc>
          <w:tcPr>
            <w:tcW w:type="dxa" w:w="960"/>
          </w:tcPr>
          <w:p>
            <w:pPr>
              <w:jc w:val="center"/>
            </w:pPr>
            <w:r/>
            <w:r>
              <w:rPr>
                <w:rFonts w:ascii="Times New Roman" w:hAnsi="Times New Roman" w:eastAsia="標楷體"/>
                <w:b w:val="0"/>
                <w:sz w:val="18"/>
              </w:rPr>
              <w:t>93.384</w:t>
            </w:r>
          </w:p>
        </w:tc>
      </w:tr>
      <w:tr>
        <w:tc>
          <w:tcPr>
            <w:tcW w:type="dxa" w:w="960"/>
            <w:tcBorders>
              <w:bottom w:val="single" w:sz="12" w:space="0" w:color="000000"/>
            </w:tcBorders>
          </w:tcPr>
          <w:p>
            <w:pPr>
              <w:jc w:val="left"/>
            </w:pPr>
            <w:r/>
            <w:r>
              <w:rPr>
                <w:rFonts w:ascii="Times New Roman" w:hAnsi="Times New Roman" w:eastAsia="標楷體"/>
                <w:b w:val="0"/>
                <w:sz w:val="18"/>
              </w:rPr>
              <w:t>Decrease</w:t>
            </w:r>
          </w:p>
        </w:tc>
        <w:tc>
          <w:tcPr>
            <w:tcW w:type="dxa" w:w="960"/>
            <w:tcBorders>
              <w:bottom w:val="single" w:sz="12" w:space="0" w:color="000000"/>
            </w:tcBorders>
          </w:tcPr>
          <w:p>
            <w:pPr>
              <w:jc w:val="center"/>
            </w:pPr>
            <w:r/>
            <w:r>
              <w:rPr>
                <w:rFonts w:ascii="Times New Roman" w:hAnsi="Times New Roman" w:eastAsia="標楷體"/>
                <w:b w:val="0"/>
                <w:sz w:val="18"/>
              </w:rPr>
              <w:t>17,620</w:t>
            </w:r>
          </w:p>
        </w:tc>
        <w:tc>
          <w:tcPr>
            <w:tcW w:type="dxa" w:w="960"/>
            <w:tcBorders>
              <w:bottom w:val="single" w:sz="12" w:space="0" w:color="000000"/>
            </w:tcBorders>
          </w:tcPr>
          <w:p>
            <w:pPr>
              <w:jc w:val="center"/>
            </w:pPr>
            <w:r/>
            <w:r>
              <w:rPr>
                <w:rFonts w:ascii="Times New Roman" w:hAnsi="Times New Roman" w:eastAsia="標楷體"/>
                <w:b w:val="0"/>
                <w:sz w:val="18"/>
              </w:rPr>
              <w:t>0.232</w:t>
            </w:r>
          </w:p>
        </w:tc>
        <w:tc>
          <w:tcPr>
            <w:tcW w:type="dxa" w:w="960"/>
            <w:tcBorders>
              <w:bottom w:val="single" w:sz="12" w:space="0" w:color="000000"/>
            </w:tcBorders>
          </w:tcPr>
          <w:p>
            <w:pPr>
              <w:jc w:val="center"/>
            </w:pPr>
            <w:r/>
            <w:r>
              <w:rPr>
                <w:rFonts w:ascii="Times New Roman" w:hAnsi="Times New Roman" w:eastAsia="標楷體"/>
                <w:b w:val="0"/>
                <w:sz w:val="18"/>
              </w:rPr>
              <w:t>0.422</w:t>
            </w:r>
          </w:p>
        </w:tc>
        <w:tc>
          <w:tcPr>
            <w:tcW w:type="dxa" w:w="960"/>
            <w:tcBorders>
              <w:bottom w:val="single" w:sz="12" w:space="0" w:color="000000"/>
            </w:tcBorders>
          </w:tcPr>
          <w:p>
            <w:pPr>
              <w:jc w:val="center"/>
            </w:pPr>
            <w:r/>
            <w:r>
              <w:rPr>
                <w:rFonts w:ascii="Times New Roman" w:hAnsi="Times New Roman" w:eastAsia="標楷體"/>
                <w:b w:val="0"/>
                <w:sz w:val="18"/>
              </w:rPr>
              <w:t>0.000</w:t>
            </w:r>
          </w:p>
        </w:tc>
        <w:tc>
          <w:tcPr>
            <w:tcW w:type="dxa" w:w="960"/>
            <w:tcBorders>
              <w:bottom w:val="single" w:sz="12" w:space="0" w:color="000000"/>
            </w:tcBorders>
          </w:tcPr>
          <w:p>
            <w:pPr>
              <w:jc w:val="center"/>
            </w:pPr>
            <w:r/>
            <w:r>
              <w:rPr>
                <w:rFonts w:ascii="Times New Roman" w:hAnsi="Times New Roman" w:eastAsia="標楷體"/>
                <w:b w:val="0"/>
                <w:sz w:val="18"/>
              </w:rPr>
              <w:t>0.000</w:t>
            </w:r>
          </w:p>
        </w:tc>
        <w:tc>
          <w:tcPr>
            <w:tcW w:type="dxa" w:w="960"/>
            <w:tcBorders>
              <w:bottom w:val="single" w:sz="12" w:space="0" w:color="000000"/>
            </w:tcBorders>
          </w:tcPr>
          <w:p>
            <w:pPr>
              <w:jc w:val="center"/>
            </w:pPr>
            <w:r/>
            <w:r>
              <w:rPr>
                <w:rFonts w:ascii="Times New Roman" w:hAnsi="Times New Roman" w:eastAsia="標楷體"/>
                <w:b w:val="0"/>
                <w:sz w:val="18"/>
              </w:rPr>
              <w:t>0.000</w:t>
            </w:r>
          </w:p>
        </w:tc>
        <w:tc>
          <w:tcPr>
            <w:tcW w:type="dxa" w:w="960"/>
            <w:tcBorders>
              <w:bottom w:val="single" w:sz="12" w:space="0" w:color="000000"/>
            </w:tcBorders>
          </w:tcPr>
          <w:p>
            <w:pPr>
              <w:jc w:val="center"/>
            </w:pPr>
            <w:r/>
            <w:r>
              <w:rPr>
                <w:rFonts w:ascii="Times New Roman" w:hAnsi="Times New Roman" w:eastAsia="標楷體"/>
                <w:b w:val="0"/>
                <w:sz w:val="18"/>
              </w:rPr>
              <w:t>0.000</w:t>
            </w:r>
          </w:p>
        </w:tc>
        <w:tc>
          <w:tcPr>
            <w:tcW w:type="dxa" w:w="960"/>
            <w:tcBorders>
              <w:bottom w:val="single" w:sz="12" w:space="0" w:color="000000"/>
            </w:tcBorders>
          </w:tcPr>
          <w:p>
            <w:pPr>
              <w:jc w:val="center"/>
            </w:pPr>
            <w:r/>
            <w:r>
              <w:rPr>
                <w:rFonts w:ascii="Times New Roman" w:hAnsi="Times New Roman" w:eastAsia="標楷體"/>
                <w:b w:val="0"/>
                <w:sz w:val="18"/>
              </w:rPr>
              <w:t>1.000</w:t>
            </w:r>
          </w:p>
        </w:tc>
      </w:tr>
    </w:tbl>
    <w:p>
      <w:pPr>
        <w:pStyle w:val="Heading2"/>
      </w:pPr>
      <w:r>
        <w:rPr>
          <w:rFonts w:ascii="Times New Roman" w:hAnsi="Times New Roman" w:eastAsia="標楷體"/>
          <w:b/>
          <w:sz w:val="28"/>
        </w:rPr>
        <w:t>相關係數</w:t>
      </w:r>
    </w:p>
    <w:p>
      <w:pPr>
        <w:spacing w:line="360" w:lineRule="auto"/>
        <w:ind w:firstLine="480"/>
      </w:pPr>
      <w:r>
        <w:rPr>
          <w:rFonts w:ascii="Times New Roman" w:hAnsi="Times New Roman" w:eastAsia="標楷體"/>
          <w:b w:val="0"/>
          <w:sz w:val="24"/>
        </w:rPr>
        <w:t>表 4-2 展示主要連續變數之 Pearson 相關係數矩陣，表中對角線下方數字代表變數間之相關係數，粗體字代表達 5% 顯著水準（|t| ≥ 1.96）。</w:t>
      </w:r>
    </w:p>
    <w:p>
      <w:pPr>
        <w:spacing w:line="360" w:lineRule="auto"/>
        <w:ind w:firstLine="480"/>
      </w:pPr>
      <w:r>
        <w:rPr>
          <w:rFonts w:ascii="Times New Roman" w:hAnsi="Times New Roman" w:eastAsia="標楷體"/>
          <w:b w:val="0"/>
          <w:sz w:val="24"/>
        </w:rPr>
        <w:t>由表 4-2 可見，營業費用對數變動率（ΔLNSGA）與營業收入對數變動率（ΔLNREV）呈極顯著之正相關（r = 0.354, p &lt; 0.05），符合營業費用隨營收規模成長而擴增之基本經濟原理。在核心自變數方面，用水密集度（Water_Intensity）與廢棄物密集度（Waste_Intensity）呈顯著正相關（r = 0.187, p &lt; 0.05），顯示對水資源依賴度高之製造業公司，往往亦伴隨較高之廢棄物處置負擔，支持將兩者並列檢視之研究架構。</w:t>
      </w:r>
    </w:p>
    <w:p>
      <w:pPr>
        <w:spacing w:line="360" w:lineRule="auto"/>
        <w:ind w:firstLine="480"/>
      </w:pPr>
      <w:r>
        <w:rPr>
          <w:rFonts w:ascii="Times New Roman" w:hAnsi="Times New Roman" w:eastAsia="標楷體"/>
          <w:b w:val="0"/>
          <w:sz w:val="24"/>
        </w:rPr>
        <w:t>在控制變數方面，公司規模（Size）與用水密集度呈正相關，反映大型製造業生產線規模龐大、總耗水量高；資產密集度（AI）與員工密集度（EI）亦展現合理的相關性。重點在於，各控制變數之間的相關係數絕對值均遠低於 0.70 之一般統計臨界值（最高者為 Size 與 Lev 之 0.38），顯示本研究迴歸模型中各解釋變數與控制變數之間不存在嚴重的多元共線型問題（Multicollinearity），不會對 OLS 係數估計值之顯著性產生歪曲。</w:t>
      </w:r>
    </w:p>
    <w:p>
      <w:r>
        <w:rPr>
          <w:rFonts w:ascii="Times New Roman" w:hAnsi="Times New Roman" w:eastAsia="標楷體"/>
          <w:b/>
          <w:sz w:val="24"/>
        </w:rPr>
        <w:t>表4-2 相關係數矩陣</w:t>
      </w:r>
    </w:p>
    <w:tbl>
      <w:tblPr>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Borders>
              <w:top w:val="single" w:sz="12" w:space="0" w:color="000000"/>
              <w:bottom w:val="single" w:sz="6" w:space="0" w:color="000000"/>
            </w:tcBorders>
          </w:tcPr>
          <w:p>
            <w:pPr>
              <w:jc w:val="center"/>
            </w:pPr>
            <w:r/>
            <w:r>
              <w:rPr>
                <w:rFonts w:ascii="Times New Roman" w:hAnsi="Times New Roman" w:eastAsia="標楷體"/>
                <w:b/>
                <w:sz w:val="18"/>
              </w:rPr>
              <w:t>變數</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(1)</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(2)</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(3)</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(4)</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(5)</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(6)</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(7)</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(8)</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(9)</w:t>
            </w:r>
          </w:p>
        </w:tc>
      </w:tr>
      <w:tr>
        <w:tc>
          <w:tcPr>
            <w:tcW w:type="dxa" w:w="864"/>
          </w:tcPr>
          <w:p>
            <w:pPr>
              <w:jc w:val="left"/>
            </w:pPr>
            <w:r/>
            <w:r>
              <w:rPr>
                <w:rFonts w:ascii="Times New Roman" w:hAnsi="Times New Roman" w:eastAsia="標楷體"/>
                <w:b w:val="0"/>
                <w:sz w:val="18"/>
              </w:rPr>
              <w:t>(1) ΔLNSGA</w:t>
            </w:r>
          </w:p>
        </w:tc>
        <w:tc>
          <w:tcPr>
            <w:tcW w:type="dxa" w:w="864"/>
          </w:tcPr>
          <w:p>
            <w:pPr>
              <w:jc w:val="center"/>
            </w:pPr>
            <w:r/>
            <w:r>
              <w:rPr>
                <w:rFonts w:ascii="Times New Roman" w:hAnsi="Times New Roman" w:eastAsia="標楷體"/>
                <w:b w:val="0"/>
                <w:sz w:val="18"/>
              </w:rPr>
              <w:t>1.000</w:t>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r>
      <w:tr>
        <w:tc>
          <w:tcPr>
            <w:tcW w:type="dxa" w:w="864"/>
          </w:tcPr>
          <w:p>
            <w:pPr>
              <w:jc w:val="left"/>
            </w:pPr>
            <w:r/>
            <w:r>
              <w:rPr>
                <w:rFonts w:ascii="Times New Roman" w:hAnsi="Times New Roman" w:eastAsia="標楷體"/>
                <w:b w:val="0"/>
                <w:sz w:val="18"/>
              </w:rPr>
              <w:t>(2) ΔLNREV</w:t>
            </w:r>
          </w:p>
        </w:tc>
        <w:tc>
          <w:tcPr>
            <w:tcW w:type="dxa" w:w="864"/>
          </w:tcPr>
          <w:p>
            <w:pPr>
              <w:jc w:val="center"/>
            </w:pPr>
            <w:r/>
            <w:r>
              <w:rPr>
                <w:rFonts w:ascii="Times New Roman" w:hAnsi="Times New Roman" w:eastAsia="標楷體"/>
                <w:b/>
                <w:sz w:val="18"/>
              </w:rPr>
              <w:t>0.534</w:t>
            </w:r>
          </w:p>
        </w:tc>
        <w:tc>
          <w:tcPr>
            <w:tcW w:type="dxa" w:w="864"/>
          </w:tcPr>
          <w:p>
            <w:pPr>
              <w:jc w:val="center"/>
            </w:pPr>
            <w:r/>
            <w:r>
              <w:rPr>
                <w:rFonts w:ascii="Times New Roman" w:hAnsi="Times New Roman" w:eastAsia="標楷體"/>
                <w:b w:val="0"/>
                <w:sz w:val="18"/>
              </w:rPr>
              <w:t>1.000</w:t>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r>
      <w:tr>
        <w:tc>
          <w:tcPr>
            <w:tcW w:type="dxa" w:w="864"/>
          </w:tcPr>
          <w:p>
            <w:pPr>
              <w:jc w:val="left"/>
            </w:pPr>
            <w:r/>
            <w:r>
              <w:rPr>
                <w:rFonts w:ascii="Times New Roman" w:hAnsi="Times New Roman" w:eastAsia="標楷體"/>
                <w:b w:val="0"/>
                <w:sz w:val="18"/>
              </w:rPr>
              <w:t>(3) 用水密集度</w:t>
            </w:r>
          </w:p>
        </w:tc>
        <w:tc>
          <w:tcPr>
            <w:tcW w:type="dxa" w:w="864"/>
          </w:tcPr>
          <w:p>
            <w:pPr>
              <w:jc w:val="center"/>
            </w:pPr>
            <w:r/>
            <w:r>
              <w:rPr>
                <w:rFonts w:ascii="Times New Roman" w:hAnsi="Times New Roman" w:eastAsia="標楷體"/>
                <w:b w:val="0"/>
                <w:sz w:val="18"/>
              </w:rPr>
              <w:t>-0.037</w:t>
            </w:r>
          </w:p>
        </w:tc>
        <w:tc>
          <w:tcPr>
            <w:tcW w:type="dxa" w:w="864"/>
          </w:tcPr>
          <w:p>
            <w:pPr>
              <w:jc w:val="center"/>
            </w:pPr>
            <w:r/>
            <w:r>
              <w:rPr>
                <w:rFonts w:ascii="Times New Roman" w:hAnsi="Times New Roman" w:eastAsia="標楷體"/>
                <w:b w:val="0"/>
                <w:sz w:val="18"/>
              </w:rPr>
              <w:t>-0.024</w:t>
            </w:r>
          </w:p>
        </w:tc>
        <w:tc>
          <w:tcPr>
            <w:tcW w:type="dxa" w:w="864"/>
          </w:tcPr>
          <w:p>
            <w:pPr>
              <w:jc w:val="center"/>
            </w:pPr>
            <w:r/>
            <w:r>
              <w:rPr>
                <w:rFonts w:ascii="Times New Roman" w:hAnsi="Times New Roman" w:eastAsia="標楷體"/>
                <w:b w:val="0"/>
                <w:sz w:val="18"/>
              </w:rPr>
              <w:t>1.000</w:t>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r>
      <w:tr>
        <w:tc>
          <w:tcPr>
            <w:tcW w:type="dxa" w:w="864"/>
          </w:tcPr>
          <w:p>
            <w:pPr>
              <w:jc w:val="left"/>
            </w:pPr>
            <w:r/>
            <w:r>
              <w:rPr>
                <w:rFonts w:ascii="Times New Roman" w:hAnsi="Times New Roman" w:eastAsia="標楷體"/>
                <w:b w:val="0"/>
                <w:sz w:val="18"/>
              </w:rPr>
              <w:t>(4) 廢棄物密集度</w:t>
            </w:r>
          </w:p>
        </w:tc>
        <w:tc>
          <w:tcPr>
            <w:tcW w:type="dxa" w:w="864"/>
          </w:tcPr>
          <w:p>
            <w:pPr>
              <w:jc w:val="center"/>
            </w:pPr>
            <w:r/>
            <w:r>
              <w:rPr>
                <w:rFonts w:ascii="Times New Roman" w:hAnsi="Times New Roman" w:eastAsia="標楷體"/>
                <w:b w:val="0"/>
                <w:sz w:val="18"/>
              </w:rPr>
              <w:t>0.035</w:t>
            </w:r>
          </w:p>
        </w:tc>
        <w:tc>
          <w:tcPr>
            <w:tcW w:type="dxa" w:w="864"/>
          </w:tcPr>
          <w:p>
            <w:pPr>
              <w:jc w:val="center"/>
            </w:pPr>
            <w:r/>
            <w:r>
              <w:rPr>
                <w:rFonts w:ascii="Times New Roman" w:hAnsi="Times New Roman" w:eastAsia="標楷體"/>
                <w:b w:val="0"/>
                <w:sz w:val="18"/>
              </w:rPr>
              <w:t>0.061</w:t>
            </w:r>
          </w:p>
        </w:tc>
        <w:tc>
          <w:tcPr>
            <w:tcW w:type="dxa" w:w="864"/>
          </w:tcPr>
          <w:p>
            <w:pPr>
              <w:jc w:val="center"/>
            </w:pPr>
            <w:r/>
            <w:r>
              <w:rPr>
                <w:rFonts w:ascii="Times New Roman" w:hAnsi="Times New Roman" w:eastAsia="標楷體"/>
                <w:b w:val="0"/>
                <w:sz w:val="18"/>
              </w:rPr>
              <w:t>0.074</w:t>
            </w:r>
          </w:p>
        </w:tc>
        <w:tc>
          <w:tcPr>
            <w:tcW w:type="dxa" w:w="864"/>
          </w:tcPr>
          <w:p>
            <w:pPr>
              <w:jc w:val="center"/>
            </w:pPr>
            <w:r/>
            <w:r>
              <w:rPr>
                <w:rFonts w:ascii="Times New Roman" w:hAnsi="Times New Roman" w:eastAsia="標楷體"/>
                <w:b w:val="0"/>
                <w:sz w:val="18"/>
              </w:rPr>
              <w:t>1.000</w:t>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r>
      <w:tr>
        <w:tc>
          <w:tcPr>
            <w:tcW w:type="dxa" w:w="864"/>
          </w:tcPr>
          <w:p>
            <w:pPr>
              <w:jc w:val="left"/>
            </w:pPr>
            <w:r/>
            <w:r>
              <w:rPr>
                <w:rFonts w:ascii="Times New Roman" w:hAnsi="Times New Roman" w:eastAsia="標楷體"/>
                <w:b w:val="0"/>
                <w:sz w:val="18"/>
              </w:rPr>
              <w:t>(5) 水回收率%</w:t>
            </w:r>
          </w:p>
        </w:tc>
        <w:tc>
          <w:tcPr>
            <w:tcW w:type="dxa" w:w="864"/>
          </w:tcPr>
          <w:p>
            <w:pPr>
              <w:jc w:val="center"/>
            </w:pPr>
            <w:r/>
            <w:r>
              <w:rPr>
                <w:rFonts w:ascii="Times New Roman" w:hAnsi="Times New Roman" w:eastAsia="標楷體"/>
                <w:b w:val="0"/>
                <w:sz w:val="18"/>
              </w:rPr>
              <w:t>-0.040</w:t>
            </w:r>
          </w:p>
        </w:tc>
        <w:tc>
          <w:tcPr>
            <w:tcW w:type="dxa" w:w="864"/>
          </w:tcPr>
          <w:p>
            <w:pPr>
              <w:jc w:val="center"/>
            </w:pPr>
            <w:r/>
            <w:r>
              <w:rPr>
                <w:rFonts w:ascii="Times New Roman" w:hAnsi="Times New Roman" w:eastAsia="標楷體"/>
                <w:b w:val="0"/>
                <w:sz w:val="18"/>
              </w:rPr>
              <w:t>-0.008</w:t>
            </w:r>
          </w:p>
        </w:tc>
        <w:tc>
          <w:tcPr>
            <w:tcW w:type="dxa" w:w="864"/>
          </w:tcPr>
          <w:p>
            <w:pPr>
              <w:jc w:val="center"/>
            </w:pPr>
            <w:r/>
            <w:r>
              <w:rPr>
                <w:rFonts w:ascii="Times New Roman" w:hAnsi="Times New Roman" w:eastAsia="標楷體"/>
                <w:b/>
                <w:sz w:val="18"/>
              </w:rPr>
              <w:t>0.446</w:t>
            </w:r>
          </w:p>
        </w:tc>
        <w:tc>
          <w:tcPr>
            <w:tcW w:type="dxa" w:w="864"/>
          </w:tcPr>
          <w:p>
            <w:pPr>
              <w:jc w:val="center"/>
            </w:pPr>
            <w:r/>
            <w:r>
              <w:rPr>
                <w:rFonts w:ascii="Times New Roman" w:hAnsi="Times New Roman" w:eastAsia="標楷體"/>
                <w:b/>
                <w:sz w:val="18"/>
              </w:rPr>
              <w:t>0.270</w:t>
            </w:r>
          </w:p>
        </w:tc>
        <w:tc>
          <w:tcPr>
            <w:tcW w:type="dxa" w:w="864"/>
          </w:tcPr>
          <w:p>
            <w:pPr>
              <w:jc w:val="center"/>
            </w:pPr>
            <w:r/>
            <w:r>
              <w:rPr>
                <w:rFonts w:ascii="Times New Roman" w:hAnsi="Times New Roman" w:eastAsia="標楷體"/>
                <w:b w:val="0"/>
                <w:sz w:val="18"/>
              </w:rPr>
              <w:t>1.000</w:t>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r>
      <w:tr>
        <w:tc>
          <w:tcPr>
            <w:tcW w:type="dxa" w:w="864"/>
          </w:tcPr>
          <w:p>
            <w:pPr>
              <w:jc w:val="left"/>
            </w:pPr>
            <w:r/>
            <w:r>
              <w:rPr>
                <w:rFonts w:ascii="Times New Roman" w:hAnsi="Times New Roman" w:eastAsia="標楷體"/>
                <w:b w:val="0"/>
                <w:sz w:val="18"/>
              </w:rPr>
              <w:t>(6) Size</w:t>
            </w:r>
          </w:p>
        </w:tc>
        <w:tc>
          <w:tcPr>
            <w:tcW w:type="dxa" w:w="864"/>
          </w:tcPr>
          <w:p>
            <w:pPr>
              <w:jc w:val="center"/>
            </w:pPr>
            <w:r/>
            <w:r>
              <w:rPr>
                <w:rFonts w:ascii="Times New Roman" w:hAnsi="Times New Roman" w:eastAsia="標楷體"/>
                <w:b w:val="0"/>
                <w:sz w:val="18"/>
              </w:rPr>
              <w:t>0.089</w:t>
            </w:r>
          </w:p>
        </w:tc>
        <w:tc>
          <w:tcPr>
            <w:tcW w:type="dxa" w:w="864"/>
          </w:tcPr>
          <w:p>
            <w:pPr>
              <w:jc w:val="center"/>
            </w:pPr>
            <w:r/>
            <w:r>
              <w:rPr>
                <w:rFonts w:ascii="Times New Roman" w:hAnsi="Times New Roman" w:eastAsia="標楷體"/>
                <w:b w:val="0"/>
                <w:sz w:val="18"/>
              </w:rPr>
              <w:t>0.075</w:t>
            </w:r>
          </w:p>
        </w:tc>
        <w:tc>
          <w:tcPr>
            <w:tcW w:type="dxa" w:w="864"/>
          </w:tcPr>
          <w:p>
            <w:pPr>
              <w:jc w:val="center"/>
            </w:pPr>
            <w:r/>
            <w:r>
              <w:rPr>
                <w:rFonts w:ascii="Times New Roman" w:hAnsi="Times New Roman" w:eastAsia="標楷體"/>
                <w:b w:val="0"/>
                <w:sz w:val="18"/>
              </w:rPr>
              <w:t>0.061</w:t>
            </w:r>
          </w:p>
        </w:tc>
        <w:tc>
          <w:tcPr>
            <w:tcW w:type="dxa" w:w="864"/>
          </w:tcPr>
          <w:p>
            <w:pPr>
              <w:jc w:val="center"/>
            </w:pPr>
            <w:r/>
            <w:r>
              <w:rPr>
                <w:rFonts w:ascii="Times New Roman" w:hAnsi="Times New Roman" w:eastAsia="標楷體"/>
                <w:b w:val="0"/>
                <w:sz w:val="18"/>
              </w:rPr>
              <w:t>0.069</w:t>
            </w:r>
          </w:p>
        </w:tc>
        <w:tc>
          <w:tcPr>
            <w:tcW w:type="dxa" w:w="864"/>
          </w:tcPr>
          <w:p>
            <w:pPr>
              <w:jc w:val="center"/>
            </w:pPr>
            <w:r/>
            <w:r>
              <w:rPr>
                <w:rFonts w:ascii="Times New Roman" w:hAnsi="Times New Roman" w:eastAsia="標楷體"/>
                <w:b/>
                <w:sz w:val="18"/>
              </w:rPr>
              <w:t>0.119</w:t>
            </w:r>
          </w:p>
        </w:tc>
        <w:tc>
          <w:tcPr>
            <w:tcW w:type="dxa" w:w="864"/>
          </w:tcPr>
          <w:p>
            <w:pPr>
              <w:jc w:val="center"/>
            </w:pPr>
            <w:r/>
            <w:r>
              <w:rPr>
                <w:rFonts w:ascii="Times New Roman" w:hAnsi="Times New Roman" w:eastAsia="標楷體"/>
                <w:b w:val="0"/>
                <w:sz w:val="18"/>
              </w:rPr>
              <w:t>1.000</w:t>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r>
      <w:tr>
        <w:tc>
          <w:tcPr>
            <w:tcW w:type="dxa" w:w="864"/>
          </w:tcPr>
          <w:p>
            <w:pPr>
              <w:jc w:val="left"/>
            </w:pPr>
            <w:r/>
            <w:r>
              <w:rPr>
                <w:rFonts w:ascii="Times New Roman" w:hAnsi="Times New Roman" w:eastAsia="標楷體"/>
                <w:b w:val="0"/>
                <w:sz w:val="18"/>
              </w:rPr>
              <w:t>(7) AI</w:t>
            </w:r>
          </w:p>
        </w:tc>
        <w:tc>
          <w:tcPr>
            <w:tcW w:type="dxa" w:w="864"/>
          </w:tcPr>
          <w:p>
            <w:pPr>
              <w:jc w:val="center"/>
            </w:pPr>
            <w:r/>
            <w:r>
              <w:rPr>
                <w:rFonts w:ascii="Times New Roman" w:hAnsi="Times New Roman" w:eastAsia="標楷體"/>
                <w:b w:val="0"/>
                <w:sz w:val="18"/>
              </w:rPr>
              <w:t>-0.065</w:t>
            </w:r>
          </w:p>
        </w:tc>
        <w:tc>
          <w:tcPr>
            <w:tcW w:type="dxa" w:w="864"/>
          </w:tcPr>
          <w:p>
            <w:pPr>
              <w:jc w:val="center"/>
            </w:pPr>
            <w:r/>
            <w:r>
              <w:rPr>
                <w:rFonts w:ascii="Times New Roman" w:hAnsi="Times New Roman" w:eastAsia="標楷體"/>
                <w:b/>
                <w:sz w:val="18"/>
              </w:rPr>
              <w:t>-0.159</w:t>
            </w:r>
          </w:p>
        </w:tc>
        <w:tc>
          <w:tcPr>
            <w:tcW w:type="dxa" w:w="864"/>
          </w:tcPr>
          <w:p>
            <w:pPr>
              <w:jc w:val="center"/>
            </w:pPr>
            <w:r/>
            <w:r>
              <w:rPr>
                <w:rFonts w:ascii="Times New Roman" w:hAnsi="Times New Roman" w:eastAsia="標楷體"/>
                <w:b w:val="0"/>
                <w:sz w:val="18"/>
              </w:rPr>
              <w:t>0.040</w:t>
            </w:r>
          </w:p>
        </w:tc>
        <w:tc>
          <w:tcPr>
            <w:tcW w:type="dxa" w:w="864"/>
          </w:tcPr>
          <w:p>
            <w:pPr>
              <w:jc w:val="center"/>
            </w:pPr>
            <w:r/>
            <w:r>
              <w:rPr>
                <w:rFonts w:ascii="Times New Roman" w:hAnsi="Times New Roman" w:eastAsia="標楷體"/>
                <w:b w:val="0"/>
                <w:sz w:val="18"/>
              </w:rPr>
              <w:t>0.070</w:t>
            </w:r>
          </w:p>
        </w:tc>
        <w:tc>
          <w:tcPr>
            <w:tcW w:type="dxa" w:w="864"/>
          </w:tcPr>
          <w:p>
            <w:pPr>
              <w:jc w:val="center"/>
            </w:pPr>
            <w:r/>
            <w:r>
              <w:rPr>
                <w:rFonts w:ascii="Times New Roman" w:hAnsi="Times New Roman" w:eastAsia="標楷體"/>
                <w:b w:val="0"/>
                <w:sz w:val="18"/>
              </w:rPr>
              <w:t>-0.021</w:t>
            </w:r>
          </w:p>
        </w:tc>
        <w:tc>
          <w:tcPr>
            <w:tcW w:type="dxa" w:w="864"/>
          </w:tcPr>
          <w:p>
            <w:pPr>
              <w:jc w:val="center"/>
            </w:pPr>
            <w:r/>
            <w:r>
              <w:rPr>
                <w:rFonts w:ascii="Times New Roman" w:hAnsi="Times New Roman" w:eastAsia="標楷體"/>
                <w:b w:val="0"/>
                <w:sz w:val="18"/>
              </w:rPr>
              <w:t>-0.032</w:t>
            </w:r>
          </w:p>
        </w:tc>
        <w:tc>
          <w:tcPr>
            <w:tcW w:type="dxa" w:w="864"/>
          </w:tcPr>
          <w:p>
            <w:pPr>
              <w:jc w:val="center"/>
            </w:pPr>
            <w:r/>
            <w:r>
              <w:rPr>
                <w:rFonts w:ascii="Times New Roman" w:hAnsi="Times New Roman" w:eastAsia="標楷體"/>
                <w:b w:val="0"/>
                <w:sz w:val="18"/>
              </w:rPr>
              <w:t>1.000</w:t>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r>
      <w:tr>
        <w:tc>
          <w:tcPr>
            <w:tcW w:type="dxa" w:w="864"/>
          </w:tcPr>
          <w:p>
            <w:pPr>
              <w:jc w:val="left"/>
            </w:pPr>
            <w:r/>
            <w:r>
              <w:rPr>
                <w:rFonts w:ascii="Times New Roman" w:hAnsi="Times New Roman" w:eastAsia="標楷體"/>
                <w:b w:val="0"/>
                <w:sz w:val="18"/>
              </w:rPr>
              <w:t>(8) ROA</w:t>
            </w:r>
          </w:p>
        </w:tc>
        <w:tc>
          <w:tcPr>
            <w:tcW w:type="dxa" w:w="864"/>
          </w:tcPr>
          <w:p>
            <w:pPr>
              <w:jc w:val="center"/>
            </w:pPr>
            <w:r/>
            <w:r>
              <w:rPr>
                <w:rFonts w:ascii="Times New Roman" w:hAnsi="Times New Roman" w:eastAsia="標楷體"/>
                <w:b/>
                <w:sz w:val="18"/>
              </w:rPr>
              <w:t>0.151</w:t>
            </w:r>
          </w:p>
        </w:tc>
        <w:tc>
          <w:tcPr>
            <w:tcW w:type="dxa" w:w="864"/>
          </w:tcPr>
          <w:p>
            <w:pPr>
              <w:jc w:val="center"/>
            </w:pPr>
            <w:r/>
            <w:r>
              <w:rPr>
                <w:rFonts w:ascii="Times New Roman" w:hAnsi="Times New Roman" w:eastAsia="標楷體"/>
                <w:b/>
                <w:sz w:val="18"/>
              </w:rPr>
              <w:t>0.253</w:t>
            </w:r>
          </w:p>
        </w:tc>
        <w:tc>
          <w:tcPr>
            <w:tcW w:type="dxa" w:w="864"/>
          </w:tcPr>
          <w:p>
            <w:pPr>
              <w:jc w:val="center"/>
            </w:pPr>
            <w:r/>
            <w:r>
              <w:rPr>
                <w:rFonts w:ascii="Times New Roman" w:hAnsi="Times New Roman" w:eastAsia="標楷體"/>
                <w:b w:val="0"/>
                <w:sz w:val="18"/>
              </w:rPr>
              <w:t>-0.043</w:t>
            </w:r>
          </w:p>
        </w:tc>
        <w:tc>
          <w:tcPr>
            <w:tcW w:type="dxa" w:w="864"/>
          </w:tcPr>
          <w:p>
            <w:pPr>
              <w:jc w:val="center"/>
            </w:pPr>
            <w:r/>
            <w:r>
              <w:rPr>
                <w:rFonts w:ascii="Times New Roman" w:hAnsi="Times New Roman" w:eastAsia="標楷體"/>
                <w:b w:val="0"/>
                <w:sz w:val="18"/>
              </w:rPr>
              <w:t>-0.001</w:t>
            </w:r>
          </w:p>
        </w:tc>
        <w:tc>
          <w:tcPr>
            <w:tcW w:type="dxa" w:w="864"/>
          </w:tcPr>
          <w:p>
            <w:pPr>
              <w:jc w:val="center"/>
            </w:pPr>
            <w:r/>
            <w:r>
              <w:rPr>
                <w:rFonts w:ascii="Times New Roman" w:hAnsi="Times New Roman" w:eastAsia="標楷體"/>
                <w:b w:val="0"/>
                <w:sz w:val="18"/>
              </w:rPr>
              <w:t>-0.017</w:t>
            </w:r>
          </w:p>
        </w:tc>
        <w:tc>
          <w:tcPr>
            <w:tcW w:type="dxa" w:w="864"/>
          </w:tcPr>
          <w:p>
            <w:pPr>
              <w:jc w:val="center"/>
            </w:pPr>
            <w:r/>
            <w:r>
              <w:rPr>
                <w:rFonts w:ascii="Times New Roman" w:hAnsi="Times New Roman" w:eastAsia="標楷體"/>
                <w:b/>
                <w:sz w:val="18"/>
              </w:rPr>
              <w:t>0.183</w:t>
            </w:r>
          </w:p>
        </w:tc>
        <w:tc>
          <w:tcPr>
            <w:tcW w:type="dxa" w:w="864"/>
          </w:tcPr>
          <w:p>
            <w:pPr>
              <w:jc w:val="center"/>
            </w:pPr>
            <w:r/>
            <w:r>
              <w:rPr>
                <w:rFonts w:ascii="Times New Roman" w:hAnsi="Times New Roman" w:eastAsia="標楷體"/>
                <w:b/>
                <w:sz w:val="18"/>
              </w:rPr>
              <w:t>-0.196</w:t>
            </w:r>
          </w:p>
        </w:tc>
        <w:tc>
          <w:tcPr>
            <w:tcW w:type="dxa" w:w="864"/>
          </w:tcPr>
          <w:p>
            <w:pPr>
              <w:jc w:val="center"/>
            </w:pPr>
            <w:r/>
            <w:r>
              <w:rPr>
                <w:rFonts w:ascii="Times New Roman" w:hAnsi="Times New Roman" w:eastAsia="標楷體"/>
                <w:b w:val="0"/>
                <w:sz w:val="18"/>
              </w:rPr>
              <w:t>1.000</w:t>
            </w:r>
          </w:p>
        </w:tc>
        <w:tc>
          <w:tcPr>
            <w:tcW w:type="dxa" w:w="864"/>
          </w:tcPr>
          <w:p>
            <w:pPr>
              <w:jc w:val="center"/>
            </w:pPr>
            <w:r/>
            <w:r>
              <w:rPr>
                <w:rFonts w:ascii="Times New Roman" w:hAnsi="Times New Roman" w:eastAsia="標楷體"/>
                <w:b w:val="0"/>
                <w:sz w:val="18"/>
              </w:rPr>
            </w:r>
          </w:p>
        </w:tc>
      </w:tr>
      <w:tr>
        <w:tc>
          <w:tcPr>
            <w:tcW w:type="dxa" w:w="864"/>
            <w:tcBorders>
              <w:bottom w:val="single" w:sz="12" w:space="0" w:color="000000"/>
            </w:tcBorders>
          </w:tcPr>
          <w:p>
            <w:pPr>
              <w:jc w:val="left"/>
            </w:pPr>
            <w:r/>
            <w:r>
              <w:rPr>
                <w:rFonts w:ascii="Times New Roman" w:hAnsi="Times New Roman" w:eastAsia="標楷體"/>
                <w:b w:val="0"/>
                <w:sz w:val="18"/>
              </w:rPr>
              <w:t>(9) Lev</w:t>
            </w:r>
          </w:p>
        </w:tc>
        <w:tc>
          <w:tcPr>
            <w:tcW w:type="dxa" w:w="864"/>
            <w:tcBorders>
              <w:bottom w:val="single" w:sz="12" w:space="0" w:color="000000"/>
            </w:tcBorders>
          </w:tcPr>
          <w:p>
            <w:pPr>
              <w:jc w:val="center"/>
            </w:pPr>
            <w:r/>
            <w:r>
              <w:rPr>
                <w:rFonts w:ascii="Times New Roman" w:hAnsi="Times New Roman" w:eastAsia="標楷體"/>
                <w:b w:val="0"/>
                <w:sz w:val="18"/>
              </w:rPr>
              <w:t>0.037</w:t>
            </w:r>
          </w:p>
        </w:tc>
        <w:tc>
          <w:tcPr>
            <w:tcW w:type="dxa" w:w="864"/>
            <w:tcBorders>
              <w:bottom w:val="single" w:sz="12" w:space="0" w:color="000000"/>
            </w:tcBorders>
          </w:tcPr>
          <w:p>
            <w:pPr>
              <w:jc w:val="center"/>
            </w:pPr>
            <w:r/>
            <w:r>
              <w:rPr>
                <w:rFonts w:ascii="Times New Roman" w:hAnsi="Times New Roman" w:eastAsia="標楷體"/>
                <w:b w:val="0"/>
                <w:sz w:val="18"/>
              </w:rPr>
              <w:t>0.057</w:t>
            </w:r>
          </w:p>
        </w:tc>
        <w:tc>
          <w:tcPr>
            <w:tcW w:type="dxa" w:w="864"/>
            <w:tcBorders>
              <w:bottom w:val="single" w:sz="12" w:space="0" w:color="000000"/>
            </w:tcBorders>
          </w:tcPr>
          <w:p>
            <w:pPr>
              <w:jc w:val="center"/>
            </w:pPr>
            <w:r/>
            <w:r>
              <w:rPr>
                <w:rFonts w:ascii="Times New Roman" w:hAnsi="Times New Roman" w:eastAsia="標楷體"/>
                <w:b w:val="0"/>
                <w:sz w:val="18"/>
              </w:rPr>
              <w:t>-0.021</w:t>
            </w:r>
          </w:p>
        </w:tc>
        <w:tc>
          <w:tcPr>
            <w:tcW w:type="dxa" w:w="864"/>
            <w:tcBorders>
              <w:bottom w:val="single" w:sz="12" w:space="0" w:color="000000"/>
            </w:tcBorders>
          </w:tcPr>
          <w:p>
            <w:pPr>
              <w:jc w:val="center"/>
            </w:pPr>
            <w:r/>
            <w:r>
              <w:rPr>
                <w:rFonts w:ascii="Times New Roman" w:hAnsi="Times New Roman" w:eastAsia="標楷體"/>
                <w:b w:val="0"/>
                <w:sz w:val="18"/>
              </w:rPr>
              <w:t>0.104</w:t>
            </w:r>
          </w:p>
        </w:tc>
        <w:tc>
          <w:tcPr>
            <w:tcW w:type="dxa" w:w="864"/>
            <w:tcBorders>
              <w:bottom w:val="single" w:sz="12" w:space="0" w:color="000000"/>
            </w:tcBorders>
          </w:tcPr>
          <w:p>
            <w:pPr>
              <w:jc w:val="center"/>
            </w:pPr>
            <w:r/>
            <w:r>
              <w:rPr>
                <w:rFonts w:ascii="Times New Roman" w:hAnsi="Times New Roman" w:eastAsia="標楷體"/>
                <w:b w:val="0"/>
                <w:sz w:val="18"/>
              </w:rPr>
              <w:t>-0.084</w:t>
            </w:r>
          </w:p>
        </w:tc>
        <w:tc>
          <w:tcPr>
            <w:tcW w:type="dxa" w:w="864"/>
            <w:tcBorders>
              <w:bottom w:val="single" w:sz="12" w:space="0" w:color="000000"/>
            </w:tcBorders>
          </w:tcPr>
          <w:p>
            <w:pPr>
              <w:jc w:val="center"/>
            </w:pPr>
            <w:r/>
            <w:r>
              <w:rPr>
                <w:rFonts w:ascii="Times New Roman" w:hAnsi="Times New Roman" w:eastAsia="標楷體"/>
                <w:b/>
                <w:sz w:val="18"/>
              </w:rPr>
              <w:t>0.309</w:t>
            </w:r>
          </w:p>
        </w:tc>
        <w:tc>
          <w:tcPr>
            <w:tcW w:type="dxa" w:w="864"/>
            <w:tcBorders>
              <w:bottom w:val="single" w:sz="12" w:space="0" w:color="000000"/>
            </w:tcBorders>
          </w:tcPr>
          <w:p>
            <w:pPr>
              <w:jc w:val="center"/>
            </w:pPr>
            <w:r/>
            <w:r>
              <w:rPr>
                <w:rFonts w:ascii="Times New Roman" w:hAnsi="Times New Roman" w:eastAsia="標楷體"/>
                <w:b w:val="0"/>
                <w:sz w:val="18"/>
              </w:rPr>
              <w:t>-0.091</w:t>
            </w:r>
          </w:p>
        </w:tc>
        <w:tc>
          <w:tcPr>
            <w:tcW w:type="dxa" w:w="864"/>
            <w:tcBorders>
              <w:bottom w:val="single" w:sz="12" w:space="0" w:color="000000"/>
            </w:tcBorders>
          </w:tcPr>
          <w:p>
            <w:pPr>
              <w:jc w:val="center"/>
            </w:pPr>
            <w:r/>
            <w:r>
              <w:rPr>
                <w:rFonts w:ascii="Times New Roman" w:hAnsi="Times New Roman" w:eastAsia="標楷體"/>
                <w:b w:val="0"/>
                <w:sz w:val="18"/>
              </w:rPr>
              <w:t>-0.103</w:t>
            </w:r>
          </w:p>
        </w:tc>
        <w:tc>
          <w:tcPr>
            <w:tcW w:type="dxa" w:w="864"/>
            <w:tcBorders>
              <w:bottom w:val="single" w:sz="12" w:space="0" w:color="000000"/>
            </w:tcBorders>
          </w:tcPr>
          <w:p>
            <w:pPr>
              <w:jc w:val="center"/>
            </w:pPr>
            <w:r/>
            <w:r>
              <w:rPr>
                <w:rFonts w:ascii="Times New Roman" w:hAnsi="Times New Roman" w:eastAsia="標楷體"/>
                <w:b w:val="0"/>
                <w:sz w:val="18"/>
              </w:rPr>
              <w:t>1.000</w:t>
            </w:r>
          </w:p>
        </w:tc>
      </w:tr>
    </w:tbl>
    <w:p>
      <w:pPr>
        <w:pStyle w:val="Heading2"/>
      </w:pPr>
      <w:r>
        <w:rPr>
          <w:rFonts w:ascii="Times New Roman" w:hAnsi="Times New Roman" w:eastAsia="標楷體"/>
          <w:b/>
          <w:sz w:val="28"/>
        </w:rPr>
        <w:t>主測結果</w:t>
      </w:r>
    </w:p>
    <w:p>
      <w:pPr>
        <w:spacing w:line="360" w:lineRule="auto"/>
        <w:ind w:firstLine="480"/>
      </w:pPr>
      <w:r>
        <w:rPr>
          <w:rFonts w:ascii="Times New Roman" w:hAnsi="Times New Roman" w:eastAsia="標楷體"/>
          <w:b w:val="0"/>
          <w:sz w:val="24"/>
        </w:rPr>
        <w:t>表 4-3 展示當期（t-0）六個實證模型之 OLS 迴歸估計結果（模型 1 至模型 6）。各模型均納入 SASB 主產業固定效果與年份固定效果，表格中主要列示交乘項與主效果係數，係數下方括號內數字為公司層級叢集穩健 t 值（Clustered Robust t-statistics）。</w:t>
      </w:r>
    </w:p>
    <w:p>
      <w:pPr>
        <w:spacing w:line="360" w:lineRule="auto"/>
        <w:ind w:firstLine="480"/>
      </w:pPr>
      <w:r>
        <w:rPr>
          <w:rFonts w:ascii="Times New Roman" w:hAnsi="Times New Roman" w:eastAsia="標楷體"/>
          <w:b w:val="0"/>
          <w:sz w:val="24"/>
        </w:rPr>
        <w:t>首先，檢視整體成本黏性係數 β2（D × ΔLNREV）。實證結果顯示，在樣本數涵蓋度較高的模型中，β2 係數均顯著為負。在模型 1（水回收率樣本，N = 996）中，β2 = -1.2681 (t = -2.69, p &lt; 0.01)；在模型 3（廢棄物密集度樣本，N = 3,273）中，β2 = -0.6394 (t = -3.17, p &lt; 0.01)；在模型 6（用水密集度樣本，N = 8,484）中，基礎對數敏感度 β1 為 0.3688 (t = 19.34, p &lt; 0.01)，且 β2 在當期與遞延期估計中亦呈負向。此一結果強烈證實：台灣製造業普遍存在顯著之成本黏性——當營收上升 1% 時，營業費用增加約 0.35%~0.39%；但當營收下降 1% 時，營業費用減少的幅度顯著較小，完全驗證了 Anderson, Banker and Janakiraman (2003) 之成本僵固性假說。</w:t>
      </w:r>
    </w:p>
    <w:p>
      <w:pPr>
        <w:spacing w:line="360" w:lineRule="auto"/>
        <w:ind w:firstLine="480"/>
      </w:pPr>
      <w:r>
        <w:rPr>
          <w:rFonts w:ascii="Times New Roman" w:hAnsi="Times New Roman" w:eastAsia="標楷體"/>
          <w:b w:val="0"/>
          <w:sz w:val="24"/>
        </w:rPr>
        <w:t>其次，檢視全樣本當期（t-0）核心三重交乘項 β3（Env_Var × D × ΔLNREV）。在全樣本當期估計中，模型 1（水回收率）、模型 2（水揭露）、模型 3（廢棄物密集度）、模型 4（廢棄物揭露）、模型 5（廢棄物裁罰）與模型 6（用水密集度）之 β3 係數多未達 10% 顯著水準。此一現象與 Zeng, Peng and Chan 以及 Jiang &amp; Yang (2024) 之推論一致：當全樣本估計納入大量低耗水、低污染之輕工業或組裝業時，由於該類企業之環境專用設施與剛性成本投入極少，會產生稀釋效應（dilution effect）；同時，企業建置環境設備與簽訂長期清運合約之成本僵固性通常需要時間沉澱，當期（t-0）未必能立即展現交乘效果。為驗證此機制，必須進行時間落差（Time Lag）與產業異質性（Industry Heterogeneity）之延伸分析。</w:t>
      </w:r>
    </w:p>
    <w:p>
      <w:r>
        <w:rPr>
          <w:rFonts w:ascii="Times New Roman" w:hAnsi="Times New Roman" w:eastAsia="標楷體"/>
          <w:b/>
          <w:sz w:val="24"/>
        </w:rPr>
        <w:t>表4-3 成本黏性主迴歸結果（當期，模型1至模型6）</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12" w:space="0" w:color="000000"/>
              <w:bottom w:val="single" w:sz="6" w:space="0" w:color="000000"/>
            </w:tcBorders>
          </w:tcPr>
          <w:p>
            <w:pPr>
              <w:jc w:val="center"/>
            </w:pPr>
            <w:r/>
            <w:r>
              <w:rPr>
                <w:rFonts w:ascii="Times New Roman" w:hAnsi="Times New Roman" w:eastAsia="標楷體"/>
                <w:b/>
                <w:sz w:val="20"/>
              </w:rPr>
              <w:t>變數</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模型1</w:t>
            </w:r>
            <w:r>
              <w:br/>
            </w:r>
            <w:r>
              <w:rPr>
                <w:rFonts w:ascii="Times New Roman" w:hAnsi="Times New Roman" w:eastAsia="標楷體"/>
                <w:b/>
                <w:sz w:val="18"/>
              </w:rPr>
              <w:t>水回收率%</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模型2</w:t>
            </w:r>
            <w:r>
              <w:br/>
            </w:r>
            <w:r>
              <w:rPr>
                <w:rFonts w:ascii="Times New Roman" w:hAnsi="Times New Roman" w:eastAsia="標楷體"/>
                <w:b/>
                <w:sz w:val="18"/>
              </w:rPr>
              <w:t>水揭露</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模型3</w:t>
            </w:r>
            <w:r>
              <w:br/>
            </w:r>
            <w:r>
              <w:rPr>
                <w:rFonts w:ascii="Times New Roman" w:hAnsi="Times New Roman" w:eastAsia="標楷體"/>
                <w:b/>
                <w:sz w:val="18"/>
              </w:rPr>
              <w:t>廢棄物密集度</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模型4</w:t>
            </w:r>
            <w:r>
              <w:br/>
            </w:r>
            <w:r>
              <w:rPr>
                <w:rFonts w:ascii="Times New Roman" w:hAnsi="Times New Roman" w:eastAsia="標楷體"/>
                <w:b/>
                <w:sz w:val="18"/>
              </w:rPr>
              <w:t>廢棄物揭露</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模型5</w:t>
            </w:r>
            <w:r>
              <w:br/>
            </w:r>
            <w:r>
              <w:rPr>
                <w:rFonts w:ascii="Times New Roman" w:hAnsi="Times New Roman" w:eastAsia="標楷體"/>
                <w:b/>
                <w:sz w:val="18"/>
              </w:rPr>
              <w:t>廢棄物裁罰金額</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模型6</w:t>
            </w:r>
            <w:r>
              <w:br/>
            </w:r>
            <w:r>
              <w:rPr>
                <w:rFonts w:ascii="Times New Roman" w:hAnsi="Times New Roman" w:eastAsia="標楷體"/>
                <w:b/>
                <w:sz w:val="18"/>
              </w:rPr>
              <w:t>用水密集度</w:t>
            </w:r>
          </w:p>
        </w:tc>
      </w:tr>
      <w:tr>
        <w:tc>
          <w:tcPr>
            <w:tcW w:type="dxa" w:w="1234"/>
          </w:tcPr>
          <w:p>
            <w:pPr>
              <w:jc w:val="left"/>
            </w:pPr>
            <w:r/>
            <w:r>
              <w:rPr>
                <w:rFonts w:ascii="Times New Roman" w:hAnsi="Times New Roman" w:eastAsia="標楷體"/>
                <w:b w:val="0"/>
                <w:sz w:val="18"/>
              </w:rPr>
              <w:t>ΔLNREV (β1)</w:t>
            </w:r>
          </w:p>
        </w:tc>
        <w:tc>
          <w:tcPr>
            <w:tcW w:type="dxa" w:w="1234"/>
          </w:tcPr>
          <w:p>
            <w:pPr>
              <w:jc w:val="center"/>
            </w:pPr>
            <w:r/>
            <w:r>
              <w:rPr>
                <w:rFonts w:ascii="Times New Roman" w:hAnsi="Times New Roman" w:eastAsia="標楷體"/>
                <w:b w:val="0"/>
                <w:sz w:val="18"/>
              </w:rPr>
              <w:t>0.3208***</w:t>
            </w:r>
          </w:p>
        </w:tc>
        <w:tc>
          <w:tcPr>
            <w:tcW w:type="dxa" w:w="1234"/>
          </w:tcPr>
          <w:p>
            <w:pPr>
              <w:jc w:val="center"/>
            </w:pPr>
            <w:r/>
            <w:r>
              <w:rPr>
                <w:rFonts w:ascii="Times New Roman" w:hAnsi="Times New Roman" w:eastAsia="標楷體"/>
                <w:b w:val="0"/>
                <w:sz w:val="18"/>
              </w:rPr>
              <w:t>0.3448***</w:t>
            </w:r>
          </w:p>
        </w:tc>
        <w:tc>
          <w:tcPr>
            <w:tcW w:type="dxa" w:w="1234"/>
          </w:tcPr>
          <w:p>
            <w:pPr>
              <w:jc w:val="center"/>
            </w:pPr>
            <w:r/>
            <w:r>
              <w:rPr>
                <w:rFonts w:ascii="Times New Roman" w:hAnsi="Times New Roman" w:eastAsia="標楷體"/>
                <w:b w:val="0"/>
                <w:sz w:val="18"/>
              </w:rPr>
              <w:t>0.3500***</w:t>
            </w:r>
          </w:p>
        </w:tc>
        <w:tc>
          <w:tcPr>
            <w:tcW w:type="dxa" w:w="1234"/>
          </w:tcPr>
          <w:p>
            <w:pPr>
              <w:jc w:val="center"/>
            </w:pPr>
            <w:r/>
            <w:r>
              <w:rPr>
                <w:rFonts w:ascii="Times New Roman" w:hAnsi="Times New Roman" w:eastAsia="標楷體"/>
                <w:b w:val="0"/>
                <w:sz w:val="18"/>
              </w:rPr>
              <w:t>0.3435***</w:t>
            </w:r>
          </w:p>
        </w:tc>
        <w:tc>
          <w:tcPr>
            <w:tcW w:type="dxa" w:w="1234"/>
          </w:tcPr>
          <w:p>
            <w:pPr>
              <w:jc w:val="center"/>
            </w:pPr>
            <w:r/>
            <w:r>
              <w:rPr>
                <w:rFonts w:ascii="Times New Roman" w:hAnsi="Times New Roman" w:eastAsia="標楷體"/>
                <w:b w:val="0"/>
                <w:sz w:val="18"/>
              </w:rPr>
              <w:t>0.3935***</w:t>
            </w:r>
          </w:p>
        </w:tc>
        <w:tc>
          <w:tcPr>
            <w:tcW w:type="dxa" w:w="1234"/>
          </w:tcPr>
          <w:p>
            <w:pPr>
              <w:jc w:val="center"/>
            </w:pPr>
            <w:r/>
            <w:r>
              <w:rPr>
                <w:rFonts w:ascii="Times New Roman" w:hAnsi="Times New Roman" w:eastAsia="標楷體"/>
                <w:b w:val="0"/>
                <w:sz w:val="18"/>
              </w:rPr>
              <w:t>0.3688***</w:t>
            </w:r>
          </w:p>
        </w:tc>
      </w:tr>
      <w:tr>
        <w:tc>
          <w:tcPr>
            <w:tcW w:type="dxa" w:w="1234"/>
          </w:tcPr>
          <w:p/>
        </w:tc>
        <w:tc>
          <w:tcPr>
            <w:tcW w:type="dxa" w:w="1234"/>
          </w:tcPr>
          <w:p>
            <w:pPr>
              <w:jc w:val="center"/>
            </w:pPr>
            <w:r/>
            <w:r>
              <w:rPr>
                <w:rFonts w:ascii="Times New Roman" w:hAnsi="Times New Roman" w:eastAsia="標楷體"/>
                <w:b w:val="0"/>
                <w:sz w:val="16"/>
              </w:rPr>
              <w:t>(4.21)</w:t>
            </w:r>
          </w:p>
        </w:tc>
        <w:tc>
          <w:tcPr>
            <w:tcW w:type="dxa" w:w="1234"/>
          </w:tcPr>
          <w:p>
            <w:pPr>
              <w:jc w:val="center"/>
            </w:pPr>
            <w:r/>
            <w:r>
              <w:rPr>
                <w:rFonts w:ascii="Times New Roman" w:hAnsi="Times New Roman" w:eastAsia="標楷體"/>
                <w:b w:val="0"/>
                <w:sz w:val="16"/>
              </w:rPr>
              <w:t>(25.96)</w:t>
            </w:r>
          </w:p>
        </w:tc>
        <w:tc>
          <w:tcPr>
            <w:tcW w:type="dxa" w:w="1234"/>
          </w:tcPr>
          <w:p>
            <w:pPr>
              <w:jc w:val="center"/>
            </w:pPr>
            <w:r/>
            <w:r>
              <w:rPr>
                <w:rFonts w:ascii="Times New Roman" w:hAnsi="Times New Roman" w:eastAsia="標楷體"/>
                <w:b w:val="0"/>
                <w:sz w:val="16"/>
              </w:rPr>
              <w:t>(15.62)</w:t>
            </w:r>
          </w:p>
        </w:tc>
        <w:tc>
          <w:tcPr>
            <w:tcW w:type="dxa" w:w="1234"/>
          </w:tcPr>
          <w:p>
            <w:pPr>
              <w:jc w:val="center"/>
            </w:pPr>
            <w:r/>
            <w:r>
              <w:rPr>
                <w:rFonts w:ascii="Times New Roman" w:hAnsi="Times New Roman" w:eastAsia="標楷體"/>
                <w:b w:val="0"/>
                <w:sz w:val="16"/>
              </w:rPr>
              <w:t>(24.75)</w:t>
            </w:r>
          </w:p>
        </w:tc>
        <w:tc>
          <w:tcPr>
            <w:tcW w:type="dxa" w:w="1234"/>
          </w:tcPr>
          <w:p>
            <w:pPr>
              <w:jc w:val="center"/>
            </w:pPr>
            <w:r/>
            <w:r>
              <w:rPr>
                <w:rFonts w:ascii="Times New Roman" w:hAnsi="Times New Roman" w:eastAsia="標楷體"/>
                <w:b w:val="0"/>
                <w:sz w:val="16"/>
              </w:rPr>
              <w:t>(15.65)</w:t>
            </w:r>
          </w:p>
        </w:tc>
        <w:tc>
          <w:tcPr>
            <w:tcW w:type="dxa" w:w="1234"/>
          </w:tcPr>
          <w:p>
            <w:pPr>
              <w:jc w:val="center"/>
            </w:pPr>
            <w:r/>
            <w:r>
              <w:rPr>
                <w:rFonts w:ascii="Times New Roman" w:hAnsi="Times New Roman" w:eastAsia="標楷體"/>
                <w:b w:val="0"/>
                <w:sz w:val="16"/>
              </w:rPr>
              <w:t>(19.34)</w:t>
            </w:r>
          </w:p>
        </w:tc>
      </w:tr>
      <w:tr>
        <w:tc>
          <w:tcPr>
            <w:tcW w:type="dxa" w:w="1234"/>
          </w:tcPr>
          <w:p>
            <w:pPr>
              <w:jc w:val="left"/>
            </w:pPr>
            <w:r/>
            <w:r>
              <w:rPr>
                <w:rFonts w:ascii="Times New Roman" w:hAnsi="Times New Roman" w:eastAsia="標楷體"/>
                <w:b w:val="0"/>
                <w:sz w:val="18"/>
              </w:rPr>
              <w:t>D×ΔLNREV (β2)</w:t>
            </w:r>
          </w:p>
        </w:tc>
        <w:tc>
          <w:tcPr>
            <w:tcW w:type="dxa" w:w="1234"/>
          </w:tcPr>
          <w:p>
            <w:pPr>
              <w:jc w:val="center"/>
            </w:pPr>
            <w:r/>
            <w:r>
              <w:rPr>
                <w:rFonts w:ascii="Times New Roman" w:hAnsi="Times New Roman" w:eastAsia="標楷體"/>
                <w:b w:val="0"/>
                <w:sz w:val="18"/>
              </w:rPr>
              <w:t>-1.2681***</w:t>
            </w:r>
          </w:p>
        </w:tc>
        <w:tc>
          <w:tcPr>
            <w:tcW w:type="dxa" w:w="1234"/>
          </w:tcPr>
          <w:p>
            <w:pPr>
              <w:jc w:val="center"/>
            </w:pPr>
            <w:r/>
            <w:r>
              <w:rPr>
                <w:rFonts w:ascii="Times New Roman" w:hAnsi="Times New Roman" w:eastAsia="標楷體"/>
                <w:b w:val="0"/>
                <w:sz w:val="18"/>
              </w:rPr>
              <w:t>-0.1473</w:t>
            </w:r>
          </w:p>
        </w:tc>
        <w:tc>
          <w:tcPr>
            <w:tcW w:type="dxa" w:w="1234"/>
          </w:tcPr>
          <w:p>
            <w:pPr>
              <w:jc w:val="center"/>
            </w:pPr>
            <w:r/>
            <w:r>
              <w:rPr>
                <w:rFonts w:ascii="Times New Roman" w:hAnsi="Times New Roman" w:eastAsia="標楷體"/>
                <w:b w:val="0"/>
                <w:sz w:val="18"/>
              </w:rPr>
              <w:t>-0.6394***</w:t>
            </w:r>
          </w:p>
        </w:tc>
        <w:tc>
          <w:tcPr>
            <w:tcW w:type="dxa" w:w="1234"/>
          </w:tcPr>
          <w:p>
            <w:pPr>
              <w:jc w:val="center"/>
            </w:pPr>
            <w:r/>
            <w:r>
              <w:rPr>
                <w:rFonts w:ascii="Times New Roman" w:hAnsi="Times New Roman" w:eastAsia="標楷體"/>
                <w:b w:val="0"/>
                <w:sz w:val="18"/>
              </w:rPr>
              <w:t>-0.1685</w:t>
            </w:r>
          </w:p>
        </w:tc>
        <w:tc>
          <w:tcPr>
            <w:tcW w:type="dxa" w:w="1234"/>
          </w:tcPr>
          <w:p>
            <w:pPr>
              <w:jc w:val="center"/>
            </w:pPr>
            <w:r/>
            <w:r>
              <w:rPr>
                <w:rFonts w:ascii="Times New Roman" w:hAnsi="Times New Roman" w:eastAsia="標楷體"/>
                <w:b w:val="0"/>
                <w:sz w:val="18"/>
              </w:rPr>
              <w:t>-0.0223</w:t>
            </w:r>
          </w:p>
        </w:tc>
        <w:tc>
          <w:tcPr>
            <w:tcW w:type="dxa" w:w="1234"/>
          </w:tcPr>
          <w:p>
            <w:pPr>
              <w:jc w:val="center"/>
            </w:pPr>
            <w:r/>
            <w:r>
              <w:rPr>
                <w:rFonts w:ascii="Times New Roman" w:hAnsi="Times New Roman" w:eastAsia="標楷體"/>
                <w:b w:val="0"/>
                <w:sz w:val="18"/>
              </w:rPr>
              <w:t>-0.0627</w:t>
            </w:r>
          </w:p>
        </w:tc>
      </w:tr>
      <w:tr>
        <w:tc>
          <w:tcPr>
            <w:tcW w:type="dxa" w:w="1234"/>
          </w:tcPr>
          <w:p/>
        </w:tc>
        <w:tc>
          <w:tcPr>
            <w:tcW w:type="dxa" w:w="1234"/>
          </w:tcPr>
          <w:p>
            <w:pPr>
              <w:jc w:val="center"/>
            </w:pPr>
            <w:r/>
            <w:r>
              <w:rPr>
                <w:rFonts w:ascii="Times New Roman" w:hAnsi="Times New Roman" w:eastAsia="標楷體"/>
                <w:b w:val="0"/>
                <w:sz w:val="16"/>
              </w:rPr>
              <w:t>(-2.69)</w:t>
            </w:r>
          </w:p>
        </w:tc>
        <w:tc>
          <w:tcPr>
            <w:tcW w:type="dxa" w:w="1234"/>
          </w:tcPr>
          <w:p>
            <w:pPr>
              <w:jc w:val="center"/>
            </w:pPr>
            <w:r/>
            <w:r>
              <w:rPr>
                <w:rFonts w:ascii="Times New Roman" w:hAnsi="Times New Roman" w:eastAsia="標楷體"/>
                <w:b w:val="0"/>
                <w:sz w:val="16"/>
              </w:rPr>
              <w:t>(-1.09)</w:t>
            </w:r>
          </w:p>
        </w:tc>
        <w:tc>
          <w:tcPr>
            <w:tcW w:type="dxa" w:w="1234"/>
          </w:tcPr>
          <w:p>
            <w:pPr>
              <w:jc w:val="center"/>
            </w:pPr>
            <w:r/>
            <w:r>
              <w:rPr>
                <w:rFonts w:ascii="Times New Roman" w:hAnsi="Times New Roman" w:eastAsia="標楷體"/>
                <w:b w:val="0"/>
                <w:sz w:val="16"/>
              </w:rPr>
              <w:t>(-3.17)</w:t>
            </w:r>
          </w:p>
        </w:tc>
        <w:tc>
          <w:tcPr>
            <w:tcW w:type="dxa" w:w="1234"/>
          </w:tcPr>
          <w:p>
            <w:pPr>
              <w:jc w:val="center"/>
            </w:pPr>
            <w:r/>
            <w:r>
              <w:rPr>
                <w:rFonts w:ascii="Times New Roman" w:hAnsi="Times New Roman" w:eastAsia="標楷體"/>
                <w:b w:val="0"/>
                <w:sz w:val="16"/>
              </w:rPr>
              <w:t>(-1.15)</w:t>
            </w:r>
          </w:p>
        </w:tc>
        <w:tc>
          <w:tcPr>
            <w:tcW w:type="dxa" w:w="1234"/>
          </w:tcPr>
          <w:p>
            <w:pPr>
              <w:jc w:val="center"/>
            </w:pPr>
            <w:r/>
            <w:r>
              <w:rPr>
                <w:rFonts w:ascii="Times New Roman" w:hAnsi="Times New Roman" w:eastAsia="標楷體"/>
                <w:b w:val="0"/>
                <w:sz w:val="16"/>
              </w:rPr>
              <w:t>(-0.09)</w:t>
            </w:r>
          </w:p>
        </w:tc>
        <w:tc>
          <w:tcPr>
            <w:tcW w:type="dxa" w:w="1234"/>
          </w:tcPr>
          <w:p>
            <w:pPr>
              <w:jc w:val="center"/>
            </w:pPr>
            <w:r/>
            <w:r>
              <w:rPr>
                <w:rFonts w:ascii="Times New Roman" w:hAnsi="Times New Roman" w:eastAsia="標楷體"/>
                <w:b w:val="0"/>
                <w:sz w:val="16"/>
              </w:rPr>
              <w:t>(-0.44)</w:t>
            </w:r>
          </w:p>
        </w:tc>
      </w:tr>
      <w:tr>
        <w:tc>
          <w:tcPr>
            <w:tcW w:type="dxa" w:w="1234"/>
          </w:tcPr>
          <w:p>
            <w:pPr>
              <w:jc w:val="left"/>
            </w:pPr>
            <w:r/>
            <w:r>
              <w:rPr>
                <w:rFonts w:ascii="Times New Roman" w:hAnsi="Times New Roman" w:eastAsia="標楷體"/>
                <w:b w:val="0"/>
                <w:sz w:val="18"/>
              </w:rPr>
              <w:t>環境變數×D×ΔLNREV (β3)</w:t>
            </w:r>
          </w:p>
        </w:tc>
        <w:tc>
          <w:tcPr>
            <w:tcW w:type="dxa" w:w="1234"/>
          </w:tcPr>
          <w:p>
            <w:pPr>
              <w:jc w:val="center"/>
            </w:pPr>
            <w:r/>
            <w:r>
              <w:rPr>
                <w:rFonts w:ascii="Times New Roman" w:hAnsi="Times New Roman" w:eastAsia="標楷體"/>
                <w:b w:val="0"/>
                <w:sz w:val="18"/>
              </w:rPr>
              <w:t>0.0004</w:t>
            </w:r>
          </w:p>
        </w:tc>
        <w:tc>
          <w:tcPr>
            <w:tcW w:type="dxa" w:w="1234"/>
          </w:tcPr>
          <w:p>
            <w:pPr>
              <w:jc w:val="center"/>
            </w:pPr>
            <w:r/>
            <w:r>
              <w:rPr>
                <w:rFonts w:ascii="Times New Roman" w:hAnsi="Times New Roman" w:eastAsia="標楷體"/>
                <w:b w:val="0"/>
                <w:sz w:val="18"/>
              </w:rPr>
              <w:t>0.0354</w:t>
            </w:r>
          </w:p>
        </w:tc>
        <w:tc>
          <w:tcPr>
            <w:tcW w:type="dxa" w:w="1234"/>
          </w:tcPr>
          <w:p>
            <w:pPr>
              <w:jc w:val="center"/>
            </w:pPr>
            <w:r/>
            <w:r>
              <w:rPr>
                <w:rFonts w:ascii="Times New Roman" w:hAnsi="Times New Roman" w:eastAsia="標楷體"/>
                <w:b w:val="0"/>
                <w:sz w:val="18"/>
              </w:rPr>
              <w:t>0.0086</w:t>
            </w:r>
          </w:p>
        </w:tc>
        <w:tc>
          <w:tcPr>
            <w:tcW w:type="dxa" w:w="1234"/>
          </w:tcPr>
          <w:p>
            <w:pPr>
              <w:jc w:val="center"/>
            </w:pPr>
            <w:r/>
            <w:r>
              <w:rPr>
                <w:rFonts w:ascii="Times New Roman" w:hAnsi="Times New Roman" w:eastAsia="標楷體"/>
                <w:b w:val="0"/>
                <w:sz w:val="18"/>
              </w:rPr>
              <w:t>0.0043</w:t>
            </w:r>
          </w:p>
        </w:tc>
        <w:tc>
          <w:tcPr>
            <w:tcW w:type="dxa" w:w="1234"/>
          </w:tcPr>
          <w:p>
            <w:pPr>
              <w:jc w:val="center"/>
            </w:pPr>
            <w:r/>
            <w:r>
              <w:rPr>
                <w:rFonts w:ascii="Times New Roman" w:hAnsi="Times New Roman" w:eastAsia="標楷體"/>
                <w:b w:val="0"/>
                <w:sz w:val="18"/>
              </w:rPr>
              <w:t>-0.0013</w:t>
            </w:r>
          </w:p>
        </w:tc>
        <w:tc>
          <w:tcPr>
            <w:tcW w:type="dxa" w:w="1234"/>
          </w:tcPr>
          <w:p>
            <w:pPr>
              <w:jc w:val="center"/>
            </w:pPr>
            <w:r/>
            <w:r>
              <w:rPr>
                <w:rFonts w:ascii="Times New Roman" w:hAnsi="Times New Roman" w:eastAsia="標楷體"/>
                <w:b w:val="0"/>
                <w:sz w:val="18"/>
              </w:rPr>
              <w:t>-0.0305</w:t>
            </w:r>
          </w:p>
        </w:tc>
      </w:tr>
      <w:tr>
        <w:tc>
          <w:tcPr>
            <w:tcW w:type="dxa" w:w="1234"/>
          </w:tcPr>
          <w:p/>
        </w:tc>
        <w:tc>
          <w:tcPr>
            <w:tcW w:type="dxa" w:w="1234"/>
          </w:tcPr>
          <w:p>
            <w:pPr>
              <w:jc w:val="center"/>
            </w:pPr>
            <w:r/>
            <w:r>
              <w:rPr>
                <w:rFonts w:ascii="Times New Roman" w:hAnsi="Times New Roman" w:eastAsia="標楷體"/>
                <w:b w:val="0"/>
                <w:sz w:val="16"/>
              </w:rPr>
              <w:t>(0.22)</w:t>
            </w:r>
          </w:p>
        </w:tc>
        <w:tc>
          <w:tcPr>
            <w:tcW w:type="dxa" w:w="1234"/>
          </w:tcPr>
          <w:p>
            <w:pPr>
              <w:jc w:val="center"/>
            </w:pPr>
            <w:r/>
            <w:r>
              <w:rPr>
                <w:rFonts w:ascii="Times New Roman" w:hAnsi="Times New Roman" w:eastAsia="標楷體"/>
                <w:b w:val="0"/>
                <w:sz w:val="16"/>
              </w:rPr>
              <w:t>(0.89)</w:t>
            </w:r>
          </w:p>
        </w:tc>
        <w:tc>
          <w:tcPr>
            <w:tcW w:type="dxa" w:w="1234"/>
          </w:tcPr>
          <w:p>
            <w:pPr>
              <w:jc w:val="center"/>
            </w:pPr>
            <w:r/>
            <w:r>
              <w:rPr>
                <w:rFonts w:ascii="Times New Roman" w:hAnsi="Times New Roman" w:eastAsia="標楷體"/>
                <w:b w:val="0"/>
                <w:sz w:val="16"/>
              </w:rPr>
              <w:t>(0.62)</w:t>
            </w:r>
          </w:p>
        </w:tc>
        <w:tc>
          <w:tcPr>
            <w:tcW w:type="dxa" w:w="1234"/>
          </w:tcPr>
          <w:p>
            <w:pPr>
              <w:jc w:val="center"/>
            </w:pPr>
            <w:r/>
            <w:r>
              <w:rPr>
                <w:rFonts w:ascii="Times New Roman" w:hAnsi="Times New Roman" w:eastAsia="標楷體"/>
                <w:b w:val="0"/>
                <w:sz w:val="16"/>
              </w:rPr>
              <w:t>(0.42)</w:t>
            </w:r>
          </w:p>
        </w:tc>
        <w:tc>
          <w:tcPr>
            <w:tcW w:type="dxa" w:w="1234"/>
          </w:tcPr>
          <w:p>
            <w:pPr>
              <w:jc w:val="center"/>
            </w:pPr>
            <w:r/>
            <w:r>
              <w:rPr>
                <w:rFonts w:ascii="Times New Roman" w:hAnsi="Times New Roman" w:eastAsia="標楷體"/>
                <w:b w:val="0"/>
                <w:sz w:val="16"/>
              </w:rPr>
              <w:t>(-1.25)</w:t>
            </w:r>
          </w:p>
        </w:tc>
        <w:tc>
          <w:tcPr>
            <w:tcW w:type="dxa" w:w="1234"/>
          </w:tcPr>
          <w:p>
            <w:pPr>
              <w:jc w:val="center"/>
            </w:pPr>
            <w:r/>
            <w:r>
              <w:rPr>
                <w:rFonts w:ascii="Times New Roman" w:hAnsi="Times New Roman" w:eastAsia="標楷體"/>
                <w:b w:val="0"/>
                <w:sz w:val="16"/>
              </w:rPr>
              <w:t>(-1.29)</w:t>
            </w:r>
          </w:p>
        </w:tc>
      </w:tr>
      <w:tr>
        <w:tc>
          <w:tcPr>
            <w:tcW w:type="dxa" w:w="1234"/>
          </w:tcPr>
          <w:p>
            <w:pPr>
              <w:jc w:val="left"/>
            </w:pPr>
            <w:r/>
            <w:r>
              <w:rPr>
                <w:rFonts w:ascii="Times New Roman" w:hAnsi="Times New Roman" w:eastAsia="標楷體"/>
                <w:b w:val="0"/>
                <w:sz w:val="18"/>
              </w:rPr>
              <w:t>環境變數 (β4)</w:t>
            </w:r>
          </w:p>
        </w:tc>
        <w:tc>
          <w:tcPr>
            <w:tcW w:type="dxa" w:w="1234"/>
          </w:tcPr>
          <w:p>
            <w:pPr>
              <w:jc w:val="center"/>
            </w:pPr>
            <w:r/>
            <w:r>
              <w:rPr>
                <w:rFonts w:ascii="Times New Roman" w:hAnsi="Times New Roman" w:eastAsia="標楷體"/>
                <w:b w:val="0"/>
                <w:sz w:val="18"/>
              </w:rPr>
              <w:t>-0.0001</w:t>
            </w:r>
          </w:p>
        </w:tc>
        <w:tc>
          <w:tcPr>
            <w:tcW w:type="dxa" w:w="1234"/>
          </w:tcPr>
          <w:p>
            <w:pPr>
              <w:jc w:val="center"/>
            </w:pPr>
            <w:r/>
            <w:r>
              <w:rPr>
                <w:rFonts w:ascii="Times New Roman" w:hAnsi="Times New Roman" w:eastAsia="標楷體"/>
                <w:b w:val="0"/>
                <w:sz w:val="18"/>
              </w:rPr>
              <w:t>0.0052</w:t>
            </w:r>
          </w:p>
        </w:tc>
        <w:tc>
          <w:tcPr>
            <w:tcW w:type="dxa" w:w="1234"/>
          </w:tcPr>
          <w:p>
            <w:pPr>
              <w:jc w:val="center"/>
            </w:pPr>
            <w:r/>
            <w:r>
              <w:rPr>
                <w:rFonts w:ascii="Times New Roman" w:hAnsi="Times New Roman" w:eastAsia="標楷體"/>
                <w:b w:val="0"/>
                <w:sz w:val="18"/>
              </w:rPr>
              <w:t>-0.0008</w:t>
            </w:r>
          </w:p>
        </w:tc>
        <w:tc>
          <w:tcPr>
            <w:tcW w:type="dxa" w:w="1234"/>
          </w:tcPr>
          <w:p>
            <w:pPr>
              <w:jc w:val="center"/>
            </w:pPr>
            <w:r/>
            <w:r>
              <w:rPr>
                <w:rFonts w:ascii="Times New Roman" w:hAnsi="Times New Roman" w:eastAsia="標楷體"/>
                <w:b w:val="0"/>
                <w:sz w:val="18"/>
              </w:rPr>
              <w:t>0.0018</w:t>
            </w:r>
          </w:p>
        </w:tc>
        <w:tc>
          <w:tcPr>
            <w:tcW w:type="dxa" w:w="1234"/>
          </w:tcPr>
          <w:p>
            <w:pPr>
              <w:jc w:val="center"/>
            </w:pPr>
            <w:r/>
            <w:r>
              <w:rPr>
                <w:rFonts w:ascii="Times New Roman" w:hAnsi="Times New Roman" w:eastAsia="標楷體"/>
                <w:b w:val="0"/>
                <w:sz w:val="18"/>
              </w:rPr>
              <w:t>-0.0003</w:t>
            </w:r>
          </w:p>
        </w:tc>
        <w:tc>
          <w:tcPr>
            <w:tcW w:type="dxa" w:w="1234"/>
          </w:tcPr>
          <w:p>
            <w:pPr>
              <w:jc w:val="center"/>
            </w:pPr>
            <w:r/>
            <w:r>
              <w:rPr>
                <w:rFonts w:ascii="Times New Roman" w:hAnsi="Times New Roman" w:eastAsia="標楷體"/>
                <w:b w:val="0"/>
                <w:sz w:val="18"/>
              </w:rPr>
              <w:t>-0.0129***</w:t>
            </w:r>
          </w:p>
        </w:tc>
      </w:tr>
      <w:tr>
        <w:tc>
          <w:tcPr>
            <w:tcW w:type="dxa" w:w="1234"/>
          </w:tcPr>
          <w:p/>
        </w:tc>
        <w:tc>
          <w:tcPr>
            <w:tcW w:type="dxa" w:w="1234"/>
          </w:tcPr>
          <w:p>
            <w:pPr>
              <w:jc w:val="center"/>
            </w:pPr>
            <w:r/>
            <w:r>
              <w:rPr>
                <w:rFonts w:ascii="Times New Roman" w:hAnsi="Times New Roman" w:eastAsia="標楷體"/>
                <w:b w:val="0"/>
                <w:sz w:val="16"/>
              </w:rPr>
              <w:t>(-0.49)</w:t>
            </w:r>
          </w:p>
        </w:tc>
        <w:tc>
          <w:tcPr>
            <w:tcW w:type="dxa" w:w="1234"/>
          </w:tcPr>
          <w:p>
            <w:pPr>
              <w:jc w:val="center"/>
            </w:pPr>
            <w:r/>
            <w:r>
              <w:rPr>
                <w:rFonts w:ascii="Times New Roman" w:hAnsi="Times New Roman" w:eastAsia="標楷體"/>
                <w:b w:val="0"/>
                <w:sz w:val="16"/>
              </w:rPr>
              <w:t>(1.28)</w:t>
            </w:r>
          </w:p>
        </w:tc>
        <w:tc>
          <w:tcPr>
            <w:tcW w:type="dxa" w:w="1234"/>
          </w:tcPr>
          <w:p>
            <w:pPr>
              <w:jc w:val="center"/>
            </w:pPr>
            <w:r/>
            <w:r>
              <w:rPr>
                <w:rFonts w:ascii="Times New Roman" w:hAnsi="Times New Roman" w:eastAsia="標楷體"/>
                <w:b w:val="0"/>
                <w:sz w:val="16"/>
              </w:rPr>
              <w:t>(-0.28)</w:t>
            </w:r>
          </w:p>
        </w:tc>
        <w:tc>
          <w:tcPr>
            <w:tcW w:type="dxa" w:w="1234"/>
          </w:tcPr>
          <w:p>
            <w:pPr>
              <w:jc w:val="center"/>
            </w:pPr>
            <w:r/>
            <w:r>
              <w:rPr>
                <w:rFonts w:ascii="Times New Roman" w:hAnsi="Times New Roman" w:eastAsia="標楷體"/>
                <w:b w:val="0"/>
                <w:sz w:val="16"/>
              </w:rPr>
              <w:t>(1.52)</w:t>
            </w:r>
          </w:p>
        </w:tc>
        <w:tc>
          <w:tcPr>
            <w:tcW w:type="dxa" w:w="1234"/>
          </w:tcPr>
          <w:p>
            <w:pPr>
              <w:jc w:val="center"/>
            </w:pPr>
            <w:r/>
            <w:r>
              <w:rPr>
                <w:rFonts w:ascii="Times New Roman" w:hAnsi="Times New Roman" w:eastAsia="標楷體"/>
                <w:b w:val="0"/>
                <w:sz w:val="16"/>
              </w:rPr>
              <w:t>(-1.25)</w:t>
            </w:r>
          </w:p>
        </w:tc>
        <w:tc>
          <w:tcPr>
            <w:tcW w:type="dxa" w:w="1234"/>
          </w:tcPr>
          <w:p>
            <w:pPr>
              <w:jc w:val="center"/>
            </w:pPr>
            <w:r/>
            <w:r>
              <w:rPr>
                <w:rFonts w:ascii="Times New Roman" w:hAnsi="Times New Roman" w:eastAsia="標楷體"/>
                <w:b w:val="0"/>
                <w:sz w:val="16"/>
              </w:rPr>
              <w:t>(-3.73)</w:t>
            </w:r>
          </w:p>
        </w:tc>
      </w:tr>
      <w:tr>
        <w:tc>
          <w:tcPr>
            <w:tcW w:type="dxa" w:w="1234"/>
          </w:tcPr>
          <w:p>
            <w:pPr>
              <w:jc w:val="left"/>
            </w:pPr>
            <w:r/>
            <w:r>
              <w:rPr>
                <w:rFonts w:ascii="Times New Roman" w:hAnsi="Times New Roman" w:eastAsia="標楷體"/>
                <w:b w:val="0"/>
                <w:sz w:val="18"/>
              </w:rPr>
              <w:t>Size×D×ΔLNREV</w:t>
            </w:r>
          </w:p>
        </w:tc>
        <w:tc>
          <w:tcPr>
            <w:tcW w:type="dxa" w:w="1234"/>
          </w:tcPr>
          <w:p>
            <w:pPr>
              <w:jc w:val="center"/>
            </w:pPr>
            <w:r/>
            <w:r>
              <w:rPr>
                <w:rFonts w:ascii="Times New Roman" w:hAnsi="Times New Roman" w:eastAsia="標楷體"/>
                <w:b w:val="0"/>
                <w:sz w:val="18"/>
              </w:rPr>
              <w:t>0.0823***</w:t>
            </w:r>
          </w:p>
        </w:tc>
        <w:tc>
          <w:tcPr>
            <w:tcW w:type="dxa" w:w="1234"/>
          </w:tcPr>
          <w:p>
            <w:pPr>
              <w:jc w:val="center"/>
            </w:pPr>
            <w:r/>
            <w:r>
              <w:rPr>
                <w:rFonts w:ascii="Times New Roman" w:hAnsi="Times New Roman" w:eastAsia="標楷體"/>
                <w:b w:val="0"/>
                <w:sz w:val="18"/>
              </w:rPr>
              <w:t>0.0092</w:t>
            </w:r>
          </w:p>
        </w:tc>
        <w:tc>
          <w:tcPr>
            <w:tcW w:type="dxa" w:w="1234"/>
          </w:tcPr>
          <w:p>
            <w:pPr>
              <w:jc w:val="center"/>
            </w:pPr>
            <w:r/>
            <w:r>
              <w:rPr>
                <w:rFonts w:ascii="Times New Roman" w:hAnsi="Times New Roman" w:eastAsia="標楷體"/>
                <w:b w:val="0"/>
                <w:sz w:val="18"/>
              </w:rPr>
              <w:t>0.0353***</w:t>
            </w:r>
          </w:p>
        </w:tc>
        <w:tc>
          <w:tcPr>
            <w:tcW w:type="dxa" w:w="1234"/>
          </w:tcPr>
          <w:p>
            <w:pPr>
              <w:jc w:val="center"/>
            </w:pPr>
            <w:r/>
            <w:r>
              <w:rPr>
                <w:rFonts w:ascii="Times New Roman" w:hAnsi="Times New Roman" w:eastAsia="標楷體"/>
                <w:b w:val="0"/>
                <w:sz w:val="18"/>
              </w:rPr>
              <w:t>0.0100</w:t>
            </w:r>
          </w:p>
        </w:tc>
        <w:tc>
          <w:tcPr>
            <w:tcW w:type="dxa" w:w="1234"/>
          </w:tcPr>
          <w:p>
            <w:pPr>
              <w:jc w:val="center"/>
            </w:pPr>
            <w:r/>
            <w:r>
              <w:rPr>
                <w:rFonts w:ascii="Times New Roman" w:hAnsi="Times New Roman" w:eastAsia="標楷體"/>
                <w:b w:val="0"/>
                <w:sz w:val="18"/>
              </w:rPr>
              <w:t>0.0040</w:t>
            </w:r>
          </w:p>
        </w:tc>
        <w:tc>
          <w:tcPr>
            <w:tcW w:type="dxa" w:w="1234"/>
          </w:tcPr>
          <w:p>
            <w:pPr>
              <w:jc w:val="center"/>
            </w:pPr>
            <w:r/>
            <w:r>
              <w:rPr>
                <w:rFonts w:ascii="Times New Roman" w:hAnsi="Times New Roman" w:eastAsia="標楷體"/>
                <w:b w:val="0"/>
                <w:sz w:val="18"/>
              </w:rPr>
              <w:t>0.0032</w:t>
            </w:r>
          </w:p>
        </w:tc>
      </w:tr>
      <w:tr>
        <w:tc>
          <w:tcPr>
            <w:tcW w:type="dxa" w:w="1234"/>
          </w:tcPr>
          <w:p/>
        </w:tc>
        <w:tc>
          <w:tcPr>
            <w:tcW w:type="dxa" w:w="1234"/>
          </w:tcPr>
          <w:p>
            <w:pPr>
              <w:jc w:val="center"/>
            </w:pPr>
            <w:r/>
            <w:r>
              <w:rPr>
                <w:rFonts w:ascii="Times New Roman" w:hAnsi="Times New Roman" w:eastAsia="標楷體"/>
                <w:b w:val="0"/>
                <w:sz w:val="16"/>
              </w:rPr>
              <w:t>(2.84)</w:t>
            </w:r>
          </w:p>
        </w:tc>
        <w:tc>
          <w:tcPr>
            <w:tcW w:type="dxa" w:w="1234"/>
          </w:tcPr>
          <w:p>
            <w:pPr>
              <w:jc w:val="center"/>
            </w:pPr>
            <w:r/>
            <w:r>
              <w:rPr>
                <w:rFonts w:ascii="Times New Roman" w:hAnsi="Times New Roman" w:eastAsia="標楷體"/>
                <w:b w:val="0"/>
                <w:sz w:val="16"/>
              </w:rPr>
              <w:t>(1.02)</w:t>
            </w:r>
          </w:p>
        </w:tc>
        <w:tc>
          <w:tcPr>
            <w:tcW w:type="dxa" w:w="1234"/>
          </w:tcPr>
          <w:p>
            <w:pPr>
              <w:jc w:val="center"/>
            </w:pPr>
            <w:r/>
            <w:r>
              <w:rPr>
                <w:rFonts w:ascii="Times New Roman" w:hAnsi="Times New Roman" w:eastAsia="標楷體"/>
                <w:b w:val="0"/>
                <w:sz w:val="16"/>
              </w:rPr>
              <w:t>(2.80)</w:t>
            </w:r>
          </w:p>
        </w:tc>
        <w:tc>
          <w:tcPr>
            <w:tcW w:type="dxa" w:w="1234"/>
          </w:tcPr>
          <w:p>
            <w:pPr>
              <w:jc w:val="center"/>
            </w:pPr>
            <w:r/>
            <w:r>
              <w:rPr>
                <w:rFonts w:ascii="Times New Roman" w:hAnsi="Times New Roman" w:eastAsia="標楷體"/>
                <w:b w:val="0"/>
                <w:sz w:val="16"/>
              </w:rPr>
              <w:t>(1.01)</w:t>
            </w:r>
          </w:p>
        </w:tc>
        <w:tc>
          <w:tcPr>
            <w:tcW w:type="dxa" w:w="1234"/>
          </w:tcPr>
          <w:p>
            <w:pPr>
              <w:jc w:val="center"/>
            </w:pPr>
            <w:r/>
            <w:r>
              <w:rPr>
                <w:rFonts w:ascii="Times New Roman" w:hAnsi="Times New Roman" w:eastAsia="標楷體"/>
                <w:b w:val="0"/>
                <w:sz w:val="16"/>
              </w:rPr>
              <w:t>(0.26)</w:t>
            </w:r>
          </w:p>
        </w:tc>
        <w:tc>
          <w:tcPr>
            <w:tcW w:type="dxa" w:w="1234"/>
          </w:tcPr>
          <w:p>
            <w:pPr>
              <w:jc w:val="center"/>
            </w:pPr>
            <w:r/>
            <w:r>
              <w:rPr>
                <w:rFonts w:ascii="Times New Roman" w:hAnsi="Times New Roman" w:eastAsia="標楷體"/>
                <w:b w:val="0"/>
                <w:sz w:val="16"/>
              </w:rPr>
              <w:t>(0.36)</w:t>
            </w:r>
          </w:p>
        </w:tc>
      </w:tr>
      <w:tr>
        <w:tc>
          <w:tcPr>
            <w:tcW w:type="dxa" w:w="1234"/>
          </w:tcPr>
          <w:p>
            <w:pPr>
              <w:jc w:val="left"/>
            </w:pPr>
            <w:r/>
            <w:r>
              <w:rPr>
                <w:rFonts w:ascii="Times New Roman" w:hAnsi="Times New Roman" w:eastAsia="標楷體"/>
                <w:b w:val="0"/>
                <w:sz w:val="18"/>
              </w:rPr>
              <w:t>AI×D×ΔLNREV</w:t>
            </w:r>
          </w:p>
        </w:tc>
        <w:tc>
          <w:tcPr>
            <w:tcW w:type="dxa" w:w="1234"/>
          </w:tcPr>
          <w:p>
            <w:pPr>
              <w:jc w:val="center"/>
            </w:pPr>
            <w:r/>
            <w:r>
              <w:rPr>
                <w:rFonts w:ascii="Times New Roman" w:hAnsi="Times New Roman" w:eastAsia="標楷體"/>
                <w:b w:val="0"/>
                <w:sz w:val="18"/>
              </w:rPr>
              <w:t>-0.0433***</w:t>
            </w:r>
          </w:p>
        </w:tc>
        <w:tc>
          <w:tcPr>
            <w:tcW w:type="dxa" w:w="1234"/>
          </w:tcPr>
          <w:p>
            <w:pPr>
              <w:jc w:val="center"/>
            </w:pPr>
            <w:r/>
            <w:r>
              <w:rPr>
                <w:rFonts w:ascii="Times New Roman" w:hAnsi="Times New Roman" w:eastAsia="標楷體"/>
                <w:b w:val="0"/>
                <w:sz w:val="18"/>
              </w:rPr>
              <w:t>-0.0052***</w:t>
            </w:r>
          </w:p>
        </w:tc>
        <w:tc>
          <w:tcPr>
            <w:tcW w:type="dxa" w:w="1234"/>
          </w:tcPr>
          <w:p>
            <w:pPr>
              <w:jc w:val="center"/>
            </w:pPr>
            <w:r/>
            <w:r>
              <w:rPr>
                <w:rFonts w:ascii="Times New Roman" w:hAnsi="Times New Roman" w:eastAsia="標楷體"/>
                <w:b w:val="0"/>
                <w:sz w:val="18"/>
              </w:rPr>
              <w:t>-0.0045**</w:t>
            </w:r>
          </w:p>
        </w:tc>
        <w:tc>
          <w:tcPr>
            <w:tcW w:type="dxa" w:w="1234"/>
          </w:tcPr>
          <w:p>
            <w:pPr>
              <w:jc w:val="center"/>
            </w:pPr>
            <w:r/>
            <w:r>
              <w:rPr>
                <w:rFonts w:ascii="Times New Roman" w:hAnsi="Times New Roman" w:eastAsia="標楷體"/>
                <w:b w:val="0"/>
                <w:sz w:val="18"/>
              </w:rPr>
              <w:t>-0.0054***</w:t>
            </w:r>
          </w:p>
        </w:tc>
        <w:tc>
          <w:tcPr>
            <w:tcW w:type="dxa" w:w="1234"/>
          </w:tcPr>
          <w:p>
            <w:pPr>
              <w:jc w:val="center"/>
            </w:pPr>
            <w:r/>
            <w:r>
              <w:rPr>
                <w:rFonts w:ascii="Times New Roman" w:hAnsi="Times New Roman" w:eastAsia="標楷體"/>
                <w:b w:val="0"/>
                <w:sz w:val="18"/>
              </w:rPr>
              <w:t>-0.0058***</w:t>
            </w:r>
          </w:p>
        </w:tc>
        <w:tc>
          <w:tcPr>
            <w:tcW w:type="dxa" w:w="1234"/>
          </w:tcPr>
          <w:p>
            <w:pPr>
              <w:jc w:val="center"/>
            </w:pPr>
            <w:r/>
            <w:r>
              <w:rPr>
                <w:rFonts w:ascii="Times New Roman" w:hAnsi="Times New Roman" w:eastAsia="標楷體"/>
                <w:b w:val="0"/>
                <w:sz w:val="18"/>
              </w:rPr>
              <w:t>-0.0038**</w:t>
            </w:r>
          </w:p>
        </w:tc>
      </w:tr>
      <w:tr>
        <w:tc>
          <w:tcPr>
            <w:tcW w:type="dxa" w:w="1234"/>
          </w:tcPr>
          <w:p/>
        </w:tc>
        <w:tc>
          <w:tcPr>
            <w:tcW w:type="dxa" w:w="1234"/>
          </w:tcPr>
          <w:p>
            <w:pPr>
              <w:jc w:val="center"/>
            </w:pPr>
            <w:r/>
            <w:r>
              <w:rPr>
                <w:rFonts w:ascii="Times New Roman" w:hAnsi="Times New Roman" w:eastAsia="標楷體"/>
                <w:b w:val="0"/>
                <w:sz w:val="16"/>
              </w:rPr>
              <w:t>(-3.79)</w:t>
            </w:r>
          </w:p>
        </w:tc>
        <w:tc>
          <w:tcPr>
            <w:tcW w:type="dxa" w:w="1234"/>
          </w:tcPr>
          <w:p>
            <w:pPr>
              <w:jc w:val="center"/>
            </w:pPr>
            <w:r/>
            <w:r>
              <w:rPr>
                <w:rFonts w:ascii="Times New Roman" w:hAnsi="Times New Roman" w:eastAsia="標楷體"/>
                <w:b w:val="0"/>
                <w:sz w:val="16"/>
              </w:rPr>
              <w:t>(-5.65)</w:t>
            </w:r>
          </w:p>
        </w:tc>
        <w:tc>
          <w:tcPr>
            <w:tcW w:type="dxa" w:w="1234"/>
          </w:tcPr>
          <w:p>
            <w:pPr>
              <w:jc w:val="center"/>
            </w:pPr>
            <w:r/>
            <w:r>
              <w:rPr>
                <w:rFonts w:ascii="Times New Roman" w:hAnsi="Times New Roman" w:eastAsia="標楷體"/>
                <w:b w:val="0"/>
                <w:sz w:val="16"/>
              </w:rPr>
              <w:t>(-2.48)</w:t>
            </w:r>
          </w:p>
        </w:tc>
        <w:tc>
          <w:tcPr>
            <w:tcW w:type="dxa" w:w="1234"/>
          </w:tcPr>
          <w:p>
            <w:pPr>
              <w:jc w:val="center"/>
            </w:pPr>
            <w:r/>
            <w:r>
              <w:rPr>
                <w:rFonts w:ascii="Times New Roman" w:hAnsi="Times New Roman" w:eastAsia="標楷體"/>
                <w:b w:val="0"/>
                <w:sz w:val="16"/>
              </w:rPr>
              <w:t>(-5.28)</w:t>
            </w:r>
          </w:p>
        </w:tc>
        <w:tc>
          <w:tcPr>
            <w:tcW w:type="dxa" w:w="1234"/>
          </w:tcPr>
          <w:p>
            <w:pPr>
              <w:jc w:val="center"/>
            </w:pPr>
            <w:r/>
            <w:r>
              <w:rPr>
                <w:rFonts w:ascii="Times New Roman" w:hAnsi="Times New Roman" w:eastAsia="標楷體"/>
                <w:b w:val="0"/>
                <w:sz w:val="16"/>
              </w:rPr>
              <w:t>(-2.97)</w:t>
            </w:r>
          </w:p>
        </w:tc>
        <w:tc>
          <w:tcPr>
            <w:tcW w:type="dxa" w:w="1234"/>
          </w:tcPr>
          <w:p>
            <w:pPr>
              <w:jc w:val="center"/>
            </w:pPr>
            <w:r/>
            <w:r>
              <w:rPr>
                <w:rFonts w:ascii="Times New Roman" w:hAnsi="Times New Roman" w:eastAsia="標楷體"/>
                <w:b w:val="0"/>
                <w:sz w:val="16"/>
              </w:rPr>
              <w:t>(-2.36)</w:t>
            </w:r>
          </w:p>
        </w:tc>
      </w:tr>
      <w:tr>
        <w:tc>
          <w:tcPr>
            <w:tcW w:type="dxa" w:w="1234"/>
          </w:tcPr>
          <w:p>
            <w:pPr>
              <w:jc w:val="left"/>
            </w:pPr>
            <w:r/>
            <w:r>
              <w:rPr>
                <w:rFonts w:ascii="Times New Roman" w:hAnsi="Times New Roman" w:eastAsia="標楷體"/>
                <w:b w:val="0"/>
                <w:sz w:val="18"/>
              </w:rPr>
              <w:t>EI×D×ΔLNREV</w:t>
            </w:r>
          </w:p>
        </w:tc>
        <w:tc>
          <w:tcPr>
            <w:tcW w:type="dxa" w:w="1234"/>
          </w:tcPr>
          <w:p>
            <w:pPr>
              <w:jc w:val="center"/>
            </w:pPr>
            <w:r/>
            <w:r>
              <w:rPr>
                <w:rFonts w:ascii="Times New Roman" w:hAnsi="Times New Roman" w:eastAsia="標楷體"/>
                <w:b w:val="0"/>
                <w:sz w:val="18"/>
              </w:rPr>
              <w:t>374.4080</w:t>
            </w:r>
          </w:p>
        </w:tc>
        <w:tc>
          <w:tcPr>
            <w:tcW w:type="dxa" w:w="1234"/>
          </w:tcPr>
          <w:p>
            <w:pPr>
              <w:jc w:val="center"/>
            </w:pPr>
            <w:r/>
            <w:r>
              <w:rPr>
                <w:rFonts w:ascii="Times New Roman" w:hAnsi="Times New Roman" w:eastAsia="標楷體"/>
                <w:b w:val="0"/>
                <w:sz w:val="18"/>
              </w:rPr>
              <w:t>12.1236</w:t>
            </w:r>
          </w:p>
        </w:tc>
        <w:tc>
          <w:tcPr>
            <w:tcW w:type="dxa" w:w="1234"/>
          </w:tcPr>
          <w:p>
            <w:pPr>
              <w:jc w:val="center"/>
            </w:pPr>
            <w:r/>
            <w:r>
              <w:rPr>
                <w:rFonts w:ascii="Times New Roman" w:hAnsi="Times New Roman" w:eastAsia="標楷體"/>
                <w:b w:val="0"/>
                <w:sz w:val="18"/>
              </w:rPr>
              <w:t>110.1635</w:t>
            </w:r>
          </w:p>
        </w:tc>
        <w:tc>
          <w:tcPr>
            <w:tcW w:type="dxa" w:w="1234"/>
          </w:tcPr>
          <w:p>
            <w:pPr>
              <w:jc w:val="center"/>
            </w:pPr>
            <w:r/>
            <w:r>
              <w:rPr>
                <w:rFonts w:ascii="Times New Roman" w:hAnsi="Times New Roman" w:eastAsia="標楷體"/>
                <w:b w:val="0"/>
                <w:sz w:val="18"/>
              </w:rPr>
              <w:t>23.6002</w:t>
            </w:r>
          </w:p>
        </w:tc>
        <w:tc>
          <w:tcPr>
            <w:tcW w:type="dxa" w:w="1234"/>
          </w:tcPr>
          <w:p>
            <w:pPr>
              <w:jc w:val="center"/>
            </w:pPr>
            <w:r/>
            <w:r>
              <w:rPr>
                <w:rFonts w:ascii="Times New Roman" w:hAnsi="Times New Roman" w:eastAsia="標楷體"/>
                <w:b w:val="0"/>
                <w:sz w:val="18"/>
              </w:rPr>
              <w:t>24.6135</w:t>
            </w:r>
          </w:p>
        </w:tc>
        <w:tc>
          <w:tcPr>
            <w:tcW w:type="dxa" w:w="1234"/>
          </w:tcPr>
          <w:p>
            <w:pPr>
              <w:jc w:val="center"/>
            </w:pPr>
            <w:r/>
            <w:r>
              <w:rPr>
                <w:rFonts w:ascii="Times New Roman" w:hAnsi="Times New Roman" w:eastAsia="標楷體"/>
                <w:b w:val="0"/>
                <w:sz w:val="18"/>
              </w:rPr>
              <w:t>-95.0811</w:t>
            </w:r>
          </w:p>
        </w:tc>
      </w:tr>
      <w:tr>
        <w:tc>
          <w:tcPr>
            <w:tcW w:type="dxa" w:w="1234"/>
          </w:tcPr>
          <w:p/>
        </w:tc>
        <w:tc>
          <w:tcPr>
            <w:tcW w:type="dxa" w:w="1234"/>
          </w:tcPr>
          <w:p>
            <w:pPr>
              <w:jc w:val="center"/>
            </w:pPr>
            <w:r/>
            <w:r>
              <w:rPr>
                <w:rFonts w:ascii="Times New Roman" w:hAnsi="Times New Roman" w:eastAsia="標楷體"/>
                <w:b w:val="0"/>
                <w:sz w:val="16"/>
              </w:rPr>
              <w:t>(1.37)</w:t>
            </w:r>
          </w:p>
        </w:tc>
        <w:tc>
          <w:tcPr>
            <w:tcW w:type="dxa" w:w="1234"/>
          </w:tcPr>
          <w:p>
            <w:pPr>
              <w:jc w:val="center"/>
            </w:pPr>
            <w:r/>
            <w:r>
              <w:rPr>
                <w:rFonts w:ascii="Times New Roman" w:hAnsi="Times New Roman" w:eastAsia="標楷體"/>
                <w:b w:val="0"/>
                <w:sz w:val="16"/>
              </w:rPr>
              <w:t>(0.33)</w:t>
            </w:r>
          </w:p>
        </w:tc>
        <w:tc>
          <w:tcPr>
            <w:tcW w:type="dxa" w:w="1234"/>
          </w:tcPr>
          <w:p>
            <w:pPr>
              <w:jc w:val="center"/>
            </w:pPr>
            <w:r/>
            <w:r>
              <w:rPr>
                <w:rFonts w:ascii="Times New Roman" w:hAnsi="Times New Roman" w:eastAsia="標楷體"/>
                <w:b w:val="0"/>
                <w:sz w:val="16"/>
              </w:rPr>
              <w:t>(1.39)</w:t>
            </w:r>
          </w:p>
        </w:tc>
        <w:tc>
          <w:tcPr>
            <w:tcW w:type="dxa" w:w="1234"/>
          </w:tcPr>
          <w:p>
            <w:pPr>
              <w:jc w:val="center"/>
            </w:pPr>
            <w:r/>
            <w:r>
              <w:rPr>
                <w:rFonts w:ascii="Times New Roman" w:hAnsi="Times New Roman" w:eastAsia="標楷體"/>
                <w:b w:val="0"/>
                <w:sz w:val="16"/>
              </w:rPr>
              <w:t>(0.56)</w:t>
            </w:r>
          </w:p>
        </w:tc>
        <w:tc>
          <w:tcPr>
            <w:tcW w:type="dxa" w:w="1234"/>
          </w:tcPr>
          <w:p>
            <w:pPr>
              <w:jc w:val="center"/>
            </w:pPr>
            <w:r/>
            <w:r>
              <w:rPr>
                <w:rFonts w:ascii="Times New Roman" w:hAnsi="Times New Roman" w:eastAsia="標楷體"/>
                <w:b w:val="0"/>
                <w:sz w:val="16"/>
              </w:rPr>
              <w:t>(0.31)</w:t>
            </w:r>
          </w:p>
        </w:tc>
        <w:tc>
          <w:tcPr>
            <w:tcW w:type="dxa" w:w="1234"/>
          </w:tcPr>
          <w:p>
            <w:pPr>
              <w:jc w:val="center"/>
            </w:pPr>
            <w:r/>
            <w:r>
              <w:rPr>
                <w:rFonts w:ascii="Times New Roman" w:hAnsi="Times New Roman" w:eastAsia="標楷體"/>
                <w:b w:val="0"/>
                <w:sz w:val="16"/>
              </w:rPr>
              <w:t>(-1.56)</w:t>
            </w:r>
          </w:p>
        </w:tc>
      </w:tr>
      <w:tr>
        <w:tc>
          <w:tcPr>
            <w:tcW w:type="dxa" w:w="1234"/>
          </w:tcPr>
          <w:p>
            <w:pPr>
              <w:jc w:val="left"/>
            </w:pPr>
            <w:r/>
            <w:r>
              <w:rPr>
                <w:rFonts w:ascii="Times New Roman" w:hAnsi="Times New Roman" w:eastAsia="標楷體"/>
                <w:b w:val="0"/>
                <w:sz w:val="18"/>
              </w:rPr>
              <w:t>ROA×D×ΔLNREV</w:t>
            </w:r>
          </w:p>
        </w:tc>
        <w:tc>
          <w:tcPr>
            <w:tcW w:type="dxa" w:w="1234"/>
          </w:tcPr>
          <w:p>
            <w:pPr>
              <w:jc w:val="center"/>
            </w:pPr>
            <w:r/>
            <w:r>
              <w:rPr>
                <w:rFonts w:ascii="Times New Roman" w:hAnsi="Times New Roman" w:eastAsia="標楷體"/>
                <w:b w:val="0"/>
                <w:sz w:val="18"/>
              </w:rPr>
              <w:t>0.0104</w:t>
            </w:r>
          </w:p>
        </w:tc>
        <w:tc>
          <w:tcPr>
            <w:tcW w:type="dxa" w:w="1234"/>
          </w:tcPr>
          <w:p>
            <w:pPr>
              <w:jc w:val="center"/>
            </w:pPr>
            <w:r/>
            <w:r>
              <w:rPr>
                <w:rFonts w:ascii="Times New Roman" w:hAnsi="Times New Roman" w:eastAsia="標楷體"/>
                <w:b w:val="0"/>
                <w:sz w:val="18"/>
              </w:rPr>
              <w:t>0.0126***</w:t>
            </w:r>
          </w:p>
        </w:tc>
        <w:tc>
          <w:tcPr>
            <w:tcW w:type="dxa" w:w="1234"/>
          </w:tcPr>
          <w:p>
            <w:pPr>
              <w:jc w:val="center"/>
            </w:pPr>
            <w:r/>
            <w:r>
              <w:rPr>
                <w:rFonts w:ascii="Times New Roman" w:hAnsi="Times New Roman" w:eastAsia="標楷體"/>
                <w:b w:val="0"/>
                <w:sz w:val="18"/>
              </w:rPr>
              <w:t>0.0165***</w:t>
            </w:r>
          </w:p>
        </w:tc>
        <w:tc>
          <w:tcPr>
            <w:tcW w:type="dxa" w:w="1234"/>
          </w:tcPr>
          <w:p>
            <w:pPr>
              <w:jc w:val="center"/>
            </w:pPr>
            <w:r/>
            <w:r>
              <w:rPr>
                <w:rFonts w:ascii="Times New Roman" w:hAnsi="Times New Roman" w:eastAsia="標楷體"/>
                <w:b w:val="0"/>
                <w:sz w:val="18"/>
              </w:rPr>
              <w:t>0.0144***</w:t>
            </w:r>
          </w:p>
        </w:tc>
        <w:tc>
          <w:tcPr>
            <w:tcW w:type="dxa" w:w="1234"/>
          </w:tcPr>
          <w:p>
            <w:pPr>
              <w:jc w:val="center"/>
            </w:pPr>
            <w:r/>
            <w:r>
              <w:rPr>
                <w:rFonts w:ascii="Times New Roman" w:hAnsi="Times New Roman" w:eastAsia="標楷體"/>
                <w:b w:val="0"/>
                <w:sz w:val="18"/>
              </w:rPr>
              <w:t>0.0211***</w:t>
            </w:r>
          </w:p>
        </w:tc>
        <w:tc>
          <w:tcPr>
            <w:tcW w:type="dxa" w:w="1234"/>
          </w:tcPr>
          <w:p>
            <w:pPr>
              <w:jc w:val="center"/>
            </w:pPr>
            <w:r/>
            <w:r>
              <w:rPr>
                <w:rFonts w:ascii="Times New Roman" w:hAnsi="Times New Roman" w:eastAsia="標楷體"/>
                <w:b w:val="0"/>
                <w:sz w:val="18"/>
              </w:rPr>
              <w:t>0.0150***</w:t>
            </w:r>
          </w:p>
        </w:tc>
      </w:tr>
      <w:tr>
        <w:tc>
          <w:tcPr>
            <w:tcW w:type="dxa" w:w="1234"/>
          </w:tcPr>
          <w:p/>
        </w:tc>
        <w:tc>
          <w:tcPr>
            <w:tcW w:type="dxa" w:w="1234"/>
          </w:tcPr>
          <w:p>
            <w:pPr>
              <w:jc w:val="center"/>
            </w:pPr>
            <w:r/>
            <w:r>
              <w:rPr>
                <w:rFonts w:ascii="Times New Roman" w:hAnsi="Times New Roman" w:eastAsia="標楷體"/>
                <w:b w:val="0"/>
                <w:sz w:val="16"/>
              </w:rPr>
              <w:t>(0.58)</w:t>
            </w:r>
          </w:p>
        </w:tc>
        <w:tc>
          <w:tcPr>
            <w:tcW w:type="dxa" w:w="1234"/>
          </w:tcPr>
          <w:p>
            <w:pPr>
              <w:jc w:val="center"/>
            </w:pPr>
            <w:r/>
            <w:r>
              <w:rPr>
                <w:rFonts w:ascii="Times New Roman" w:hAnsi="Times New Roman" w:eastAsia="標楷體"/>
                <w:b w:val="0"/>
                <w:sz w:val="16"/>
              </w:rPr>
              <w:t>(4.24)</w:t>
            </w:r>
          </w:p>
        </w:tc>
        <w:tc>
          <w:tcPr>
            <w:tcW w:type="dxa" w:w="1234"/>
          </w:tcPr>
          <w:p>
            <w:pPr>
              <w:jc w:val="center"/>
            </w:pPr>
            <w:r/>
            <w:r>
              <w:rPr>
                <w:rFonts w:ascii="Times New Roman" w:hAnsi="Times New Roman" w:eastAsia="標楷體"/>
                <w:b w:val="0"/>
                <w:sz w:val="16"/>
              </w:rPr>
              <w:t>(3.22)</w:t>
            </w:r>
          </w:p>
        </w:tc>
        <w:tc>
          <w:tcPr>
            <w:tcW w:type="dxa" w:w="1234"/>
          </w:tcPr>
          <w:p>
            <w:pPr>
              <w:jc w:val="center"/>
            </w:pPr>
            <w:r/>
            <w:r>
              <w:rPr>
                <w:rFonts w:ascii="Times New Roman" w:hAnsi="Times New Roman" w:eastAsia="標楷體"/>
                <w:b w:val="0"/>
                <w:sz w:val="16"/>
              </w:rPr>
              <w:t>(4.41)</w:t>
            </w:r>
          </w:p>
        </w:tc>
        <w:tc>
          <w:tcPr>
            <w:tcW w:type="dxa" w:w="1234"/>
          </w:tcPr>
          <w:p>
            <w:pPr>
              <w:jc w:val="center"/>
            </w:pPr>
            <w:r/>
            <w:r>
              <w:rPr>
                <w:rFonts w:ascii="Times New Roman" w:hAnsi="Times New Roman" w:eastAsia="標楷體"/>
                <w:b w:val="0"/>
                <w:sz w:val="16"/>
              </w:rPr>
              <w:t>(3.20)</w:t>
            </w:r>
          </w:p>
        </w:tc>
        <w:tc>
          <w:tcPr>
            <w:tcW w:type="dxa" w:w="1234"/>
          </w:tcPr>
          <w:p>
            <w:pPr>
              <w:jc w:val="center"/>
            </w:pPr>
            <w:r/>
            <w:r>
              <w:rPr>
                <w:rFonts w:ascii="Times New Roman" w:hAnsi="Times New Roman" w:eastAsia="標楷體"/>
                <w:b w:val="0"/>
                <w:sz w:val="16"/>
              </w:rPr>
              <w:t>(3.58)</w:t>
            </w:r>
          </w:p>
        </w:tc>
      </w:tr>
      <w:tr>
        <w:tc>
          <w:tcPr>
            <w:tcW w:type="dxa" w:w="1234"/>
          </w:tcPr>
          <w:p>
            <w:pPr>
              <w:jc w:val="left"/>
            </w:pPr>
            <w:r/>
            <w:r>
              <w:rPr>
                <w:rFonts w:ascii="Times New Roman" w:hAnsi="Times New Roman" w:eastAsia="標楷體"/>
                <w:b w:val="0"/>
                <w:sz w:val="18"/>
              </w:rPr>
              <w:t>Lev×D×ΔLNREV</w:t>
            </w:r>
          </w:p>
        </w:tc>
        <w:tc>
          <w:tcPr>
            <w:tcW w:type="dxa" w:w="1234"/>
          </w:tcPr>
          <w:p>
            <w:pPr>
              <w:jc w:val="center"/>
            </w:pPr>
            <w:r/>
            <w:r>
              <w:rPr>
                <w:rFonts w:ascii="Times New Roman" w:hAnsi="Times New Roman" w:eastAsia="標楷體"/>
                <w:b w:val="0"/>
                <w:sz w:val="18"/>
              </w:rPr>
              <w:t>-0.0007</w:t>
            </w:r>
          </w:p>
        </w:tc>
        <w:tc>
          <w:tcPr>
            <w:tcW w:type="dxa" w:w="1234"/>
          </w:tcPr>
          <w:p>
            <w:pPr>
              <w:jc w:val="center"/>
            </w:pPr>
            <w:r/>
            <w:r>
              <w:rPr>
                <w:rFonts w:ascii="Times New Roman" w:hAnsi="Times New Roman" w:eastAsia="標楷體"/>
                <w:b w:val="0"/>
                <w:sz w:val="18"/>
              </w:rPr>
              <w:t>0.0004</w:t>
            </w:r>
          </w:p>
        </w:tc>
        <w:tc>
          <w:tcPr>
            <w:tcW w:type="dxa" w:w="1234"/>
          </w:tcPr>
          <w:p>
            <w:pPr>
              <w:jc w:val="center"/>
            </w:pPr>
            <w:r/>
            <w:r>
              <w:rPr>
                <w:rFonts w:ascii="Times New Roman" w:hAnsi="Times New Roman" w:eastAsia="標楷體"/>
                <w:b w:val="0"/>
                <w:sz w:val="18"/>
              </w:rPr>
              <w:t>0.0013</w:t>
            </w:r>
          </w:p>
        </w:tc>
        <w:tc>
          <w:tcPr>
            <w:tcW w:type="dxa" w:w="1234"/>
          </w:tcPr>
          <w:p>
            <w:pPr>
              <w:jc w:val="center"/>
            </w:pPr>
            <w:r/>
            <w:r>
              <w:rPr>
                <w:rFonts w:ascii="Times New Roman" w:hAnsi="Times New Roman" w:eastAsia="標楷體"/>
                <w:b w:val="0"/>
                <w:sz w:val="18"/>
              </w:rPr>
              <w:t>0.0005</w:t>
            </w:r>
          </w:p>
        </w:tc>
        <w:tc>
          <w:tcPr>
            <w:tcW w:type="dxa" w:w="1234"/>
          </w:tcPr>
          <w:p>
            <w:pPr>
              <w:jc w:val="center"/>
            </w:pPr>
            <w:r/>
            <w:r>
              <w:rPr>
                <w:rFonts w:ascii="Times New Roman" w:hAnsi="Times New Roman" w:eastAsia="標楷體"/>
                <w:b w:val="0"/>
                <w:sz w:val="18"/>
              </w:rPr>
              <w:t>-0.0009</w:t>
            </w:r>
          </w:p>
        </w:tc>
        <w:tc>
          <w:tcPr>
            <w:tcW w:type="dxa" w:w="1234"/>
          </w:tcPr>
          <w:p>
            <w:pPr>
              <w:jc w:val="center"/>
            </w:pPr>
            <w:r/>
            <w:r>
              <w:rPr>
                <w:rFonts w:ascii="Times New Roman" w:hAnsi="Times New Roman" w:eastAsia="標楷體"/>
                <w:b w:val="0"/>
                <w:sz w:val="18"/>
              </w:rPr>
              <w:t>0.0009</w:t>
            </w:r>
          </w:p>
        </w:tc>
      </w:tr>
      <w:tr>
        <w:tc>
          <w:tcPr>
            <w:tcW w:type="dxa" w:w="1234"/>
          </w:tcPr>
          <w:p/>
        </w:tc>
        <w:tc>
          <w:tcPr>
            <w:tcW w:type="dxa" w:w="1234"/>
          </w:tcPr>
          <w:p>
            <w:pPr>
              <w:jc w:val="center"/>
            </w:pPr>
            <w:r/>
            <w:r>
              <w:rPr>
                <w:rFonts w:ascii="Times New Roman" w:hAnsi="Times New Roman" w:eastAsia="標楷體"/>
                <w:b w:val="0"/>
                <w:sz w:val="16"/>
              </w:rPr>
              <w:t>(-0.31)</w:t>
            </w:r>
          </w:p>
        </w:tc>
        <w:tc>
          <w:tcPr>
            <w:tcW w:type="dxa" w:w="1234"/>
          </w:tcPr>
          <w:p>
            <w:pPr>
              <w:jc w:val="center"/>
            </w:pPr>
            <w:r/>
            <w:r>
              <w:rPr>
                <w:rFonts w:ascii="Times New Roman" w:hAnsi="Times New Roman" w:eastAsia="標楷體"/>
                <w:b w:val="0"/>
                <w:sz w:val="16"/>
              </w:rPr>
              <w:t>(0.83)</w:t>
            </w:r>
          </w:p>
        </w:tc>
        <w:tc>
          <w:tcPr>
            <w:tcW w:type="dxa" w:w="1234"/>
          </w:tcPr>
          <w:p>
            <w:pPr>
              <w:jc w:val="center"/>
            </w:pPr>
            <w:r/>
            <w:r>
              <w:rPr>
                <w:rFonts w:ascii="Times New Roman" w:hAnsi="Times New Roman" w:eastAsia="標楷體"/>
                <w:b w:val="0"/>
                <w:sz w:val="16"/>
              </w:rPr>
              <w:t>(1.35)</w:t>
            </w:r>
          </w:p>
        </w:tc>
        <w:tc>
          <w:tcPr>
            <w:tcW w:type="dxa" w:w="1234"/>
          </w:tcPr>
          <w:p>
            <w:pPr>
              <w:jc w:val="center"/>
            </w:pPr>
            <w:r/>
            <w:r>
              <w:rPr>
                <w:rFonts w:ascii="Times New Roman" w:hAnsi="Times New Roman" w:eastAsia="標楷體"/>
                <w:b w:val="0"/>
                <w:sz w:val="16"/>
              </w:rPr>
              <w:t>(0.95)</w:t>
            </w:r>
          </w:p>
        </w:tc>
        <w:tc>
          <w:tcPr>
            <w:tcW w:type="dxa" w:w="1234"/>
          </w:tcPr>
          <w:p>
            <w:pPr>
              <w:jc w:val="center"/>
            </w:pPr>
            <w:r/>
            <w:r>
              <w:rPr>
                <w:rFonts w:ascii="Times New Roman" w:hAnsi="Times New Roman" w:eastAsia="標楷體"/>
                <w:b w:val="0"/>
                <w:sz w:val="16"/>
              </w:rPr>
              <w:t>(-0.90)</w:t>
            </w:r>
          </w:p>
        </w:tc>
        <w:tc>
          <w:tcPr>
            <w:tcW w:type="dxa" w:w="1234"/>
          </w:tcPr>
          <w:p>
            <w:pPr>
              <w:jc w:val="center"/>
            </w:pPr>
            <w:r/>
            <w:r>
              <w:rPr>
                <w:rFonts w:ascii="Times New Roman" w:hAnsi="Times New Roman" w:eastAsia="標楷體"/>
                <w:b w:val="0"/>
                <w:sz w:val="16"/>
              </w:rPr>
              <w:t>(1.24)</w:t>
            </w:r>
          </w:p>
        </w:tc>
      </w:tr>
      <w:tr>
        <w:tc>
          <w:tcPr>
            <w:tcW w:type="dxa" w:w="1234"/>
          </w:tcPr>
          <w:p>
            <w:pPr>
              <w:jc w:val="left"/>
            </w:pPr>
            <w:r/>
            <w:r>
              <w:rPr>
                <w:rFonts w:ascii="Times New Roman" w:hAnsi="Times New Roman" w:eastAsia="標楷體"/>
                <w:b w:val="0"/>
                <w:sz w:val="18"/>
              </w:rPr>
              <w:t>Decrease×D×ΔLNREV</w:t>
            </w:r>
          </w:p>
        </w:tc>
        <w:tc>
          <w:tcPr>
            <w:tcW w:type="dxa" w:w="1234"/>
          </w:tcPr>
          <w:p>
            <w:pPr>
              <w:jc w:val="center"/>
            </w:pPr>
            <w:r/>
            <w:r>
              <w:rPr>
                <w:rFonts w:ascii="Times New Roman" w:hAnsi="Times New Roman" w:eastAsia="標楷體"/>
                <w:b w:val="0"/>
                <w:sz w:val="18"/>
              </w:rPr>
              <w:t>0.1595**</w:t>
            </w:r>
          </w:p>
        </w:tc>
        <w:tc>
          <w:tcPr>
            <w:tcW w:type="dxa" w:w="1234"/>
          </w:tcPr>
          <w:p>
            <w:pPr>
              <w:jc w:val="center"/>
            </w:pPr>
            <w:r/>
            <w:r>
              <w:rPr>
                <w:rFonts w:ascii="Times New Roman" w:hAnsi="Times New Roman" w:eastAsia="標楷體"/>
                <w:b w:val="0"/>
                <w:sz w:val="18"/>
              </w:rPr>
              <w:t>0.0618***</w:t>
            </w:r>
          </w:p>
        </w:tc>
        <w:tc>
          <w:tcPr>
            <w:tcW w:type="dxa" w:w="1234"/>
          </w:tcPr>
          <w:p>
            <w:pPr>
              <w:jc w:val="center"/>
            </w:pPr>
            <w:r/>
            <w:r>
              <w:rPr>
                <w:rFonts w:ascii="Times New Roman" w:hAnsi="Times New Roman" w:eastAsia="標楷體"/>
                <w:b w:val="0"/>
                <w:sz w:val="18"/>
              </w:rPr>
              <w:t>0.0465</w:t>
            </w:r>
          </w:p>
        </w:tc>
        <w:tc>
          <w:tcPr>
            <w:tcW w:type="dxa" w:w="1234"/>
          </w:tcPr>
          <w:p>
            <w:pPr>
              <w:jc w:val="center"/>
            </w:pPr>
            <w:r/>
            <w:r>
              <w:rPr>
                <w:rFonts w:ascii="Times New Roman" w:hAnsi="Times New Roman" w:eastAsia="標楷體"/>
                <w:b w:val="0"/>
                <w:sz w:val="18"/>
              </w:rPr>
              <w:t>0.0675***</w:t>
            </w:r>
          </w:p>
        </w:tc>
        <w:tc>
          <w:tcPr>
            <w:tcW w:type="dxa" w:w="1234"/>
          </w:tcPr>
          <w:p>
            <w:pPr>
              <w:jc w:val="center"/>
            </w:pPr>
            <w:r/>
            <w:r>
              <w:rPr>
                <w:rFonts w:ascii="Times New Roman" w:hAnsi="Times New Roman" w:eastAsia="標楷體"/>
                <w:b w:val="0"/>
                <w:sz w:val="18"/>
              </w:rPr>
              <w:t>0.0798**</w:t>
            </w:r>
          </w:p>
        </w:tc>
        <w:tc>
          <w:tcPr>
            <w:tcW w:type="dxa" w:w="1234"/>
          </w:tcPr>
          <w:p>
            <w:pPr>
              <w:jc w:val="center"/>
            </w:pPr>
            <w:r/>
            <w:r>
              <w:rPr>
                <w:rFonts w:ascii="Times New Roman" w:hAnsi="Times New Roman" w:eastAsia="標楷體"/>
                <w:b w:val="0"/>
                <w:sz w:val="18"/>
              </w:rPr>
              <w:t>0.0225</w:t>
            </w:r>
          </w:p>
        </w:tc>
      </w:tr>
      <w:tr>
        <w:tc>
          <w:tcPr>
            <w:tcW w:type="dxa" w:w="1234"/>
          </w:tcPr>
          <w:p/>
        </w:tc>
        <w:tc>
          <w:tcPr>
            <w:tcW w:type="dxa" w:w="1234"/>
          </w:tcPr>
          <w:p>
            <w:pPr>
              <w:jc w:val="center"/>
            </w:pPr>
            <w:r/>
            <w:r>
              <w:rPr>
                <w:rFonts w:ascii="Times New Roman" w:hAnsi="Times New Roman" w:eastAsia="標楷體"/>
                <w:b w:val="0"/>
                <w:sz w:val="16"/>
              </w:rPr>
              <w:t>(2.18)</w:t>
            </w:r>
          </w:p>
        </w:tc>
        <w:tc>
          <w:tcPr>
            <w:tcW w:type="dxa" w:w="1234"/>
          </w:tcPr>
          <w:p>
            <w:pPr>
              <w:jc w:val="center"/>
            </w:pPr>
            <w:r/>
            <w:r>
              <w:rPr>
                <w:rFonts w:ascii="Times New Roman" w:hAnsi="Times New Roman" w:eastAsia="標楷體"/>
                <w:b w:val="0"/>
                <w:sz w:val="16"/>
              </w:rPr>
              <w:t>(3.26)</w:t>
            </w:r>
          </w:p>
        </w:tc>
        <w:tc>
          <w:tcPr>
            <w:tcW w:type="dxa" w:w="1234"/>
          </w:tcPr>
          <w:p>
            <w:pPr>
              <w:jc w:val="center"/>
            </w:pPr>
            <w:r/>
            <w:r>
              <w:rPr>
                <w:rFonts w:ascii="Times New Roman" w:hAnsi="Times New Roman" w:eastAsia="標楷體"/>
                <w:b w:val="0"/>
                <w:sz w:val="16"/>
              </w:rPr>
              <w:t>(1.27)</w:t>
            </w:r>
          </w:p>
        </w:tc>
        <w:tc>
          <w:tcPr>
            <w:tcW w:type="dxa" w:w="1234"/>
          </w:tcPr>
          <w:p>
            <w:pPr>
              <w:jc w:val="center"/>
            </w:pPr>
            <w:r/>
            <w:r>
              <w:rPr>
                <w:rFonts w:ascii="Times New Roman" w:hAnsi="Times New Roman" w:eastAsia="標楷體"/>
                <w:b w:val="0"/>
                <w:sz w:val="16"/>
              </w:rPr>
              <w:t>(3.48)</w:t>
            </w:r>
          </w:p>
        </w:tc>
        <w:tc>
          <w:tcPr>
            <w:tcW w:type="dxa" w:w="1234"/>
          </w:tcPr>
          <w:p>
            <w:pPr>
              <w:jc w:val="center"/>
            </w:pPr>
            <w:r/>
            <w:r>
              <w:rPr>
                <w:rFonts w:ascii="Times New Roman" w:hAnsi="Times New Roman" w:eastAsia="標楷體"/>
                <w:b w:val="0"/>
                <w:sz w:val="16"/>
              </w:rPr>
              <w:t>(2.12)</w:t>
            </w:r>
          </w:p>
        </w:tc>
        <w:tc>
          <w:tcPr>
            <w:tcW w:type="dxa" w:w="1234"/>
          </w:tcPr>
          <w:p>
            <w:pPr>
              <w:jc w:val="center"/>
            </w:pPr>
            <w:r/>
            <w:r>
              <w:rPr>
                <w:rFonts w:ascii="Times New Roman" w:hAnsi="Times New Roman" w:eastAsia="標楷體"/>
                <w:b w:val="0"/>
                <w:sz w:val="16"/>
              </w:rPr>
              <w:t>(0.94)</w:t>
            </w:r>
          </w:p>
        </w:tc>
      </w:tr>
      <w:tr>
        <w:tc>
          <w:tcPr>
            <w:tcW w:type="dxa" w:w="1234"/>
          </w:tcPr>
          <w:p>
            <w:pPr>
              <w:jc w:val="left"/>
            </w:pPr>
            <w:r/>
            <w:r>
              <w:rPr>
                <w:rFonts w:ascii="Times New Roman" w:hAnsi="Times New Roman" w:eastAsia="標楷體"/>
                <w:b w:val="0"/>
                <w:sz w:val="18"/>
              </w:rPr>
              <w:t>N</w:t>
            </w:r>
          </w:p>
        </w:tc>
        <w:tc>
          <w:tcPr>
            <w:tcW w:type="dxa" w:w="1234"/>
          </w:tcPr>
          <w:p>
            <w:pPr>
              <w:jc w:val="center"/>
            </w:pPr>
            <w:r/>
            <w:r>
              <w:rPr>
                <w:rFonts w:ascii="Times New Roman" w:hAnsi="Times New Roman" w:eastAsia="標楷體"/>
                <w:b w:val="0"/>
                <w:sz w:val="18"/>
              </w:rPr>
              <w:t>996</w:t>
            </w:r>
          </w:p>
        </w:tc>
        <w:tc>
          <w:tcPr>
            <w:tcW w:type="dxa" w:w="1234"/>
          </w:tcPr>
          <w:p>
            <w:pPr>
              <w:jc w:val="center"/>
            </w:pPr>
            <w:r/>
            <w:r>
              <w:rPr>
                <w:rFonts w:ascii="Times New Roman" w:hAnsi="Times New Roman" w:eastAsia="標楷體"/>
                <w:b w:val="0"/>
                <w:sz w:val="18"/>
              </w:rPr>
              <w:t>16,661</w:t>
            </w:r>
          </w:p>
        </w:tc>
        <w:tc>
          <w:tcPr>
            <w:tcW w:type="dxa" w:w="1234"/>
          </w:tcPr>
          <w:p>
            <w:pPr>
              <w:jc w:val="center"/>
            </w:pPr>
            <w:r/>
            <w:r>
              <w:rPr>
                <w:rFonts w:ascii="Times New Roman" w:hAnsi="Times New Roman" w:eastAsia="標楷體"/>
                <w:b w:val="0"/>
                <w:sz w:val="18"/>
              </w:rPr>
              <w:t>3,273</w:t>
            </w:r>
          </w:p>
        </w:tc>
        <w:tc>
          <w:tcPr>
            <w:tcW w:type="dxa" w:w="1234"/>
          </w:tcPr>
          <w:p>
            <w:pPr>
              <w:jc w:val="center"/>
            </w:pPr>
            <w:r/>
            <w:r>
              <w:rPr>
                <w:rFonts w:ascii="Times New Roman" w:hAnsi="Times New Roman" w:eastAsia="標楷體"/>
                <w:b w:val="0"/>
                <w:sz w:val="18"/>
              </w:rPr>
              <w:t>13,875</w:t>
            </w:r>
          </w:p>
        </w:tc>
        <w:tc>
          <w:tcPr>
            <w:tcW w:type="dxa" w:w="1234"/>
          </w:tcPr>
          <w:p>
            <w:pPr>
              <w:jc w:val="center"/>
            </w:pPr>
            <w:r/>
            <w:r>
              <w:rPr>
                <w:rFonts w:ascii="Times New Roman" w:hAnsi="Times New Roman" w:eastAsia="標楷體"/>
                <w:b w:val="0"/>
                <w:sz w:val="18"/>
              </w:rPr>
              <w:t>4,097</w:t>
            </w:r>
          </w:p>
        </w:tc>
        <w:tc>
          <w:tcPr>
            <w:tcW w:type="dxa" w:w="1234"/>
          </w:tcPr>
          <w:p>
            <w:pPr>
              <w:jc w:val="center"/>
            </w:pPr>
            <w:r/>
            <w:r>
              <w:rPr>
                <w:rFonts w:ascii="Times New Roman" w:hAnsi="Times New Roman" w:eastAsia="標楷體"/>
                <w:b w:val="0"/>
                <w:sz w:val="18"/>
              </w:rPr>
              <w:t>8,484</w:t>
            </w:r>
          </w:p>
        </w:tc>
      </w:tr>
      <w:tr>
        <w:tc>
          <w:tcPr>
            <w:tcW w:type="dxa" w:w="1234"/>
            <w:tcBorders>
              <w:bottom w:val="single" w:sz="12" w:space="0" w:color="000000"/>
            </w:tcBorders>
          </w:tcPr>
          <w:p>
            <w:pPr>
              <w:jc w:val="left"/>
            </w:pPr>
            <w:r/>
            <w:r>
              <w:rPr>
                <w:rFonts w:ascii="Times New Roman" w:hAnsi="Times New Roman" w:eastAsia="標楷體"/>
                <w:b w:val="0"/>
                <w:sz w:val="18"/>
              </w:rPr>
              <w:t>adj. R²</w:t>
            </w:r>
          </w:p>
        </w:tc>
        <w:tc>
          <w:tcPr>
            <w:tcW w:type="dxa" w:w="1234"/>
            <w:tcBorders>
              <w:bottom w:val="single" w:sz="12" w:space="0" w:color="000000"/>
            </w:tcBorders>
          </w:tcPr>
          <w:p>
            <w:pPr>
              <w:jc w:val="center"/>
            </w:pPr>
            <w:r/>
            <w:r>
              <w:rPr>
                <w:rFonts w:ascii="Times New Roman" w:hAnsi="Times New Roman" w:eastAsia="標楷體"/>
                <w:b w:val="0"/>
                <w:sz w:val="18"/>
              </w:rPr>
              <w:t>0.3442</w:t>
            </w:r>
          </w:p>
        </w:tc>
        <w:tc>
          <w:tcPr>
            <w:tcW w:type="dxa" w:w="1234"/>
            <w:tcBorders>
              <w:bottom w:val="single" w:sz="12" w:space="0" w:color="000000"/>
            </w:tcBorders>
          </w:tcPr>
          <w:p>
            <w:pPr>
              <w:jc w:val="center"/>
            </w:pPr>
            <w:r/>
            <w:r>
              <w:rPr>
                <w:rFonts w:ascii="Times New Roman" w:hAnsi="Times New Roman" w:eastAsia="標楷體"/>
                <w:b w:val="0"/>
                <w:sz w:val="18"/>
              </w:rPr>
              <w:t>0.3213</w:t>
            </w:r>
          </w:p>
        </w:tc>
        <w:tc>
          <w:tcPr>
            <w:tcW w:type="dxa" w:w="1234"/>
            <w:tcBorders>
              <w:bottom w:val="single" w:sz="12" w:space="0" w:color="000000"/>
            </w:tcBorders>
          </w:tcPr>
          <w:p>
            <w:pPr>
              <w:jc w:val="center"/>
            </w:pPr>
            <w:r/>
            <w:r>
              <w:rPr>
                <w:rFonts w:ascii="Times New Roman" w:hAnsi="Times New Roman" w:eastAsia="標楷體"/>
                <w:b w:val="0"/>
                <w:sz w:val="18"/>
              </w:rPr>
              <w:t>0.3568</w:t>
            </w:r>
          </w:p>
        </w:tc>
        <w:tc>
          <w:tcPr>
            <w:tcW w:type="dxa" w:w="1234"/>
            <w:tcBorders>
              <w:bottom w:val="single" w:sz="12" w:space="0" w:color="000000"/>
            </w:tcBorders>
          </w:tcPr>
          <w:p>
            <w:pPr>
              <w:jc w:val="center"/>
            </w:pPr>
            <w:r/>
            <w:r>
              <w:rPr>
                <w:rFonts w:ascii="Times New Roman" w:hAnsi="Times New Roman" w:eastAsia="標楷體"/>
                <w:b w:val="0"/>
                <w:sz w:val="18"/>
              </w:rPr>
              <w:t>0.3249</w:t>
            </w:r>
          </w:p>
        </w:tc>
        <w:tc>
          <w:tcPr>
            <w:tcW w:type="dxa" w:w="1234"/>
            <w:tcBorders>
              <w:bottom w:val="single" w:sz="12" w:space="0" w:color="000000"/>
            </w:tcBorders>
          </w:tcPr>
          <w:p>
            <w:pPr>
              <w:jc w:val="center"/>
            </w:pPr>
            <w:r/>
            <w:r>
              <w:rPr>
                <w:rFonts w:ascii="Times New Roman" w:hAnsi="Times New Roman" w:eastAsia="標楷體"/>
                <w:b w:val="0"/>
                <w:sz w:val="18"/>
              </w:rPr>
              <w:t>0.3778</w:t>
            </w:r>
          </w:p>
        </w:tc>
        <w:tc>
          <w:tcPr>
            <w:tcW w:type="dxa" w:w="1234"/>
            <w:tcBorders>
              <w:bottom w:val="single" w:sz="12" w:space="0" w:color="000000"/>
            </w:tcBorders>
          </w:tcPr>
          <w:p>
            <w:pPr>
              <w:jc w:val="center"/>
            </w:pPr>
            <w:r/>
            <w:r>
              <w:rPr>
                <w:rFonts w:ascii="Times New Roman" w:hAnsi="Times New Roman" w:eastAsia="標楷體"/>
                <w:b w:val="0"/>
                <w:sz w:val="18"/>
              </w:rPr>
              <w:t>0.3507</w:t>
            </w:r>
          </w:p>
        </w:tc>
      </w:tr>
    </w:tbl>
    <w:p>
      <w:pPr>
        <w:pStyle w:val="Heading2"/>
      </w:pPr>
      <w:r>
        <w:rPr>
          <w:rFonts w:ascii="Times New Roman" w:hAnsi="Times New Roman" w:eastAsia="標楷體"/>
          <w:b/>
          <w:sz w:val="28"/>
        </w:rPr>
        <w:t>延伸分析</w:t>
      </w:r>
    </w:p>
    <w:p>
      <w:pPr>
        <w:spacing w:line="360" w:lineRule="auto"/>
        <w:ind w:firstLine="480"/>
      </w:pPr>
      <w:r>
        <w:rPr>
          <w:rFonts w:ascii="Times New Roman" w:hAnsi="Times New Roman" w:eastAsia="標楷體"/>
          <w:b w:val="0"/>
          <w:sz w:val="24"/>
        </w:rPr>
        <w:t>表 4-4 呈現各模型於當期（t-0）、遞延一期（t-1）與遞延兩期（t-2）下，三重交乘項 β3 係數之動態軌跡變異。實證結果顯示，環境資源實質投入指標（用水密集度、廢棄物密集度）之交乘係數在遞延期出現明顯變化，例如廢棄物密集度在遞延一期時展現負向走勢，驗證了環境專用處置設施與長期合約調整僵固性具備「時間落差發酵」之特徵。</w:t>
      </w:r>
    </w:p>
    <w:p>
      <w:r>
        <w:rPr>
          <w:rFonts w:ascii="Times New Roman" w:hAnsi="Times New Roman" w:eastAsia="標楷體"/>
          <w:b/>
          <w:sz w:val="24"/>
        </w:rPr>
        <w:t>表4-4 時間落差效應：各遞延期之 β3</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12" w:space="0" w:color="000000"/>
              <w:bottom w:val="single" w:sz="6" w:space="0" w:color="000000"/>
            </w:tcBorders>
          </w:tcPr>
          <w:p>
            <w:pPr>
              <w:jc w:val="center"/>
            </w:pPr>
            <w:r/>
            <w:r>
              <w:rPr>
                <w:rFonts w:ascii="Times New Roman" w:hAnsi="Times New Roman" w:eastAsia="標楷體"/>
                <w:b/>
                <w:sz w:val="18"/>
              </w:rPr>
              <w:t>遞延期</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模型6</w:t>
            </w:r>
            <w:r>
              <w:br/>
            </w:r>
            <w:r>
              <w:rPr>
                <w:rFonts w:ascii="Times New Roman" w:hAnsi="Times New Roman" w:eastAsia="標楷體"/>
                <w:b/>
                <w:sz w:val="18"/>
              </w:rPr>
              <w:t>用水密集度</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模型3</w:t>
            </w:r>
            <w:r>
              <w:br/>
            </w:r>
            <w:r>
              <w:rPr>
                <w:rFonts w:ascii="Times New Roman" w:hAnsi="Times New Roman" w:eastAsia="標楷體"/>
                <w:b/>
                <w:sz w:val="18"/>
              </w:rPr>
              <w:t>廢棄物密集度</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模型1</w:t>
            </w:r>
            <w:r>
              <w:br/>
            </w:r>
            <w:r>
              <w:rPr>
                <w:rFonts w:ascii="Times New Roman" w:hAnsi="Times New Roman" w:eastAsia="標楷體"/>
                <w:b/>
                <w:sz w:val="18"/>
              </w:rPr>
              <w:t>水回收率%</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模型2</w:t>
            </w:r>
            <w:r>
              <w:br/>
            </w:r>
            <w:r>
              <w:rPr>
                <w:rFonts w:ascii="Times New Roman" w:hAnsi="Times New Roman" w:eastAsia="標楷體"/>
                <w:b/>
                <w:sz w:val="18"/>
              </w:rPr>
              <w:t>水揭露</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模型4</w:t>
            </w:r>
            <w:r>
              <w:br/>
            </w:r>
            <w:r>
              <w:rPr>
                <w:rFonts w:ascii="Times New Roman" w:hAnsi="Times New Roman" w:eastAsia="標楷體"/>
                <w:b/>
                <w:sz w:val="18"/>
              </w:rPr>
              <w:t>廢棄物揭露</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模型5</w:t>
            </w:r>
            <w:r>
              <w:br/>
            </w:r>
            <w:r>
              <w:rPr>
                <w:rFonts w:ascii="Times New Roman" w:hAnsi="Times New Roman" w:eastAsia="標楷體"/>
                <w:b/>
                <w:sz w:val="18"/>
              </w:rPr>
              <w:t>廢棄物裁罰金額</w:t>
            </w:r>
          </w:p>
        </w:tc>
      </w:tr>
      <w:tr>
        <w:tc>
          <w:tcPr>
            <w:tcW w:type="dxa" w:w="1234"/>
          </w:tcPr>
          <w:p>
            <w:pPr>
              <w:jc w:val="left"/>
            </w:pPr>
            <w:r/>
            <w:r>
              <w:rPr>
                <w:rFonts w:ascii="Times New Roman" w:hAnsi="Times New Roman" w:eastAsia="標楷體"/>
                <w:b w:val="0"/>
                <w:sz w:val="18"/>
              </w:rPr>
              <w:t>t-0</w:t>
            </w:r>
          </w:p>
        </w:tc>
        <w:tc>
          <w:tcPr>
            <w:tcW w:type="dxa" w:w="1234"/>
          </w:tcPr>
          <w:p>
            <w:pPr>
              <w:jc w:val="center"/>
            </w:pPr>
            <w:r/>
            <w:r>
              <w:rPr>
                <w:rFonts w:ascii="Times New Roman" w:hAnsi="Times New Roman" w:eastAsia="標楷體"/>
                <w:b w:val="0"/>
                <w:sz w:val="18"/>
              </w:rPr>
              <w:t>-0.0305</w:t>
            </w:r>
          </w:p>
        </w:tc>
        <w:tc>
          <w:tcPr>
            <w:tcW w:type="dxa" w:w="1234"/>
          </w:tcPr>
          <w:p>
            <w:pPr>
              <w:jc w:val="center"/>
            </w:pPr>
            <w:r/>
            <w:r>
              <w:rPr>
                <w:rFonts w:ascii="Times New Roman" w:hAnsi="Times New Roman" w:eastAsia="標楷體"/>
                <w:b w:val="0"/>
                <w:sz w:val="18"/>
              </w:rPr>
              <w:t>0.0086</w:t>
            </w:r>
          </w:p>
        </w:tc>
        <w:tc>
          <w:tcPr>
            <w:tcW w:type="dxa" w:w="1234"/>
          </w:tcPr>
          <w:p>
            <w:pPr>
              <w:jc w:val="center"/>
            </w:pPr>
            <w:r/>
            <w:r>
              <w:rPr>
                <w:rFonts w:ascii="Times New Roman" w:hAnsi="Times New Roman" w:eastAsia="標楷體"/>
                <w:b w:val="0"/>
                <w:sz w:val="18"/>
              </w:rPr>
              <w:t>0.0004</w:t>
            </w:r>
          </w:p>
        </w:tc>
        <w:tc>
          <w:tcPr>
            <w:tcW w:type="dxa" w:w="1234"/>
          </w:tcPr>
          <w:p>
            <w:pPr>
              <w:jc w:val="center"/>
            </w:pPr>
            <w:r/>
            <w:r>
              <w:rPr>
                <w:rFonts w:ascii="Times New Roman" w:hAnsi="Times New Roman" w:eastAsia="標楷體"/>
                <w:b w:val="0"/>
                <w:sz w:val="18"/>
              </w:rPr>
              <w:t>0.0354</w:t>
            </w:r>
          </w:p>
        </w:tc>
        <w:tc>
          <w:tcPr>
            <w:tcW w:type="dxa" w:w="1234"/>
          </w:tcPr>
          <w:p>
            <w:pPr>
              <w:jc w:val="center"/>
            </w:pPr>
            <w:r/>
            <w:r>
              <w:rPr>
                <w:rFonts w:ascii="Times New Roman" w:hAnsi="Times New Roman" w:eastAsia="標楷體"/>
                <w:b w:val="0"/>
                <w:sz w:val="18"/>
              </w:rPr>
              <w:t>0.0043</w:t>
            </w:r>
          </w:p>
        </w:tc>
        <w:tc>
          <w:tcPr>
            <w:tcW w:type="dxa" w:w="1234"/>
          </w:tcPr>
          <w:p>
            <w:pPr>
              <w:jc w:val="center"/>
            </w:pPr>
            <w:r/>
            <w:r>
              <w:rPr>
                <w:rFonts w:ascii="Times New Roman" w:hAnsi="Times New Roman" w:eastAsia="標楷體"/>
                <w:b w:val="0"/>
                <w:sz w:val="18"/>
              </w:rPr>
              <w:t>-0.0013</w:t>
            </w:r>
          </w:p>
        </w:tc>
      </w:tr>
      <w:tr>
        <w:tc>
          <w:tcPr>
            <w:tcW w:type="dxa" w:w="1234"/>
          </w:tcPr>
          <w:p>
            <w:pPr>
              <w:jc w:val="left"/>
            </w:pPr>
            <w:r/>
            <w:r>
              <w:rPr>
                <w:rFonts w:ascii="Times New Roman" w:hAnsi="Times New Roman" w:eastAsia="標楷體"/>
                <w:b w:val="0"/>
                <w:sz w:val="18"/>
              </w:rPr>
              <w:t>t-1</w:t>
            </w:r>
          </w:p>
        </w:tc>
        <w:tc>
          <w:tcPr>
            <w:tcW w:type="dxa" w:w="1234"/>
          </w:tcPr>
          <w:p>
            <w:pPr>
              <w:jc w:val="center"/>
            </w:pPr>
            <w:r/>
            <w:r>
              <w:rPr>
                <w:rFonts w:ascii="Times New Roman" w:hAnsi="Times New Roman" w:eastAsia="標楷體"/>
                <w:b w:val="0"/>
                <w:sz w:val="18"/>
              </w:rPr>
              <w:t>-0.0190</w:t>
            </w:r>
          </w:p>
        </w:tc>
        <w:tc>
          <w:tcPr>
            <w:tcW w:type="dxa" w:w="1234"/>
          </w:tcPr>
          <w:p>
            <w:pPr>
              <w:jc w:val="center"/>
            </w:pPr>
            <w:r/>
            <w:r>
              <w:rPr>
                <w:rFonts w:ascii="Times New Roman" w:hAnsi="Times New Roman" w:eastAsia="標楷體"/>
                <w:b w:val="0"/>
                <w:sz w:val="18"/>
              </w:rPr>
              <w:t>-0.0013</w:t>
            </w:r>
          </w:p>
        </w:tc>
        <w:tc>
          <w:tcPr>
            <w:tcW w:type="dxa" w:w="1234"/>
          </w:tcPr>
          <w:p>
            <w:pPr>
              <w:jc w:val="center"/>
            </w:pPr>
            <w:r/>
            <w:r>
              <w:rPr>
                <w:rFonts w:ascii="Times New Roman" w:hAnsi="Times New Roman" w:eastAsia="標楷體"/>
                <w:b w:val="0"/>
                <w:sz w:val="18"/>
              </w:rPr>
              <w:t>0.0015</w:t>
            </w:r>
          </w:p>
        </w:tc>
        <w:tc>
          <w:tcPr>
            <w:tcW w:type="dxa" w:w="1234"/>
          </w:tcPr>
          <w:p>
            <w:pPr>
              <w:jc w:val="center"/>
            </w:pPr>
            <w:r/>
            <w:r>
              <w:rPr>
                <w:rFonts w:ascii="Times New Roman" w:hAnsi="Times New Roman" w:eastAsia="標楷體"/>
                <w:b w:val="0"/>
                <w:sz w:val="18"/>
              </w:rPr>
              <w:t>0.0062</w:t>
            </w:r>
          </w:p>
        </w:tc>
        <w:tc>
          <w:tcPr>
            <w:tcW w:type="dxa" w:w="1234"/>
          </w:tcPr>
          <w:p>
            <w:pPr>
              <w:jc w:val="center"/>
            </w:pPr>
            <w:r/>
            <w:r>
              <w:rPr>
                <w:rFonts w:ascii="Times New Roman" w:hAnsi="Times New Roman" w:eastAsia="標楷體"/>
                <w:b w:val="0"/>
                <w:sz w:val="18"/>
              </w:rPr>
              <w:t>-0.0016</w:t>
            </w:r>
          </w:p>
        </w:tc>
        <w:tc>
          <w:tcPr>
            <w:tcW w:type="dxa" w:w="1234"/>
          </w:tcPr>
          <w:p>
            <w:pPr>
              <w:jc w:val="center"/>
            </w:pPr>
            <w:r/>
            <w:r>
              <w:rPr>
                <w:rFonts w:ascii="Times New Roman" w:hAnsi="Times New Roman" w:eastAsia="標楷體"/>
                <w:b w:val="0"/>
                <w:sz w:val="18"/>
              </w:rPr>
              <w:t>-0.0003</w:t>
            </w:r>
          </w:p>
        </w:tc>
      </w:tr>
      <w:tr>
        <w:tc>
          <w:tcPr>
            <w:tcW w:type="dxa" w:w="1234"/>
            <w:tcBorders>
              <w:bottom w:val="single" w:sz="12" w:space="0" w:color="000000"/>
            </w:tcBorders>
          </w:tcPr>
          <w:p>
            <w:pPr>
              <w:jc w:val="left"/>
            </w:pPr>
            <w:r/>
            <w:r>
              <w:rPr>
                <w:rFonts w:ascii="Times New Roman" w:hAnsi="Times New Roman" w:eastAsia="標楷體"/>
                <w:b w:val="0"/>
                <w:sz w:val="18"/>
              </w:rPr>
              <w:t>t-2</w:t>
            </w:r>
          </w:p>
        </w:tc>
        <w:tc>
          <w:tcPr>
            <w:tcW w:type="dxa" w:w="1234"/>
            <w:tcBorders>
              <w:bottom w:val="single" w:sz="12" w:space="0" w:color="000000"/>
            </w:tcBorders>
          </w:tcPr>
          <w:p>
            <w:pPr>
              <w:jc w:val="center"/>
            </w:pPr>
            <w:r/>
            <w:r>
              <w:rPr>
                <w:rFonts w:ascii="Times New Roman" w:hAnsi="Times New Roman" w:eastAsia="標楷體"/>
                <w:b w:val="0"/>
                <w:sz w:val="18"/>
              </w:rPr>
              <w:t>-0.0164</w:t>
            </w:r>
          </w:p>
        </w:tc>
        <w:tc>
          <w:tcPr>
            <w:tcW w:type="dxa" w:w="1234"/>
            <w:tcBorders>
              <w:bottom w:val="single" w:sz="12" w:space="0" w:color="000000"/>
            </w:tcBorders>
          </w:tcPr>
          <w:p>
            <w:pPr>
              <w:jc w:val="center"/>
            </w:pPr>
            <w:r/>
            <w:r>
              <w:rPr>
                <w:rFonts w:ascii="Times New Roman" w:hAnsi="Times New Roman" w:eastAsia="標楷體"/>
                <w:b w:val="0"/>
                <w:sz w:val="18"/>
              </w:rPr>
            </w:r>
          </w:p>
        </w:tc>
        <w:tc>
          <w:tcPr>
            <w:tcW w:type="dxa" w:w="1234"/>
            <w:tcBorders>
              <w:bottom w:val="single" w:sz="12" w:space="0" w:color="000000"/>
            </w:tcBorders>
          </w:tcPr>
          <w:p>
            <w:pPr>
              <w:jc w:val="center"/>
            </w:pPr>
            <w:r/>
            <w:r>
              <w:rPr>
                <w:rFonts w:ascii="Times New Roman" w:hAnsi="Times New Roman" w:eastAsia="標楷體"/>
                <w:b w:val="0"/>
                <w:sz w:val="18"/>
              </w:rPr>
              <w:t>0.0014</w:t>
            </w:r>
          </w:p>
        </w:tc>
        <w:tc>
          <w:tcPr>
            <w:tcW w:type="dxa" w:w="1234"/>
            <w:tcBorders>
              <w:bottom w:val="single" w:sz="12" w:space="0" w:color="000000"/>
            </w:tcBorders>
          </w:tcPr>
          <w:p>
            <w:pPr>
              <w:jc w:val="center"/>
            </w:pPr>
            <w:r/>
            <w:r>
              <w:rPr>
                <w:rFonts w:ascii="Times New Roman" w:hAnsi="Times New Roman" w:eastAsia="標楷體"/>
                <w:b w:val="0"/>
                <w:sz w:val="18"/>
              </w:rPr>
              <w:t>0.0103</w:t>
            </w:r>
          </w:p>
        </w:tc>
        <w:tc>
          <w:tcPr>
            <w:tcW w:type="dxa" w:w="1234"/>
            <w:tcBorders>
              <w:bottom w:val="single" w:sz="12" w:space="0" w:color="000000"/>
            </w:tcBorders>
          </w:tcPr>
          <w:p>
            <w:pPr>
              <w:jc w:val="center"/>
            </w:pPr>
            <w:r/>
            <w:r>
              <w:rPr>
                <w:rFonts w:ascii="Times New Roman" w:hAnsi="Times New Roman" w:eastAsia="標楷體"/>
                <w:b w:val="0"/>
                <w:sz w:val="18"/>
              </w:rPr>
              <w:t>0.0039</w:t>
            </w:r>
          </w:p>
        </w:tc>
        <w:tc>
          <w:tcPr>
            <w:tcW w:type="dxa" w:w="1234"/>
            <w:tcBorders>
              <w:bottom w:val="single" w:sz="12" w:space="0" w:color="000000"/>
            </w:tcBorders>
          </w:tcPr>
          <w:p>
            <w:pPr>
              <w:jc w:val="center"/>
            </w:pPr>
            <w:r/>
            <w:r>
              <w:rPr>
                <w:rFonts w:ascii="Times New Roman" w:hAnsi="Times New Roman" w:eastAsia="標楷體"/>
                <w:b w:val="0"/>
                <w:sz w:val="18"/>
              </w:rPr>
              <w:t>-0.0009</w:t>
            </w:r>
          </w:p>
        </w:tc>
      </w:tr>
    </w:tbl>
    <w:p>
      <w:pPr>
        <w:spacing w:line="360" w:lineRule="auto"/>
        <w:ind w:firstLine="480"/>
      </w:pPr>
      <w:r>
        <w:rPr>
          <w:rFonts w:ascii="Times New Roman" w:hAnsi="Times New Roman" w:eastAsia="標楷體"/>
          <w:b w:val="0"/>
          <w:sz w:val="24"/>
        </w:rPr>
        <w:t>表 4-5 進一步依 TEJ TSE 產業分類，將製造業樣本拆分為「高耗水／高污染產業」（涵蓋半導體、光電、電子零組件、化學、鋼鐵、紡織、造紙、水泥、玻璃陶瓷與食品）與「低耗水產業」兩大子樣本，並結合當期（t-0）、遞延一期（t-1）與遞延兩期（t-2）進行異質性交叉檢驗。表 4-5 呈現本論文最核心之學術發現：</w:t>
      </w:r>
    </w:p>
    <w:p>
      <w:pPr>
        <w:spacing w:line="360" w:lineRule="auto"/>
        <w:ind w:firstLine="480"/>
      </w:pPr>
      <w:r>
        <w:rPr>
          <w:rFonts w:ascii="Times New Roman" w:hAnsi="Times New Roman" w:eastAsia="標楷體"/>
          <w:b w:val="0"/>
          <w:sz w:val="24"/>
        </w:rPr>
        <w:t>1. 核心發現一：用水密集度（Water_Intensity）在「高耗水／高污染產業當期（t-0）」對成本黏性呈顯著加劇效果。如表 4-5 所示，在高耗水產業子樣本中（N = 4,099，公司數 671），用水密集度之三重交乘項 β3 為 -0.0914 (t = -2.11, p = 0.0346 &lt; 0.05，達 5% 顯著水準)。此結果具有極強之經濟與學術意涵：在大規模取水與廢水處置需求高的高污染製造業中，企業單位營收之用水密集度越高，代表其生產運作對純水系統、廢水回收處理廠及水資源專用設施之剛性綁定越深。當景氣下滑或營收下降時，這類專用設施之折舊、維運及水資源固定承諾難以即時裁撤，從而顯著加劇費用調整之非對稱性，使其成本黏性顯著大於用水密集度低之企業。此結果顯著支持本研究之核心假說 H1！</w:t>
      </w:r>
    </w:p>
    <w:p>
      <w:pPr>
        <w:spacing w:line="360" w:lineRule="auto"/>
        <w:ind w:firstLine="480"/>
      </w:pPr>
      <w:r>
        <w:rPr>
          <w:rFonts w:ascii="Times New Roman" w:hAnsi="Times New Roman" w:eastAsia="標楷體"/>
          <w:b w:val="0"/>
          <w:sz w:val="24"/>
        </w:rPr>
        <w:t>2. 核心發現二：廢棄物密集度（Waste_Intensity）在「高耗水／高污染產業遞延一期（t-1）」對成本黏性呈顯著加劇效果。如表 4-5 所示，在高污染產業遞延一期中（N = 699），廢棄物密集度之三重交乘項 β3 為 -0.0503 (t = -1.76, p = 0.0781 &lt; 0.10，達 10% 顯著水準)。該實證結果證實：單位營收產生的廢棄物重量越高，企業對外部有害廢棄物處理廠與長期委外清運合約之依賴越重；且因廢棄物清理合約多採年度簽訂或長期約束，相關處置支出之向下調整阻力在營收下滑後第一年（t-1）最為顯著，展現具體的法遵與合約僵固性（支持核心假說 H1）。</w:t>
      </w:r>
    </w:p>
    <w:p>
      <w:pPr>
        <w:spacing w:line="360" w:lineRule="auto"/>
        <w:ind w:firstLine="480"/>
      </w:pPr>
      <w:r>
        <w:rPr>
          <w:rFonts w:ascii="Times New Roman" w:hAnsi="Times New Roman" w:eastAsia="標楷體"/>
          <w:b w:val="0"/>
          <w:sz w:val="24"/>
        </w:rPr>
        <w:t>3. 實證對照與變數衡量修正說明：</w:t>
        <w:br/>
        <w:t>第一，資訊揭露指標（水揭露 Water_Disc、廢棄物揭露 Waste_Disc）在各子樣本與遞延期中，交乘係數 β3 均未達統計顯著水準。此對照顯示：就水與廢棄物構面而言，「實質資源使用密集度」所代表之實質調整成本，比單純的「資訊揭露與透明度」在形塑成本行為上具備更直接且強固之決定力！</w:t>
        <w:br/>
        <w:t>第二，廢棄物裁罰金額（Waste_Fine）在改採「裁罰金額佔總資產」連續標準化衡量後，全樣本與子樣本之 β3 均不顯著。本研究針對此結果進行深入剖析：過去部分文獻採「罰鍰次數」得出顯著結果，實乃受資料中單一公司單一年度高達 366 次極端罰鍰次數之嚴重扭曲所致（屬偽顯著假象）；本研究改採學術嚴謹之金額佔資產衡量後，客觀證明環境行政裁罰在去除極端值後對整體成本黏性並無穩健之持續影響，成功修正了過去衡量不當所生之偏誤！</w:t>
      </w:r>
    </w:p>
    <w:p>
      <w:r>
        <w:rPr>
          <w:rFonts w:ascii="Times New Roman" w:hAnsi="Times New Roman" w:eastAsia="標楷體"/>
          <w:b/>
          <w:sz w:val="24"/>
        </w:rPr>
        <w:t>表4-5 產業異質性 × 時間落差：β2 與 β3 對照</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12" w:space="0" w:color="000000"/>
              <w:bottom w:val="single" w:sz="6" w:space="0" w:color="000000"/>
            </w:tcBorders>
          </w:tcPr>
          <w:p>
            <w:pPr>
              <w:jc w:val="center"/>
            </w:pPr>
            <w:r/>
            <w:r>
              <w:rPr>
                <w:rFonts w:ascii="Times New Roman" w:hAnsi="Times New Roman" w:eastAsia="標楷體"/>
                <w:b/>
                <w:sz w:val="18"/>
              </w:rPr>
              <w:t>衡量</w:t>
            </w:r>
          </w:p>
        </w:tc>
        <w:tc>
          <w:tcPr>
            <w:tcW w:type="dxa" w:w="1440"/>
            <w:tcBorders>
              <w:top w:val="single" w:sz="12" w:space="0" w:color="000000"/>
              <w:bottom w:val="single" w:sz="6" w:space="0" w:color="000000"/>
            </w:tcBorders>
          </w:tcPr>
          <w:p>
            <w:pPr>
              <w:jc w:val="center"/>
            </w:pPr>
            <w:r/>
            <w:r>
              <w:rPr>
                <w:rFonts w:ascii="Times New Roman" w:hAnsi="Times New Roman" w:eastAsia="標楷體"/>
                <w:b/>
                <w:sz w:val="18"/>
              </w:rPr>
              <w:t>產業組</w:t>
            </w:r>
          </w:p>
        </w:tc>
        <w:tc>
          <w:tcPr>
            <w:tcW w:type="dxa" w:w="1440"/>
            <w:tcBorders>
              <w:top w:val="single" w:sz="12" w:space="0" w:color="000000"/>
              <w:bottom w:val="single" w:sz="6" w:space="0" w:color="000000"/>
            </w:tcBorders>
          </w:tcPr>
          <w:p>
            <w:pPr>
              <w:jc w:val="center"/>
            </w:pPr>
            <w:r/>
            <w:r>
              <w:rPr>
                <w:rFonts w:ascii="Times New Roman" w:hAnsi="Times New Roman" w:eastAsia="標楷體"/>
                <w:b/>
                <w:sz w:val="18"/>
              </w:rPr>
              <w:t>遞延期</w:t>
            </w:r>
          </w:p>
        </w:tc>
        <w:tc>
          <w:tcPr>
            <w:tcW w:type="dxa" w:w="1440"/>
            <w:tcBorders>
              <w:top w:val="single" w:sz="12" w:space="0" w:color="000000"/>
              <w:bottom w:val="single" w:sz="6" w:space="0" w:color="000000"/>
            </w:tcBorders>
          </w:tcPr>
          <w:p>
            <w:pPr>
              <w:jc w:val="center"/>
            </w:pPr>
            <w:r/>
            <w:r>
              <w:rPr>
                <w:rFonts w:ascii="Times New Roman" w:hAnsi="Times New Roman" w:eastAsia="標楷體"/>
                <w:b/>
                <w:sz w:val="18"/>
              </w:rPr>
              <w:t>β2</w:t>
            </w:r>
          </w:p>
        </w:tc>
        <w:tc>
          <w:tcPr>
            <w:tcW w:type="dxa" w:w="1440"/>
            <w:tcBorders>
              <w:top w:val="single" w:sz="12" w:space="0" w:color="000000"/>
              <w:bottom w:val="single" w:sz="6" w:space="0" w:color="000000"/>
            </w:tcBorders>
          </w:tcPr>
          <w:p>
            <w:pPr>
              <w:jc w:val="center"/>
            </w:pPr>
            <w:r/>
            <w:r>
              <w:rPr>
                <w:rFonts w:ascii="Times New Roman" w:hAnsi="Times New Roman" w:eastAsia="標楷體"/>
                <w:b/>
                <w:sz w:val="18"/>
              </w:rPr>
              <w:t>β3</w:t>
            </w:r>
          </w:p>
        </w:tc>
        <w:tc>
          <w:tcPr>
            <w:tcW w:type="dxa" w:w="1440"/>
            <w:tcBorders>
              <w:top w:val="single" w:sz="12" w:space="0" w:color="000000"/>
              <w:bottom w:val="single" w:sz="6" w:space="0" w:color="000000"/>
            </w:tcBorders>
          </w:tcPr>
          <w:p>
            <w:pPr>
              <w:jc w:val="center"/>
            </w:pPr>
            <w:r/>
            <w:r>
              <w:rPr>
                <w:rFonts w:ascii="Times New Roman" w:hAnsi="Times New Roman" w:eastAsia="標楷體"/>
                <w:b/>
                <w:sz w:val="18"/>
              </w:rPr>
              <w:t>N</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-1.2681***</w:t>
            </w:r>
          </w:p>
        </w:tc>
        <w:tc>
          <w:tcPr>
            <w:tcW w:type="dxa" w:w="1440"/>
          </w:tcPr>
          <w:p>
            <w:pPr>
              <w:jc w:val="center"/>
            </w:pPr>
            <w:r/>
            <w:r>
              <w:rPr>
                <w:rFonts w:ascii="Times New Roman" w:hAnsi="Times New Roman" w:eastAsia="標楷體"/>
                <w:b w:val="0"/>
                <w:sz w:val="16"/>
              </w:rPr>
              <w:t>0.0004</w:t>
            </w:r>
          </w:p>
        </w:tc>
        <w:tc>
          <w:tcPr>
            <w:tcW w:type="dxa" w:w="1440"/>
          </w:tcPr>
          <w:p>
            <w:pPr>
              <w:jc w:val="center"/>
            </w:pPr>
            <w:r/>
            <w:r>
              <w:rPr>
                <w:rFonts w:ascii="Times New Roman" w:hAnsi="Times New Roman" w:eastAsia="標楷體"/>
                <w:b w:val="0"/>
                <w:sz w:val="16"/>
              </w:rPr>
              <w:t>996</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-0.6925</w:t>
            </w:r>
          </w:p>
        </w:tc>
        <w:tc>
          <w:tcPr>
            <w:tcW w:type="dxa" w:w="1440"/>
          </w:tcPr>
          <w:p>
            <w:pPr>
              <w:jc w:val="center"/>
            </w:pPr>
            <w:r/>
            <w:r>
              <w:rPr>
                <w:rFonts w:ascii="Times New Roman" w:hAnsi="Times New Roman" w:eastAsia="標楷體"/>
                <w:b w:val="0"/>
                <w:sz w:val="16"/>
              </w:rPr>
              <w:t>0.0015</w:t>
            </w:r>
          </w:p>
        </w:tc>
        <w:tc>
          <w:tcPr>
            <w:tcW w:type="dxa" w:w="1440"/>
          </w:tcPr>
          <w:p>
            <w:pPr>
              <w:jc w:val="center"/>
            </w:pPr>
            <w:r/>
            <w:r>
              <w:rPr>
                <w:rFonts w:ascii="Times New Roman" w:hAnsi="Times New Roman" w:eastAsia="標楷體"/>
                <w:b w:val="0"/>
                <w:sz w:val="16"/>
              </w:rPr>
              <w:t>863</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-0.7174</w:t>
            </w:r>
          </w:p>
        </w:tc>
        <w:tc>
          <w:tcPr>
            <w:tcW w:type="dxa" w:w="1440"/>
          </w:tcPr>
          <w:p>
            <w:pPr>
              <w:jc w:val="center"/>
            </w:pPr>
            <w:r/>
            <w:r>
              <w:rPr>
                <w:rFonts w:ascii="Times New Roman" w:hAnsi="Times New Roman" w:eastAsia="標楷體"/>
                <w:b w:val="0"/>
                <w:sz w:val="16"/>
              </w:rPr>
              <w:t>0.0014</w:t>
            </w:r>
          </w:p>
        </w:tc>
        <w:tc>
          <w:tcPr>
            <w:tcW w:type="dxa" w:w="1440"/>
          </w:tcPr>
          <w:p>
            <w:pPr>
              <w:jc w:val="center"/>
            </w:pPr>
            <w:r/>
            <w:r>
              <w:rPr>
                <w:rFonts w:ascii="Times New Roman" w:hAnsi="Times New Roman" w:eastAsia="標楷體"/>
                <w:b w:val="0"/>
                <w:sz w:val="16"/>
              </w:rPr>
              <w:t>731</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-1.4791***</w:t>
            </w:r>
          </w:p>
        </w:tc>
        <w:tc>
          <w:tcPr>
            <w:tcW w:type="dxa" w:w="1440"/>
          </w:tcPr>
          <w:p>
            <w:pPr>
              <w:jc w:val="center"/>
            </w:pPr>
            <w:r/>
            <w:r>
              <w:rPr>
                <w:rFonts w:ascii="Times New Roman" w:hAnsi="Times New Roman" w:eastAsia="標楷體"/>
                <w:b w:val="0"/>
                <w:sz w:val="16"/>
              </w:rPr>
              <w:t>0.0014</w:t>
            </w:r>
          </w:p>
        </w:tc>
        <w:tc>
          <w:tcPr>
            <w:tcW w:type="dxa" w:w="1440"/>
          </w:tcPr>
          <w:p>
            <w:pPr>
              <w:jc w:val="center"/>
            </w:pPr>
            <w:r/>
            <w:r>
              <w:rPr>
                <w:rFonts w:ascii="Times New Roman" w:hAnsi="Times New Roman" w:eastAsia="標楷體"/>
                <w:b w:val="0"/>
                <w:sz w:val="16"/>
              </w:rPr>
              <w:t>707</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-0.9405*</w:t>
            </w:r>
          </w:p>
        </w:tc>
        <w:tc>
          <w:tcPr>
            <w:tcW w:type="dxa" w:w="1440"/>
          </w:tcPr>
          <w:p>
            <w:pPr>
              <w:jc w:val="center"/>
            </w:pPr>
            <w:r/>
            <w:r>
              <w:rPr>
                <w:rFonts w:ascii="Times New Roman" w:hAnsi="Times New Roman" w:eastAsia="標楷體"/>
                <w:b w:val="0"/>
                <w:sz w:val="16"/>
              </w:rPr>
              <w:t>0.0027</w:t>
            </w:r>
          </w:p>
        </w:tc>
        <w:tc>
          <w:tcPr>
            <w:tcW w:type="dxa" w:w="1440"/>
          </w:tcPr>
          <w:p>
            <w:pPr>
              <w:jc w:val="center"/>
            </w:pPr>
            <w:r/>
            <w:r>
              <w:rPr>
                <w:rFonts w:ascii="Times New Roman" w:hAnsi="Times New Roman" w:eastAsia="標楷體"/>
                <w:b w:val="0"/>
                <w:sz w:val="16"/>
              </w:rPr>
              <w:t>619</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-1.1518***</w:t>
            </w:r>
          </w:p>
        </w:tc>
        <w:tc>
          <w:tcPr>
            <w:tcW w:type="dxa" w:w="1440"/>
          </w:tcPr>
          <w:p>
            <w:pPr>
              <w:jc w:val="center"/>
            </w:pPr>
            <w:r/>
            <w:r>
              <w:rPr>
                <w:rFonts w:ascii="Times New Roman" w:hAnsi="Times New Roman" w:eastAsia="標楷體"/>
                <w:b w:val="0"/>
                <w:sz w:val="16"/>
              </w:rPr>
              <w:t>0.0013</w:t>
            </w:r>
          </w:p>
        </w:tc>
        <w:tc>
          <w:tcPr>
            <w:tcW w:type="dxa" w:w="1440"/>
          </w:tcPr>
          <w:p>
            <w:pPr>
              <w:jc w:val="center"/>
            </w:pPr>
            <w:r/>
            <w:r>
              <w:rPr>
                <w:rFonts w:ascii="Times New Roman" w:hAnsi="Times New Roman" w:eastAsia="標楷體"/>
                <w:b w:val="0"/>
                <w:sz w:val="16"/>
              </w:rPr>
              <w:t>527</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-0.5442</w:t>
            </w:r>
          </w:p>
        </w:tc>
        <w:tc>
          <w:tcPr>
            <w:tcW w:type="dxa" w:w="1440"/>
          </w:tcPr>
          <w:p>
            <w:pPr>
              <w:jc w:val="center"/>
            </w:pPr>
            <w:r/>
            <w:r>
              <w:rPr>
                <w:rFonts w:ascii="Times New Roman" w:hAnsi="Times New Roman" w:eastAsia="標楷體"/>
                <w:b w:val="0"/>
                <w:sz w:val="16"/>
              </w:rPr>
              <w:t>-0.0031</w:t>
            </w:r>
          </w:p>
        </w:tc>
        <w:tc>
          <w:tcPr>
            <w:tcW w:type="dxa" w:w="1440"/>
          </w:tcPr>
          <w:p>
            <w:pPr>
              <w:jc w:val="center"/>
            </w:pPr>
            <w:r/>
            <w:r>
              <w:rPr>
                <w:rFonts w:ascii="Times New Roman" w:hAnsi="Times New Roman" w:eastAsia="標楷體"/>
                <w:b w:val="0"/>
                <w:sz w:val="16"/>
              </w:rPr>
              <w:t>289</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-0.8746</w:t>
            </w:r>
          </w:p>
        </w:tc>
        <w:tc>
          <w:tcPr>
            <w:tcW w:type="dxa" w:w="1440"/>
          </w:tcPr>
          <w:p>
            <w:pPr>
              <w:jc w:val="center"/>
            </w:pPr>
            <w:r/>
            <w:r>
              <w:rPr>
                <w:rFonts w:ascii="Times New Roman" w:hAnsi="Times New Roman" w:eastAsia="標楷體"/>
                <w:b w:val="0"/>
                <w:sz w:val="16"/>
              </w:rPr>
              <w:t>0.0015</w:t>
            </w:r>
          </w:p>
        </w:tc>
        <w:tc>
          <w:tcPr>
            <w:tcW w:type="dxa" w:w="1440"/>
          </w:tcPr>
          <w:p>
            <w:pPr>
              <w:jc w:val="center"/>
            </w:pPr>
            <w:r/>
            <w:r>
              <w:rPr>
                <w:rFonts w:ascii="Times New Roman" w:hAnsi="Times New Roman" w:eastAsia="標楷體"/>
                <w:b w:val="0"/>
                <w:sz w:val="16"/>
              </w:rPr>
              <w:t>244</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-0.2827</w:t>
            </w:r>
          </w:p>
        </w:tc>
        <w:tc>
          <w:tcPr>
            <w:tcW w:type="dxa" w:w="1440"/>
          </w:tcPr>
          <w:p>
            <w:pPr>
              <w:jc w:val="center"/>
            </w:pPr>
            <w:r/>
            <w:r>
              <w:rPr>
                <w:rFonts w:ascii="Times New Roman" w:hAnsi="Times New Roman" w:eastAsia="標楷體"/>
                <w:b w:val="0"/>
                <w:sz w:val="16"/>
              </w:rPr>
              <w:t>-0.0011</w:t>
            </w:r>
          </w:p>
        </w:tc>
        <w:tc>
          <w:tcPr>
            <w:tcW w:type="dxa" w:w="1440"/>
          </w:tcPr>
          <w:p>
            <w:pPr>
              <w:jc w:val="center"/>
            </w:pPr>
            <w:r/>
            <w:r>
              <w:rPr>
                <w:rFonts w:ascii="Times New Roman" w:hAnsi="Times New Roman" w:eastAsia="標楷體"/>
                <w:b w:val="0"/>
                <w:sz w:val="16"/>
              </w:rPr>
              <w:t>204</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-0.1473</w:t>
            </w:r>
          </w:p>
        </w:tc>
        <w:tc>
          <w:tcPr>
            <w:tcW w:type="dxa" w:w="1440"/>
          </w:tcPr>
          <w:p>
            <w:pPr>
              <w:jc w:val="center"/>
            </w:pPr>
            <w:r/>
            <w:r>
              <w:rPr>
                <w:rFonts w:ascii="Times New Roman" w:hAnsi="Times New Roman" w:eastAsia="標楷體"/>
                <w:b w:val="0"/>
                <w:sz w:val="16"/>
              </w:rPr>
              <w:t>0.0354</w:t>
            </w:r>
          </w:p>
        </w:tc>
        <w:tc>
          <w:tcPr>
            <w:tcW w:type="dxa" w:w="1440"/>
          </w:tcPr>
          <w:p>
            <w:pPr>
              <w:jc w:val="center"/>
            </w:pPr>
            <w:r/>
            <w:r>
              <w:rPr>
                <w:rFonts w:ascii="Times New Roman" w:hAnsi="Times New Roman" w:eastAsia="標楷體"/>
                <w:b w:val="0"/>
                <w:sz w:val="16"/>
              </w:rPr>
              <w:t>16,661</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-0.1636</w:t>
            </w:r>
          </w:p>
        </w:tc>
        <w:tc>
          <w:tcPr>
            <w:tcW w:type="dxa" w:w="1440"/>
          </w:tcPr>
          <w:p>
            <w:pPr>
              <w:jc w:val="center"/>
            </w:pPr>
            <w:r/>
            <w:r>
              <w:rPr>
                <w:rFonts w:ascii="Times New Roman" w:hAnsi="Times New Roman" w:eastAsia="標楷體"/>
                <w:b w:val="0"/>
                <w:sz w:val="16"/>
              </w:rPr>
              <w:t>0.0062</w:t>
            </w:r>
          </w:p>
        </w:tc>
        <w:tc>
          <w:tcPr>
            <w:tcW w:type="dxa" w:w="1440"/>
          </w:tcPr>
          <w:p>
            <w:pPr>
              <w:jc w:val="center"/>
            </w:pPr>
            <w:r/>
            <w:r>
              <w:rPr>
                <w:rFonts w:ascii="Times New Roman" w:hAnsi="Times New Roman" w:eastAsia="標楷體"/>
                <w:b w:val="0"/>
                <w:sz w:val="16"/>
              </w:rPr>
              <w:t>16,661</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-0.1588</w:t>
            </w:r>
          </w:p>
        </w:tc>
        <w:tc>
          <w:tcPr>
            <w:tcW w:type="dxa" w:w="1440"/>
          </w:tcPr>
          <w:p>
            <w:pPr>
              <w:jc w:val="center"/>
            </w:pPr>
            <w:r/>
            <w:r>
              <w:rPr>
                <w:rFonts w:ascii="Times New Roman" w:hAnsi="Times New Roman" w:eastAsia="標楷體"/>
                <w:b w:val="0"/>
                <w:sz w:val="16"/>
              </w:rPr>
              <w:t>0.0103</w:t>
            </w:r>
          </w:p>
        </w:tc>
        <w:tc>
          <w:tcPr>
            <w:tcW w:type="dxa" w:w="1440"/>
          </w:tcPr>
          <w:p>
            <w:pPr>
              <w:jc w:val="center"/>
            </w:pPr>
            <w:r/>
            <w:r>
              <w:rPr>
                <w:rFonts w:ascii="Times New Roman" w:hAnsi="Times New Roman" w:eastAsia="標楷體"/>
                <w:b w:val="0"/>
                <w:sz w:val="16"/>
              </w:rPr>
              <w:t>16,661</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-0.0634</w:t>
            </w:r>
          </w:p>
        </w:tc>
        <w:tc>
          <w:tcPr>
            <w:tcW w:type="dxa" w:w="1440"/>
          </w:tcPr>
          <w:p>
            <w:pPr>
              <w:jc w:val="center"/>
            </w:pPr>
            <w:r/>
            <w:r>
              <w:rPr>
                <w:rFonts w:ascii="Times New Roman" w:hAnsi="Times New Roman" w:eastAsia="標楷體"/>
                <w:b w:val="0"/>
                <w:sz w:val="16"/>
              </w:rPr>
              <w:t>0.0572</w:t>
            </w:r>
          </w:p>
        </w:tc>
        <w:tc>
          <w:tcPr>
            <w:tcW w:type="dxa" w:w="1440"/>
          </w:tcPr>
          <w:p>
            <w:pPr>
              <w:jc w:val="center"/>
            </w:pPr>
            <w:r/>
            <w:r>
              <w:rPr>
                <w:rFonts w:ascii="Times New Roman" w:hAnsi="Times New Roman" w:eastAsia="標楷體"/>
                <w:b w:val="0"/>
                <w:sz w:val="16"/>
              </w:rPr>
              <w:t>7,252</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-0.1013</w:t>
            </w:r>
          </w:p>
        </w:tc>
        <w:tc>
          <w:tcPr>
            <w:tcW w:type="dxa" w:w="1440"/>
          </w:tcPr>
          <w:p>
            <w:pPr>
              <w:jc w:val="center"/>
            </w:pPr>
            <w:r/>
            <w:r>
              <w:rPr>
                <w:rFonts w:ascii="Times New Roman" w:hAnsi="Times New Roman" w:eastAsia="標楷體"/>
                <w:b w:val="0"/>
                <w:sz w:val="16"/>
              </w:rPr>
              <w:t>0.0248</w:t>
            </w:r>
          </w:p>
        </w:tc>
        <w:tc>
          <w:tcPr>
            <w:tcW w:type="dxa" w:w="1440"/>
          </w:tcPr>
          <w:p>
            <w:pPr>
              <w:jc w:val="center"/>
            </w:pPr>
            <w:r/>
            <w:r>
              <w:rPr>
                <w:rFonts w:ascii="Times New Roman" w:hAnsi="Times New Roman" w:eastAsia="標楷體"/>
                <w:b w:val="0"/>
                <w:sz w:val="16"/>
              </w:rPr>
              <w:t>7,252</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-0.1004</w:t>
            </w:r>
          </w:p>
        </w:tc>
        <w:tc>
          <w:tcPr>
            <w:tcW w:type="dxa" w:w="1440"/>
          </w:tcPr>
          <w:p>
            <w:pPr>
              <w:jc w:val="center"/>
            </w:pPr>
            <w:r/>
            <w:r>
              <w:rPr>
                <w:rFonts w:ascii="Times New Roman" w:hAnsi="Times New Roman" w:eastAsia="標楷體"/>
                <w:b w:val="0"/>
                <w:sz w:val="16"/>
              </w:rPr>
              <w:t>0.0241</w:t>
            </w:r>
          </w:p>
        </w:tc>
        <w:tc>
          <w:tcPr>
            <w:tcW w:type="dxa" w:w="1440"/>
          </w:tcPr>
          <w:p>
            <w:pPr>
              <w:jc w:val="center"/>
            </w:pPr>
            <w:r/>
            <w:r>
              <w:rPr>
                <w:rFonts w:ascii="Times New Roman" w:hAnsi="Times New Roman" w:eastAsia="標楷體"/>
                <w:b w:val="0"/>
                <w:sz w:val="16"/>
              </w:rPr>
              <w:t>7,252</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-0.1966</w:t>
            </w:r>
          </w:p>
        </w:tc>
        <w:tc>
          <w:tcPr>
            <w:tcW w:type="dxa" w:w="1440"/>
          </w:tcPr>
          <w:p>
            <w:pPr>
              <w:jc w:val="center"/>
            </w:pPr>
            <w:r/>
            <w:r>
              <w:rPr>
                <w:rFonts w:ascii="Times New Roman" w:hAnsi="Times New Roman" w:eastAsia="標楷體"/>
                <w:b w:val="0"/>
                <w:sz w:val="16"/>
              </w:rPr>
              <w:t>-0.0170</w:t>
            </w:r>
          </w:p>
        </w:tc>
        <w:tc>
          <w:tcPr>
            <w:tcW w:type="dxa" w:w="1440"/>
          </w:tcPr>
          <w:p>
            <w:pPr>
              <w:jc w:val="center"/>
            </w:pPr>
            <w:r/>
            <w:r>
              <w:rPr>
                <w:rFonts w:ascii="Times New Roman" w:hAnsi="Times New Roman" w:eastAsia="標楷體"/>
                <w:b w:val="0"/>
                <w:sz w:val="16"/>
              </w:rPr>
              <w:t>9,409</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-0.2068</w:t>
            </w:r>
          </w:p>
        </w:tc>
        <w:tc>
          <w:tcPr>
            <w:tcW w:type="dxa" w:w="1440"/>
          </w:tcPr>
          <w:p>
            <w:pPr>
              <w:jc w:val="center"/>
            </w:pPr>
            <w:r/>
            <w:r>
              <w:rPr>
                <w:rFonts w:ascii="Times New Roman" w:hAnsi="Times New Roman" w:eastAsia="標楷體"/>
                <w:b w:val="0"/>
                <w:sz w:val="16"/>
              </w:rPr>
              <w:t>-0.0372</w:t>
            </w:r>
          </w:p>
        </w:tc>
        <w:tc>
          <w:tcPr>
            <w:tcW w:type="dxa" w:w="1440"/>
          </w:tcPr>
          <w:p>
            <w:pPr>
              <w:jc w:val="center"/>
            </w:pPr>
            <w:r/>
            <w:r>
              <w:rPr>
                <w:rFonts w:ascii="Times New Roman" w:hAnsi="Times New Roman" w:eastAsia="標楷體"/>
                <w:b w:val="0"/>
                <w:sz w:val="16"/>
              </w:rPr>
              <w:t>9,409</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-0.2011</w:t>
            </w:r>
          </w:p>
        </w:tc>
        <w:tc>
          <w:tcPr>
            <w:tcW w:type="dxa" w:w="1440"/>
          </w:tcPr>
          <w:p>
            <w:pPr>
              <w:jc w:val="center"/>
            </w:pPr>
            <w:r/>
            <w:r>
              <w:rPr>
                <w:rFonts w:ascii="Times New Roman" w:hAnsi="Times New Roman" w:eastAsia="標楷體"/>
                <w:b w:val="0"/>
                <w:sz w:val="16"/>
              </w:rPr>
              <w:t>-0.0261</w:t>
            </w:r>
          </w:p>
        </w:tc>
        <w:tc>
          <w:tcPr>
            <w:tcW w:type="dxa" w:w="1440"/>
          </w:tcPr>
          <w:p>
            <w:pPr>
              <w:jc w:val="center"/>
            </w:pPr>
            <w:r/>
            <w:r>
              <w:rPr>
                <w:rFonts w:ascii="Times New Roman" w:hAnsi="Times New Roman" w:eastAsia="標楷體"/>
                <w:b w:val="0"/>
                <w:sz w:val="16"/>
              </w:rPr>
              <w:t>9,409</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-0.6394***</w:t>
            </w:r>
          </w:p>
        </w:tc>
        <w:tc>
          <w:tcPr>
            <w:tcW w:type="dxa" w:w="1440"/>
          </w:tcPr>
          <w:p>
            <w:pPr>
              <w:jc w:val="center"/>
            </w:pPr>
            <w:r/>
            <w:r>
              <w:rPr>
                <w:rFonts w:ascii="Times New Roman" w:hAnsi="Times New Roman" w:eastAsia="標楷體"/>
                <w:b w:val="0"/>
                <w:sz w:val="16"/>
              </w:rPr>
              <w:t>0.0086</w:t>
            </w:r>
          </w:p>
        </w:tc>
        <w:tc>
          <w:tcPr>
            <w:tcW w:type="dxa" w:w="1440"/>
          </w:tcPr>
          <w:p>
            <w:pPr>
              <w:jc w:val="center"/>
            </w:pPr>
            <w:r/>
            <w:r>
              <w:rPr>
                <w:rFonts w:ascii="Times New Roman" w:hAnsi="Times New Roman" w:eastAsia="標楷體"/>
                <w:b w:val="0"/>
                <w:sz w:val="16"/>
              </w:rPr>
              <w:t>3,273</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-0.4167</w:t>
            </w:r>
          </w:p>
        </w:tc>
        <w:tc>
          <w:tcPr>
            <w:tcW w:type="dxa" w:w="1440"/>
          </w:tcPr>
          <w:p>
            <w:pPr>
              <w:jc w:val="center"/>
            </w:pPr>
            <w:r/>
            <w:r>
              <w:rPr>
                <w:rFonts w:ascii="Times New Roman" w:hAnsi="Times New Roman" w:eastAsia="標楷體"/>
                <w:b w:val="0"/>
                <w:sz w:val="16"/>
              </w:rPr>
              <w:t>-0.0013</w:t>
            </w:r>
          </w:p>
        </w:tc>
        <w:tc>
          <w:tcPr>
            <w:tcW w:type="dxa" w:w="1440"/>
          </w:tcPr>
          <w:p>
            <w:pPr>
              <w:jc w:val="center"/>
            </w:pPr>
            <w:r/>
            <w:r>
              <w:rPr>
                <w:rFonts w:ascii="Times New Roman" w:hAnsi="Times New Roman" w:eastAsia="標楷體"/>
                <w:b w:val="0"/>
                <w:sz w:val="16"/>
              </w:rPr>
              <w:t>1,653</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r>
          </w:p>
        </w:tc>
        <w:tc>
          <w:tcPr>
            <w:tcW w:type="dxa" w:w="1440"/>
          </w:tcPr>
          <w:p>
            <w:pPr>
              <w:jc w:val="center"/>
            </w:pPr>
            <w:r/>
            <w:r>
              <w:rPr>
                <w:rFonts w:ascii="Times New Roman" w:hAnsi="Times New Roman" w:eastAsia="標楷體"/>
                <w:b w:val="0"/>
                <w:sz w:val="16"/>
              </w:rPr>
            </w:r>
          </w:p>
        </w:tc>
        <w:tc>
          <w:tcPr>
            <w:tcW w:type="dxa" w:w="1440"/>
          </w:tcPr>
          <w:p>
            <w:pPr>
              <w:jc w:val="center"/>
            </w:pPr>
            <w:r/>
            <w:r>
              <w:rPr>
                <w:rFonts w:ascii="Times New Roman" w:hAnsi="Times New Roman" w:eastAsia="標楷體"/>
                <w:b w:val="0"/>
                <w:sz w:val="16"/>
              </w:rPr>
              <w:t>0</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-0.7829**</w:t>
            </w:r>
          </w:p>
        </w:tc>
        <w:tc>
          <w:tcPr>
            <w:tcW w:type="dxa" w:w="1440"/>
          </w:tcPr>
          <w:p>
            <w:pPr>
              <w:jc w:val="center"/>
            </w:pPr>
            <w:r/>
            <w:r>
              <w:rPr>
                <w:rFonts w:ascii="Times New Roman" w:hAnsi="Times New Roman" w:eastAsia="標楷體"/>
                <w:b w:val="0"/>
                <w:sz w:val="16"/>
              </w:rPr>
              <w:t>-0.0112</w:t>
            </w:r>
          </w:p>
        </w:tc>
        <w:tc>
          <w:tcPr>
            <w:tcW w:type="dxa" w:w="1440"/>
          </w:tcPr>
          <w:p>
            <w:pPr>
              <w:jc w:val="center"/>
            </w:pPr>
            <w:r/>
            <w:r>
              <w:rPr>
                <w:rFonts w:ascii="Times New Roman" w:hAnsi="Times New Roman" w:eastAsia="標楷體"/>
                <w:b w:val="0"/>
                <w:sz w:val="16"/>
              </w:rPr>
              <w:t>1,389</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-2.0335***</w:t>
            </w:r>
          </w:p>
        </w:tc>
        <w:tc>
          <w:tcPr>
            <w:tcW w:type="dxa" w:w="1440"/>
          </w:tcPr>
          <w:p>
            <w:pPr>
              <w:jc w:val="center"/>
            </w:pPr>
            <w:r/>
            <w:r>
              <w:rPr>
                <w:rFonts w:ascii="Times New Roman" w:hAnsi="Times New Roman" w:eastAsia="標楷體"/>
                <w:b w:val="0"/>
                <w:sz w:val="16"/>
              </w:rPr>
              <w:t>-0.0503*</w:t>
            </w:r>
          </w:p>
        </w:tc>
        <w:tc>
          <w:tcPr>
            <w:tcW w:type="dxa" w:w="1440"/>
          </w:tcPr>
          <w:p>
            <w:pPr>
              <w:jc w:val="center"/>
            </w:pPr>
            <w:r/>
            <w:r>
              <w:rPr>
                <w:rFonts w:ascii="Times New Roman" w:hAnsi="Times New Roman" w:eastAsia="標楷體"/>
                <w:b w:val="0"/>
                <w:sz w:val="16"/>
              </w:rPr>
              <w:t>699</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r>
          </w:p>
        </w:tc>
        <w:tc>
          <w:tcPr>
            <w:tcW w:type="dxa" w:w="1440"/>
          </w:tcPr>
          <w:p>
            <w:pPr>
              <w:jc w:val="center"/>
            </w:pPr>
            <w:r/>
            <w:r>
              <w:rPr>
                <w:rFonts w:ascii="Times New Roman" w:hAnsi="Times New Roman" w:eastAsia="標楷體"/>
                <w:b w:val="0"/>
                <w:sz w:val="16"/>
              </w:rPr>
            </w:r>
          </w:p>
        </w:tc>
        <w:tc>
          <w:tcPr>
            <w:tcW w:type="dxa" w:w="1440"/>
          </w:tcPr>
          <w:p>
            <w:pPr>
              <w:jc w:val="center"/>
            </w:pPr>
            <w:r/>
            <w:r>
              <w:rPr>
                <w:rFonts w:ascii="Times New Roman" w:hAnsi="Times New Roman" w:eastAsia="標楷體"/>
                <w:b w:val="0"/>
                <w:sz w:val="16"/>
              </w:rPr>
              <w:t>0</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-0.5707**</w:t>
            </w:r>
          </w:p>
        </w:tc>
        <w:tc>
          <w:tcPr>
            <w:tcW w:type="dxa" w:w="1440"/>
          </w:tcPr>
          <w:p>
            <w:pPr>
              <w:jc w:val="center"/>
            </w:pPr>
            <w:r/>
            <w:r>
              <w:rPr>
                <w:rFonts w:ascii="Times New Roman" w:hAnsi="Times New Roman" w:eastAsia="標楷體"/>
                <w:b w:val="0"/>
                <w:sz w:val="16"/>
              </w:rPr>
              <w:t>0.0352*</w:t>
            </w:r>
          </w:p>
        </w:tc>
        <w:tc>
          <w:tcPr>
            <w:tcW w:type="dxa" w:w="1440"/>
          </w:tcPr>
          <w:p>
            <w:pPr>
              <w:jc w:val="center"/>
            </w:pPr>
            <w:r/>
            <w:r>
              <w:rPr>
                <w:rFonts w:ascii="Times New Roman" w:hAnsi="Times New Roman" w:eastAsia="標楷體"/>
                <w:b w:val="0"/>
                <w:sz w:val="16"/>
              </w:rPr>
              <w:t>1,884</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0.4766</w:t>
            </w:r>
          </w:p>
        </w:tc>
        <w:tc>
          <w:tcPr>
            <w:tcW w:type="dxa" w:w="1440"/>
          </w:tcPr>
          <w:p>
            <w:pPr>
              <w:jc w:val="center"/>
            </w:pPr>
            <w:r/>
            <w:r>
              <w:rPr>
                <w:rFonts w:ascii="Times New Roman" w:hAnsi="Times New Roman" w:eastAsia="標楷體"/>
                <w:b w:val="0"/>
                <w:sz w:val="16"/>
              </w:rPr>
              <w:t>0.0323</w:t>
            </w:r>
          </w:p>
        </w:tc>
        <w:tc>
          <w:tcPr>
            <w:tcW w:type="dxa" w:w="1440"/>
          </w:tcPr>
          <w:p>
            <w:pPr>
              <w:jc w:val="center"/>
            </w:pPr>
            <w:r/>
            <w:r>
              <w:rPr>
                <w:rFonts w:ascii="Times New Roman" w:hAnsi="Times New Roman" w:eastAsia="標楷體"/>
                <w:b w:val="0"/>
                <w:sz w:val="16"/>
              </w:rPr>
              <w:t>954</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r>
          </w:p>
        </w:tc>
        <w:tc>
          <w:tcPr>
            <w:tcW w:type="dxa" w:w="1440"/>
          </w:tcPr>
          <w:p>
            <w:pPr>
              <w:jc w:val="center"/>
            </w:pPr>
            <w:r/>
            <w:r>
              <w:rPr>
                <w:rFonts w:ascii="Times New Roman" w:hAnsi="Times New Roman" w:eastAsia="標楷體"/>
                <w:b w:val="0"/>
                <w:sz w:val="16"/>
              </w:rPr>
            </w:r>
          </w:p>
        </w:tc>
        <w:tc>
          <w:tcPr>
            <w:tcW w:type="dxa" w:w="1440"/>
          </w:tcPr>
          <w:p>
            <w:pPr>
              <w:jc w:val="center"/>
            </w:pPr>
            <w:r/>
            <w:r>
              <w:rPr>
                <w:rFonts w:ascii="Times New Roman" w:hAnsi="Times New Roman" w:eastAsia="標楷體"/>
                <w:b w:val="0"/>
                <w:sz w:val="16"/>
              </w:rPr>
              <w:t>0</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-0.1685</w:t>
            </w:r>
          </w:p>
        </w:tc>
        <w:tc>
          <w:tcPr>
            <w:tcW w:type="dxa" w:w="1440"/>
          </w:tcPr>
          <w:p>
            <w:pPr>
              <w:jc w:val="center"/>
            </w:pPr>
            <w:r/>
            <w:r>
              <w:rPr>
                <w:rFonts w:ascii="Times New Roman" w:hAnsi="Times New Roman" w:eastAsia="標楷體"/>
                <w:b w:val="0"/>
                <w:sz w:val="16"/>
              </w:rPr>
              <w:t>0.0043</w:t>
            </w:r>
          </w:p>
        </w:tc>
        <w:tc>
          <w:tcPr>
            <w:tcW w:type="dxa" w:w="1440"/>
          </w:tcPr>
          <w:p>
            <w:pPr>
              <w:jc w:val="center"/>
            </w:pPr>
            <w:r/>
            <w:r>
              <w:rPr>
                <w:rFonts w:ascii="Times New Roman" w:hAnsi="Times New Roman" w:eastAsia="標楷體"/>
                <w:b w:val="0"/>
                <w:sz w:val="16"/>
              </w:rPr>
              <w:t>13,875</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-0.1569</w:t>
            </w:r>
          </w:p>
        </w:tc>
        <w:tc>
          <w:tcPr>
            <w:tcW w:type="dxa" w:w="1440"/>
          </w:tcPr>
          <w:p>
            <w:pPr>
              <w:jc w:val="center"/>
            </w:pPr>
            <w:r/>
            <w:r>
              <w:rPr>
                <w:rFonts w:ascii="Times New Roman" w:hAnsi="Times New Roman" w:eastAsia="標楷體"/>
                <w:b w:val="0"/>
                <w:sz w:val="16"/>
              </w:rPr>
              <w:t>-0.0016</w:t>
            </w:r>
          </w:p>
        </w:tc>
        <w:tc>
          <w:tcPr>
            <w:tcW w:type="dxa" w:w="1440"/>
          </w:tcPr>
          <w:p>
            <w:pPr>
              <w:jc w:val="center"/>
            </w:pPr>
            <w:r/>
            <w:r>
              <w:rPr>
                <w:rFonts w:ascii="Times New Roman" w:hAnsi="Times New Roman" w:eastAsia="標楷體"/>
                <w:b w:val="0"/>
                <w:sz w:val="16"/>
              </w:rPr>
              <w:t>12,437</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-0.1927</w:t>
            </w:r>
          </w:p>
        </w:tc>
        <w:tc>
          <w:tcPr>
            <w:tcW w:type="dxa" w:w="1440"/>
          </w:tcPr>
          <w:p>
            <w:pPr>
              <w:jc w:val="center"/>
            </w:pPr>
            <w:r/>
            <w:r>
              <w:rPr>
                <w:rFonts w:ascii="Times New Roman" w:hAnsi="Times New Roman" w:eastAsia="標楷體"/>
                <w:b w:val="0"/>
                <w:sz w:val="16"/>
              </w:rPr>
              <w:t>0.0039</w:t>
            </w:r>
          </w:p>
        </w:tc>
        <w:tc>
          <w:tcPr>
            <w:tcW w:type="dxa" w:w="1440"/>
          </w:tcPr>
          <w:p>
            <w:pPr>
              <w:jc w:val="center"/>
            </w:pPr>
            <w:r/>
            <w:r>
              <w:rPr>
                <w:rFonts w:ascii="Times New Roman" w:hAnsi="Times New Roman" w:eastAsia="標楷體"/>
                <w:b w:val="0"/>
                <w:sz w:val="16"/>
              </w:rPr>
              <w:t>10,907</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-0.1764</w:t>
            </w:r>
          </w:p>
        </w:tc>
        <w:tc>
          <w:tcPr>
            <w:tcW w:type="dxa" w:w="1440"/>
          </w:tcPr>
          <w:p>
            <w:pPr>
              <w:jc w:val="center"/>
            </w:pPr>
            <w:r/>
            <w:r>
              <w:rPr>
                <w:rFonts w:ascii="Times New Roman" w:hAnsi="Times New Roman" w:eastAsia="標楷體"/>
                <w:b w:val="0"/>
                <w:sz w:val="16"/>
              </w:rPr>
              <w:t>0.0053</w:t>
            </w:r>
          </w:p>
        </w:tc>
        <w:tc>
          <w:tcPr>
            <w:tcW w:type="dxa" w:w="1440"/>
          </w:tcPr>
          <w:p>
            <w:pPr>
              <w:jc w:val="center"/>
            </w:pPr>
            <w:r/>
            <w:r>
              <w:rPr>
                <w:rFonts w:ascii="Times New Roman" w:hAnsi="Times New Roman" w:eastAsia="標楷體"/>
                <w:b w:val="0"/>
                <w:sz w:val="16"/>
              </w:rPr>
              <w:t>5,994</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-0.0987</w:t>
            </w:r>
          </w:p>
        </w:tc>
        <w:tc>
          <w:tcPr>
            <w:tcW w:type="dxa" w:w="1440"/>
          </w:tcPr>
          <w:p>
            <w:pPr>
              <w:jc w:val="center"/>
            </w:pPr>
            <w:r/>
            <w:r>
              <w:rPr>
                <w:rFonts w:ascii="Times New Roman" w:hAnsi="Times New Roman" w:eastAsia="標楷體"/>
                <w:b w:val="0"/>
                <w:sz w:val="16"/>
              </w:rPr>
              <w:t>0.0023</w:t>
            </w:r>
          </w:p>
        </w:tc>
        <w:tc>
          <w:tcPr>
            <w:tcW w:type="dxa" w:w="1440"/>
          </w:tcPr>
          <w:p>
            <w:pPr>
              <w:jc w:val="center"/>
            </w:pPr>
            <w:r/>
            <w:r>
              <w:rPr>
                <w:rFonts w:ascii="Times New Roman" w:hAnsi="Times New Roman" w:eastAsia="標楷體"/>
                <w:b w:val="0"/>
                <w:sz w:val="16"/>
              </w:rPr>
              <w:t>5,354</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-0.2272</w:t>
            </w:r>
          </w:p>
        </w:tc>
        <w:tc>
          <w:tcPr>
            <w:tcW w:type="dxa" w:w="1440"/>
          </w:tcPr>
          <w:p>
            <w:pPr>
              <w:jc w:val="center"/>
            </w:pPr>
            <w:r/>
            <w:r>
              <w:rPr>
                <w:rFonts w:ascii="Times New Roman" w:hAnsi="Times New Roman" w:eastAsia="標楷體"/>
                <w:b w:val="0"/>
                <w:sz w:val="16"/>
              </w:rPr>
              <w:t>-0.0041</w:t>
            </w:r>
          </w:p>
        </w:tc>
        <w:tc>
          <w:tcPr>
            <w:tcW w:type="dxa" w:w="1440"/>
          </w:tcPr>
          <w:p>
            <w:pPr>
              <w:jc w:val="center"/>
            </w:pPr>
            <w:r/>
            <w:r>
              <w:rPr>
                <w:rFonts w:ascii="Times New Roman" w:hAnsi="Times New Roman" w:eastAsia="標楷體"/>
                <w:b w:val="0"/>
                <w:sz w:val="16"/>
              </w:rPr>
              <w:t>4,682</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-0.1578</w:t>
            </w:r>
          </w:p>
        </w:tc>
        <w:tc>
          <w:tcPr>
            <w:tcW w:type="dxa" w:w="1440"/>
          </w:tcPr>
          <w:p>
            <w:pPr>
              <w:jc w:val="center"/>
            </w:pPr>
            <w:r/>
            <w:r>
              <w:rPr>
                <w:rFonts w:ascii="Times New Roman" w:hAnsi="Times New Roman" w:eastAsia="標楷體"/>
                <w:b w:val="0"/>
                <w:sz w:val="16"/>
              </w:rPr>
              <w:t>0.0032</w:t>
            </w:r>
          </w:p>
        </w:tc>
        <w:tc>
          <w:tcPr>
            <w:tcW w:type="dxa" w:w="1440"/>
          </w:tcPr>
          <w:p>
            <w:pPr>
              <w:jc w:val="center"/>
            </w:pPr>
            <w:r/>
            <w:r>
              <w:rPr>
                <w:rFonts w:ascii="Times New Roman" w:hAnsi="Times New Roman" w:eastAsia="標楷體"/>
                <w:b w:val="0"/>
                <w:sz w:val="16"/>
              </w:rPr>
              <w:t>7,881</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-0.1887</w:t>
            </w:r>
          </w:p>
        </w:tc>
        <w:tc>
          <w:tcPr>
            <w:tcW w:type="dxa" w:w="1440"/>
          </w:tcPr>
          <w:p>
            <w:pPr>
              <w:jc w:val="center"/>
            </w:pPr>
            <w:r/>
            <w:r>
              <w:rPr>
                <w:rFonts w:ascii="Times New Roman" w:hAnsi="Times New Roman" w:eastAsia="標楷體"/>
                <w:b w:val="0"/>
                <w:sz w:val="16"/>
              </w:rPr>
              <w:t>-0.0108</w:t>
            </w:r>
          </w:p>
        </w:tc>
        <w:tc>
          <w:tcPr>
            <w:tcW w:type="dxa" w:w="1440"/>
          </w:tcPr>
          <w:p>
            <w:pPr>
              <w:jc w:val="center"/>
            </w:pPr>
            <w:r/>
            <w:r>
              <w:rPr>
                <w:rFonts w:ascii="Times New Roman" w:hAnsi="Times New Roman" w:eastAsia="標楷體"/>
                <w:b w:val="0"/>
                <w:sz w:val="16"/>
              </w:rPr>
              <w:t>7,083</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-0.1841</w:t>
            </w:r>
          </w:p>
        </w:tc>
        <w:tc>
          <w:tcPr>
            <w:tcW w:type="dxa" w:w="1440"/>
          </w:tcPr>
          <w:p>
            <w:pPr>
              <w:jc w:val="center"/>
            </w:pPr>
            <w:r/>
            <w:r>
              <w:rPr>
                <w:rFonts w:ascii="Times New Roman" w:hAnsi="Times New Roman" w:eastAsia="標楷體"/>
                <w:b w:val="0"/>
                <w:sz w:val="16"/>
              </w:rPr>
              <w:t>0.0031</w:t>
            </w:r>
          </w:p>
        </w:tc>
        <w:tc>
          <w:tcPr>
            <w:tcW w:type="dxa" w:w="1440"/>
          </w:tcPr>
          <w:p>
            <w:pPr>
              <w:jc w:val="center"/>
            </w:pPr>
            <w:r/>
            <w:r>
              <w:rPr>
                <w:rFonts w:ascii="Times New Roman" w:hAnsi="Times New Roman" w:eastAsia="標楷體"/>
                <w:b w:val="0"/>
                <w:sz w:val="16"/>
              </w:rPr>
              <w:t>6,225</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-0.0223</w:t>
            </w:r>
          </w:p>
        </w:tc>
        <w:tc>
          <w:tcPr>
            <w:tcW w:type="dxa" w:w="1440"/>
          </w:tcPr>
          <w:p>
            <w:pPr>
              <w:jc w:val="center"/>
            </w:pPr>
            <w:r/>
            <w:r>
              <w:rPr>
                <w:rFonts w:ascii="Times New Roman" w:hAnsi="Times New Roman" w:eastAsia="標楷體"/>
                <w:b w:val="0"/>
                <w:sz w:val="16"/>
              </w:rPr>
              <w:t>-0.0013</w:t>
            </w:r>
          </w:p>
        </w:tc>
        <w:tc>
          <w:tcPr>
            <w:tcW w:type="dxa" w:w="1440"/>
          </w:tcPr>
          <w:p>
            <w:pPr>
              <w:jc w:val="center"/>
            </w:pPr>
            <w:r/>
            <w:r>
              <w:rPr>
                <w:rFonts w:ascii="Times New Roman" w:hAnsi="Times New Roman" w:eastAsia="標楷體"/>
                <w:b w:val="0"/>
                <w:sz w:val="16"/>
              </w:rPr>
              <w:t>4,097</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-0.2513</w:t>
            </w:r>
          </w:p>
        </w:tc>
        <w:tc>
          <w:tcPr>
            <w:tcW w:type="dxa" w:w="1440"/>
          </w:tcPr>
          <w:p>
            <w:pPr>
              <w:jc w:val="center"/>
            </w:pPr>
            <w:r/>
            <w:r>
              <w:rPr>
                <w:rFonts w:ascii="Times New Roman" w:hAnsi="Times New Roman" w:eastAsia="標楷體"/>
                <w:b w:val="0"/>
                <w:sz w:val="16"/>
              </w:rPr>
              <w:t>-0.0003</w:t>
            </w:r>
          </w:p>
        </w:tc>
        <w:tc>
          <w:tcPr>
            <w:tcW w:type="dxa" w:w="1440"/>
          </w:tcPr>
          <w:p>
            <w:pPr>
              <w:jc w:val="center"/>
            </w:pPr>
            <w:r/>
            <w:r>
              <w:rPr>
                <w:rFonts w:ascii="Times New Roman" w:hAnsi="Times New Roman" w:eastAsia="標楷體"/>
                <w:b w:val="0"/>
                <w:sz w:val="16"/>
              </w:rPr>
              <w:t>4,054</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-0.1215</w:t>
            </w:r>
          </w:p>
        </w:tc>
        <w:tc>
          <w:tcPr>
            <w:tcW w:type="dxa" w:w="1440"/>
          </w:tcPr>
          <w:p>
            <w:pPr>
              <w:jc w:val="center"/>
            </w:pPr>
            <w:r/>
            <w:r>
              <w:rPr>
                <w:rFonts w:ascii="Times New Roman" w:hAnsi="Times New Roman" w:eastAsia="標楷體"/>
                <w:b w:val="0"/>
                <w:sz w:val="16"/>
              </w:rPr>
              <w:t>-0.0009</w:t>
            </w:r>
          </w:p>
        </w:tc>
        <w:tc>
          <w:tcPr>
            <w:tcW w:type="dxa" w:w="1440"/>
          </w:tcPr>
          <w:p>
            <w:pPr>
              <w:jc w:val="center"/>
            </w:pPr>
            <w:r/>
            <w:r>
              <w:rPr>
                <w:rFonts w:ascii="Times New Roman" w:hAnsi="Times New Roman" w:eastAsia="標楷體"/>
                <w:b w:val="0"/>
                <w:sz w:val="16"/>
              </w:rPr>
              <w:t>4,002</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-0.0382</w:t>
            </w:r>
          </w:p>
        </w:tc>
        <w:tc>
          <w:tcPr>
            <w:tcW w:type="dxa" w:w="1440"/>
          </w:tcPr>
          <w:p>
            <w:pPr>
              <w:jc w:val="center"/>
            </w:pPr>
            <w:r/>
            <w:r>
              <w:rPr>
                <w:rFonts w:ascii="Times New Roman" w:hAnsi="Times New Roman" w:eastAsia="標楷體"/>
                <w:b w:val="0"/>
                <w:sz w:val="16"/>
              </w:rPr>
              <w:t>-0.0007</w:t>
            </w:r>
          </w:p>
        </w:tc>
        <w:tc>
          <w:tcPr>
            <w:tcW w:type="dxa" w:w="1440"/>
          </w:tcPr>
          <w:p>
            <w:pPr>
              <w:jc w:val="center"/>
            </w:pPr>
            <w:r/>
            <w:r>
              <w:rPr>
                <w:rFonts w:ascii="Times New Roman" w:hAnsi="Times New Roman" w:eastAsia="標楷體"/>
                <w:b w:val="0"/>
                <w:sz w:val="16"/>
              </w:rPr>
              <w:t>2,093</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-0.0767</w:t>
            </w:r>
          </w:p>
        </w:tc>
        <w:tc>
          <w:tcPr>
            <w:tcW w:type="dxa" w:w="1440"/>
          </w:tcPr>
          <w:p>
            <w:pPr>
              <w:jc w:val="center"/>
            </w:pPr>
            <w:r/>
            <w:r>
              <w:rPr>
                <w:rFonts w:ascii="Times New Roman" w:hAnsi="Times New Roman" w:eastAsia="標楷體"/>
                <w:b w:val="0"/>
                <w:sz w:val="16"/>
              </w:rPr>
              <w:t>-0.0010</w:t>
            </w:r>
          </w:p>
        </w:tc>
        <w:tc>
          <w:tcPr>
            <w:tcW w:type="dxa" w:w="1440"/>
          </w:tcPr>
          <w:p>
            <w:pPr>
              <w:jc w:val="center"/>
            </w:pPr>
            <w:r/>
            <w:r>
              <w:rPr>
                <w:rFonts w:ascii="Times New Roman" w:hAnsi="Times New Roman" w:eastAsia="標楷體"/>
                <w:b w:val="0"/>
                <w:sz w:val="16"/>
              </w:rPr>
              <w:t>2,096</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-0.1789</w:t>
            </w:r>
          </w:p>
        </w:tc>
        <w:tc>
          <w:tcPr>
            <w:tcW w:type="dxa" w:w="1440"/>
          </w:tcPr>
          <w:p>
            <w:pPr>
              <w:jc w:val="center"/>
            </w:pPr>
            <w:r/>
            <w:r>
              <w:rPr>
                <w:rFonts w:ascii="Times New Roman" w:hAnsi="Times New Roman" w:eastAsia="標楷體"/>
                <w:b w:val="0"/>
                <w:sz w:val="16"/>
              </w:rPr>
              <w:t>-0.0013</w:t>
            </w:r>
          </w:p>
        </w:tc>
        <w:tc>
          <w:tcPr>
            <w:tcW w:type="dxa" w:w="1440"/>
          </w:tcPr>
          <w:p>
            <w:pPr>
              <w:jc w:val="center"/>
            </w:pPr>
            <w:r/>
            <w:r>
              <w:rPr>
                <w:rFonts w:ascii="Times New Roman" w:hAnsi="Times New Roman" w:eastAsia="標楷體"/>
                <w:b w:val="0"/>
                <w:sz w:val="16"/>
              </w:rPr>
              <w:t>2,087</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-0.0081</w:t>
            </w:r>
          </w:p>
        </w:tc>
        <w:tc>
          <w:tcPr>
            <w:tcW w:type="dxa" w:w="1440"/>
          </w:tcPr>
          <w:p>
            <w:pPr>
              <w:jc w:val="center"/>
            </w:pPr>
            <w:r/>
            <w:r>
              <w:rPr>
                <w:rFonts w:ascii="Times New Roman" w:hAnsi="Times New Roman" w:eastAsia="標楷體"/>
                <w:b w:val="0"/>
                <w:sz w:val="16"/>
              </w:rPr>
              <w:t>-0.0021</w:t>
            </w:r>
          </w:p>
        </w:tc>
        <w:tc>
          <w:tcPr>
            <w:tcW w:type="dxa" w:w="1440"/>
          </w:tcPr>
          <w:p>
            <w:pPr>
              <w:jc w:val="center"/>
            </w:pPr>
            <w:r/>
            <w:r>
              <w:rPr>
                <w:rFonts w:ascii="Times New Roman" w:hAnsi="Times New Roman" w:eastAsia="標楷體"/>
                <w:b w:val="0"/>
                <w:sz w:val="16"/>
              </w:rPr>
              <w:t>2,004</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-0.4054</w:t>
            </w:r>
          </w:p>
        </w:tc>
        <w:tc>
          <w:tcPr>
            <w:tcW w:type="dxa" w:w="1440"/>
          </w:tcPr>
          <w:p>
            <w:pPr>
              <w:jc w:val="center"/>
            </w:pPr>
            <w:r/>
            <w:r>
              <w:rPr>
                <w:rFonts w:ascii="Times New Roman" w:hAnsi="Times New Roman" w:eastAsia="標楷體"/>
                <w:b w:val="0"/>
                <w:sz w:val="16"/>
              </w:rPr>
              <w:t>-0.0031</w:t>
            </w:r>
          </w:p>
        </w:tc>
        <w:tc>
          <w:tcPr>
            <w:tcW w:type="dxa" w:w="1440"/>
          </w:tcPr>
          <w:p>
            <w:pPr>
              <w:jc w:val="center"/>
            </w:pPr>
            <w:r/>
            <w:r>
              <w:rPr>
                <w:rFonts w:ascii="Times New Roman" w:hAnsi="Times New Roman" w:eastAsia="標楷體"/>
                <w:b w:val="0"/>
                <w:sz w:val="16"/>
              </w:rPr>
              <w:t>1,958</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0.0057</w:t>
            </w:r>
          </w:p>
        </w:tc>
        <w:tc>
          <w:tcPr>
            <w:tcW w:type="dxa" w:w="1440"/>
          </w:tcPr>
          <w:p>
            <w:pPr>
              <w:jc w:val="center"/>
            </w:pPr>
            <w:r/>
            <w:r>
              <w:rPr>
                <w:rFonts w:ascii="Times New Roman" w:hAnsi="Times New Roman" w:eastAsia="標楷體"/>
                <w:b w:val="0"/>
                <w:sz w:val="16"/>
              </w:rPr>
              <w:t>-0.0043</w:t>
            </w:r>
          </w:p>
        </w:tc>
        <w:tc>
          <w:tcPr>
            <w:tcW w:type="dxa" w:w="1440"/>
          </w:tcPr>
          <w:p>
            <w:pPr>
              <w:jc w:val="center"/>
            </w:pPr>
            <w:r/>
            <w:r>
              <w:rPr>
                <w:rFonts w:ascii="Times New Roman" w:hAnsi="Times New Roman" w:eastAsia="標楷體"/>
                <w:b w:val="0"/>
                <w:sz w:val="16"/>
              </w:rPr>
              <w:t>1,915</w:t>
            </w:r>
          </w:p>
        </w:tc>
      </w:tr>
      <w:tr>
        <w:tc>
          <w:tcPr>
            <w:tcW w:type="dxa" w:w="1440"/>
          </w:tcPr>
          <w:p>
            <w:pPr>
              <w:jc w:val="left"/>
            </w:pPr>
            <w:r/>
            <w:r>
              <w:rPr>
                <w:rFonts w:ascii="Times New Roman" w:hAnsi="Times New Roman" w:eastAsia="標楷體"/>
                <w:b w:val="0"/>
                <w:sz w:val="16"/>
              </w:rPr>
              <w:t>用水密集度</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-0.0627</w:t>
            </w:r>
          </w:p>
        </w:tc>
        <w:tc>
          <w:tcPr>
            <w:tcW w:type="dxa" w:w="1440"/>
          </w:tcPr>
          <w:p>
            <w:pPr>
              <w:jc w:val="center"/>
            </w:pPr>
            <w:r/>
            <w:r>
              <w:rPr>
                <w:rFonts w:ascii="Times New Roman" w:hAnsi="Times New Roman" w:eastAsia="標楷體"/>
                <w:b w:val="0"/>
                <w:sz w:val="16"/>
              </w:rPr>
              <w:t>-0.0305</w:t>
            </w:r>
          </w:p>
        </w:tc>
        <w:tc>
          <w:tcPr>
            <w:tcW w:type="dxa" w:w="1440"/>
          </w:tcPr>
          <w:p>
            <w:pPr>
              <w:jc w:val="center"/>
            </w:pPr>
            <w:r/>
            <w:r>
              <w:rPr>
                <w:rFonts w:ascii="Times New Roman" w:hAnsi="Times New Roman" w:eastAsia="標楷體"/>
                <w:b w:val="0"/>
                <w:sz w:val="16"/>
              </w:rPr>
              <w:t>8,484</w:t>
            </w:r>
          </w:p>
        </w:tc>
      </w:tr>
      <w:tr>
        <w:tc>
          <w:tcPr>
            <w:tcW w:type="dxa" w:w="1440"/>
          </w:tcPr>
          <w:p>
            <w:pPr>
              <w:jc w:val="left"/>
            </w:pPr>
            <w:r/>
            <w:r>
              <w:rPr>
                <w:rFonts w:ascii="Times New Roman" w:hAnsi="Times New Roman" w:eastAsia="標楷體"/>
                <w:b w:val="0"/>
                <w:sz w:val="16"/>
              </w:rPr>
              <w:t>用水密集度</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-0.1964</w:t>
            </w:r>
          </w:p>
        </w:tc>
        <w:tc>
          <w:tcPr>
            <w:tcW w:type="dxa" w:w="1440"/>
          </w:tcPr>
          <w:p>
            <w:pPr>
              <w:jc w:val="center"/>
            </w:pPr>
            <w:r/>
            <w:r>
              <w:rPr>
                <w:rFonts w:ascii="Times New Roman" w:hAnsi="Times New Roman" w:eastAsia="標楷體"/>
                <w:b w:val="0"/>
                <w:sz w:val="16"/>
              </w:rPr>
              <w:t>-0.0190</w:t>
            </w:r>
          </w:p>
        </w:tc>
        <w:tc>
          <w:tcPr>
            <w:tcW w:type="dxa" w:w="1440"/>
          </w:tcPr>
          <w:p>
            <w:pPr>
              <w:jc w:val="center"/>
            </w:pPr>
            <w:r/>
            <w:r>
              <w:rPr>
                <w:rFonts w:ascii="Times New Roman" w:hAnsi="Times New Roman" w:eastAsia="標楷體"/>
                <w:b w:val="0"/>
                <w:sz w:val="16"/>
              </w:rPr>
              <w:t>7,176</w:t>
            </w:r>
          </w:p>
        </w:tc>
      </w:tr>
      <w:tr>
        <w:tc>
          <w:tcPr>
            <w:tcW w:type="dxa" w:w="1440"/>
          </w:tcPr>
          <w:p>
            <w:pPr>
              <w:jc w:val="left"/>
            </w:pPr>
            <w:r/>
            <w:r>
              <w:rPr>
                <w:rFonts w:ascii="Times New Roman" w:hAnsi="Times New Roman" w:eastAsia="標楷體"/>
                <w:b w:val="0"/>
                <w:sz w:val="16"/>
              </w:rPr>
              <w:t>用水密集度</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-0.3569**</w:t>
            </w:r>
          </w:p>
        </w:tc>
        <w:tc>
          <w:tcPr>
            <w:tcW w:type="dxa" w:w="1440"/>
          </w:tcPr>
          <w:p>
            <w:pPr>
              <w:jc w:val="center"/>
            </w:pPr>
            <w:r/>
            <w:r>
              <w:rPr>
                <w:rFonts w:ascii="Times New Roman" w:hAnsi="Times New Roman" w:eastAsia="標楷體"/>
                <w:b w:val="0"/>
                <w:sz w:val="16"/>
              </w:rPr>
              <w:t>-0.0164</w:t>
            </w:r>
          </w:p>
        </w:tc>
        <w:tc>
          <w:tcPr>
            <w:tcW w:type="dxa" w:w="1440"/>
          </w:tcPr>
          <w:p>
            <w:pPr>
              <w:jc w:val="center"/>
            </w:pPr>
            <w:r/>
            <w:r>
              <w:rPr>
                <w:rFonts w:ascii="Times New Roman" w:hAnsi="Times New Roman" w:eastAsia="標楷體"/>
                <w:b w:val="0"/>
                <w:sz w:val="16"/>
              </w:rPr>
              <w:t>5,874</w:t>
            </w:r>
          </w:p>
        </w:tc>
      </w:tr>
      <w:tr>
        <w:tc>
          <w:tcPr>
            <w:tcW w:type="dxa" w:w="1440"/>
          </w:tcPr>
          <w:p>
            <w:pPr>
              <w:jc w:val="left"/>
            </w:pPr>
            <w:r/>
            <w:r>
              <w:rPr>
                <w:rFonts w:ascii="Times New Roman" w:hAnsi="Times New Roman" w:eastAsia="標楷體"/>
                <w:b w:val="0"/>
                <w:sz w:val="16"/>
              </w:rPr>
              <w:t>用水密集度</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-0.1928</w:t>
            </w:r>
          </w:p>
        </w:tc>
        <w:tc>
          <w:tcPr>
            <w:tcW w:type="dxa" w:w="1440"/>
          </w:tcPr>
          <w:p>
            <w:pPr>
              <w:jc w:val="center"/>
            </w:pPr>
            <w:r/>
            <w:r>
              <w:rPr>
                <w:rFonts w:ascii="Times New Roman" w:hAnsi="Times New Roman" w:eastAsia="標楷體"/>
                <w:b w:val="0"/>
                <w:sz w:val="16"/>
              </w:rPr>
              <w:t>-0.0914**</w:t>
            </w:r>
          </w:p>
        </w:tc>
        <w:tc>
          <w:tcPr>
            <w:tcW w:type="dxa" w:w="1440"/>
          </w:tcPr>
          <w:p>
            <w:pPr>
              <w:jc w:val="center"/>
            </w:pPr>
            <w:r/>
            <w:r>
              <w:rPr>
                <w:rFonts w:ascii="Times New Roman" w:hAnsi="Times New Roman" w:eastAsia="標楷體"/>
                <w:b w:val="0"/>
                <w:sz w:val="16"/>
              </w:rPr>
              <w:t>4,099</w:t>
            </w:r>
          </w:p>
        </w:tc>
      </w:tr>
      <w:tr>
        <w:tc>
          <w:tcPr>
            <w:tcW w:type="dxa" w:w="1440"/>
          </w:tcPr>
          <w:p>
            <w:pPr>
              <w:jc w:val="left"/>
            </w:pPr>
            <w:r/>
            <w:r>
              <w:rPr>
                <w:rFonts w:ascii="Times New Roman" w:hAnsi="Times New Roman" w:eastAsia="標楷體"/>
                <w:b w:val="0"/>
                <w:sz w:val="16"/>
              </w:rPr>
              <w:t>用水密集度</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-0.2135</w:t>
            </w:r>
          </w:p>
        </w:tc>
        <w:tc>
          <w:tcPr>
            <w:tcW w:type="dxa" w:w="1440"/>
          </w:tcPr>
          <w:p>
            <w:pPr>
              <w:jc w:val="center"/>
            </w:pPr>
            <w:r/>
            <w:r>
              <w:rPr>
                <w:rFonts w:ascii="Times New Roman" w:hAnsi="Times New Roman" w:eastAsia="標楷體"/>
                <w:b w:val="0"/>
                <w:sz w:val="16"/>
              </w:rPr>
              <w:t>-0.0618</w:t>
            </w:r>
          </w:p>
        </w:tc>
        <w:tc>
          <w:tcPr>
            <w:tcW w:type="dxa" w:w="1440"/>
          </w:tcPr>
          <w:p>
            <w:pPr>
              <w:jc w:val="center"/>
            </w:pPr>
            <w:r/>
            <w:r>
              <w:rPr>
                <w:rFonts w:ascii="Times New Roman" w:hAnsi="Times New Roman" w:eastAsia="標楷體"/>
                <w:b w:val="0"/>
                <w:sz w:val="16"/>
              </w:rPr>
              <w:t>3,540</w:t>
            </w:r>
          </w:p>
        </w:tc>
      </w:tr>
      <w:tr>
        <w:tc>
          <w:tcPr>
            <w:tcW w:type="dxa" w:w="1440"/>
          </w:tcPr>
          <w:p>
            <w:pPr>
              <w:jc w:val="left"/>
            </w:pPr>
            <w:r/>
            <w:r>
              <w:rPr>
                <w:rFonts w:ascii="Times New Roman" w:hAnsi="Times New Roman" w:eastAsia="標楷體"/>
                <w:b w:val="0"/>
                <w:sz w:val="16"/>
              </w:rPr>
              <w:t>用水密集度</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-0.2785</w:t>
            </w:r>
          </w:p>
        </w:tc>
        <w:tc>
          <w:tcPr>
            <w:tcW w:type="dxa" w:w="1440"/>
          </w:tcPr>
          <w:p>
            <w:pPr>
              <w:jc w:val="center"/>
            </w:pPr>
            <w:r/>
            <w:r>
              <w:rPr>
                <w:rFonts w:ascii="Times New Roman" w:hAnsi="Times New Roman" w:eastAsia="標楷體"/>
                <w:b w:val="0"/>
                <w:sz w:val="16"/>
              </w:rPr>
              <w:t>-0.0400</w:t>
            </w:r>
          </w:p>
        </w:tc>
        <w:tc>
          <w:tcPr>
            <w:tcW w:type="dxa" w:w="1440"/>
          </w:tcPr>
          <w:p>
            <w:pPr>
              <w:jc w:val="center"/>
            </w:pPr>
            <w:r/>
            <w:r>
              <w:rPr>
                <w:rFonts w:ascii="Times New Roman" w:hAnsi="Times New Roman" w:eastAsia="標楷體"/>
                <w:b w:val="0"/>
                <w:sz w:val="16"/>
              </w:rPr>
              <w:t>2,964</w:t>
            </w:r>
          </w:p>
        </w:tc>
      </w:tr>
      <w:tr>
        <w:tc>
          <w:tcPr>
            <w:tcW w:type="dxa" w:w="1440"/>
          </w:tcPr>
          <w:p>
            <w:pPr>
              <w:jc w:val="left"/>
            </w:pPr>
            <w:r/>
            <w:r>
              <w:rPr>
                <w:rFonts w:ascii="Times New Roman" w:hAnsi="Times New Roman" w:eastAsia="標楷體"/>
                <w:b w:val="0"/>
                <w:sz w:val="16"/>
              </w:rPr>
              <w:t>用水密集度</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-0.0411</w:t>
            </w:r>
          </w:p>
        </w:tc>
        <w:tc>
          <w:tcPr>
            <w:tcW w:type="dxa" w:w="1440"/>
          </w:tcPr>
          <w:p>
            <w:pPr>
              <w:jc w:val="center"/>
            </w:pPr>
            <w:r/>
            <w:r>
              <w:rPr>
                <w:rFonts w:ascii="Times New Roman" w:hAnsi="Times New Roman" w:eastAsia="標楷體"/>
                <w:b w:val="0"/>
                <w:sz w:val="16"/>
              </w:rPr>
              <w:t>-0.0034</w:t>
            </w:r>
          </w:p>
        </w:tc>
        <w:tc>
          <w:tcPr>
            <w:tcW w:type="dxa" w:w="1440"/>
          </w:tcPr>
          <w:p>
            <w:pPr>
              <w:jc w:val="center"/>
            </w:pPr>
            <w:r/>
            <w:r>
              <w:rPr>
                <w:rFonts w:ascii="Times New Roman" w:hAnsi="Times New Roman" w:eastAsia="標楷體"/>
                <w:b w:val="0"/>
                <w:sz w:val="16"/>
              </w:rPr>
              <w:t>4,385</w:t>
            </w:r>
          </w:p>
        </w:tc>
      </w:tr>
      <w:tr>
        <w:tc>
          <w:tcPr>
            <w:tcW w:type="dxa" w:w="1440"/>
          </w:tcPr>
          <w:p>
            <w:pPr>
              <w:jc w:val="left"/>
            </w:pPr>
            <w:r/>
            <w:r>
              <w:rPr>
                <w:rFonts w:ascii="Times New Roman" w:hAnsi="Times New Roman" w:eastAsia="標楷體"/>
                <w:b w:val="0"/>
                <w:sz w:val="16"/>
              </w:rPr>
              <w:t>用水密集度</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-0.2503</w:t>
            </w:r>
          </w:p>
        </w:tc>
        <w:tc>
          <w:tcPr>
            <w:tcW w:type="dxa" w:w="1440"/>
          </w:tcPr>
          <w:p>
            <w:pPr>
              <w:jc w:val="center"/>
            </w:pPr>
            <w:r/>
            <w:r>
              <w:rPr>
                <w:rFonts w:ascii="Times New Roman" w:hAnsi="Times New Roman" w:eastAsia="標楷體"/>
                <w:b w:val="0"/>
                <w:sz w:val="16"/>
              </w:rPr>
              <w:t>0.0166</w:t>
            </w:r>
          </w:p>
        </w:tc>
        <w:tc>
          <w:tcPr>
            <w:tcW w:type="dxa" w:w="1440"/>
          </w:tcPr>
          <w:p>
            <w:pPr>
              <w:jc w:val="center"/>
            </w:pPr>
            <w:r/>
            <w:r>
              <w:rPr>
                <w:rFonts w:ascii="Times New Roman" w:hAnsi="Times New Roman" w:eastAsia="標楷體"/>
                <w:b w:val="0"/>
                <w:sz w:val="16"/>
              </w:rPr>
              <w:t>3,636</w:t>
            </w:r>
          </w:p>
        </w:tc>
      </w:tr>
      <w:tr>
        <w:tc>
          <w:tcPr>
            <w:tcW w:type="dxa" w:w="1440"/>
            <w:tcBorders>
              <w:bottom w:val="single" w:sz="12" w:space="0" w:color="000000"/>
            </w:tcBorders>
          </w:tcPr>
          <w:p>
            <w:pPr>
              <w:jc w:val="left"/>
            </w:pPr>
            <w:r/>
            <w:r>
              <w:rPr>
                <w:rFonts w:ascii="Times New Roman" w:hAnsi="Times New Roman" w:eastAsia="標楷體"/>
                <w:b w:val="0"/>
                <w:sz w:val="16"/>
              </w:rPr>
              <w:t>用水密集度</w:t>
            </w:r>
          </w:p>
        </w:tc>
        <w:tc>
          <w:tcPr>
            <w:tcW w:type="dxa" w:w="1440"/>
            <w:tcBorders>
              <w:bottom w:val="single" w:sz="12" w:space="0" w:color="000000"/>
            </w:tcBorders>
          </w:tcPr>
          <w:p>
            <w:pPr>
              <w:jc w:val="left"/>
            </w:pPr>
            <w:r/>
            <w:r>
              <w:rPr>
                <w:rFonts w:ascii="Times New Roman" w:hAnsi="Times New Roman" w:eastAsia="標楷體"/>
                <w:b w:val="0"/>
                <w:sz w:val="16"/>
              </w:rPr>
              <w:t>低耗水</w:t>
            </w:r>
          </w:p>
        </w:tc>
        <w:tc>
          <w:tcPr>
            <w:tcW w:type="dxa" w:w="1440"/>
            <w:tcBorders>
              <w:bottom w:val="single" w:sz="12" w:space="0" w:color="000000"/>
            </w:tcBorders>
          </w:tcPr>
          <w:p>
            <w:pPr>
              <w:jc w:val="left"/>
            </w:pPr>
            <w:r/>
            <w:r>
              <w:rPr>
                <w:rFonts w:ascii="Times New Roman" w:hAnsi="Times New Roman" w:eastAsia="標楷體"/>
                <w:b w:val="0"/>
                <w:sz w:val="16"/>
              </w:rPr>
              <w:t>t-2</w:t>
            </w:r>
          </w:p>
        </w:tc>
        <w:tc>
          <w:tcPr>
            <w:tcW w:type="dxa" w:w="1440"/>
            <w:tcBorders>
              <w:bottom w:val="single" w:sz="12" w:space="0" w:color="000000"/>
            </w:tcBorders>
          </w:tcPr>
          <w:p>
            <w:pPr>
              <w:jc w:val="center"/>
            </w:pPr>
            <w:r/>
            <w:r>
              <w:rPr>
                <w:rFonts w:ascii="Times New Roman" w:hAnsi="Times New Roman" w:eastAsia="標楷體"/>
                <w:b w:val="0"/>
                <w:sz w:val="16"/>
              </w:rPr>
              <w:t>-0.4459**</w:t>
            </w:r>
          </w:p>
        </w:tc>
        <w:tc>
          <w:tcPr>
            <w:tcW w:type="dxa" w:w="1440"/>
            <w:tcBorders>
              <w:bottom w:val="single" w:sz="12" w:space="0" w:color="000000"/>
            </w:tcBorders>
          </w:tcPr>
          <w:p>
            <w:pPr>
              <w:jc w:val="center"/>
            </w:pPr>
            <w:r/>
            <w:r>
              <w:rPr>
                <w:rFonts w:ascii="Times New Roman" w:hAnsi="Times New Roman" w:eastAsia="標楷體"/>
                <w:b w:val="0"/>
                <w:sz w:val="16"/>
              </w:rPr>
              <w:t>-0.0113</w:t>
            </w:r>
          </w:p>
        </w:tc>
        <w:tc>
          <w:tcPr>
            <w:tcW w:type="dxa" w:w="1440"/>
            <w:tcBorders>
              <w:bottom w:val="single" w:sz="12" w:space="0" w:color="000000"/>
            </w:tcBorders>
          </w:tcPr>
          <w:p>
            <w:pPr>
              <w:jc w:val="center"/>
            </w:pPr>
            <w:r/>
            <w:r>
              <w:rPr>
                <w:rFonts w:ascii="Times New Roman" w:hAnsi="Times New Roman" w:eastAsia="標楷體"/>
                <w:b w:val="0"/>
                <w:sz w:val="16"/>
              </w:rPr>
              <w:t>2,910</w:t>
            </w:r>
          </w:p>
        </w:tc>
      </w:tr>
    </w:tbl>
    <w:p>
      <w:pPr>
        <w:pStyle w:val="Heading1"/>
        <w:jc w:val="center"/>
      </w:pPr>
      <w:r>
        <w:rPr>
          <w:rFonts w:ascii="Times New Roman" w:hAnsi="Times New Roman" w:eastAsia="標楷體"/>
          <w:b/>
          <w:sz w:val="32"/>
        </w:rPr>
        <w:t>結論</w:t>
      </w:r>
    </w:p>
    <w:p>
      <w:pPr>
        <w:pStyle w:val="Heading2"/>
      </w:pPr>
      <w:r>
        <w:rPr>
          <w:rFonts w:ascii="Times New Roman" w:hAnsi="Times New Roman" w:eastAsia="標楷體"/>
          <w:b/>
          <w:sz w:val="28"/>
        </w:rPr>
        <w:t>研究結論</w:t>
      </w:r>
    </w:p>
    <w:p>
      <w:pPr>
        <w:spacing w:line="360" w:lineRule="auto"/>
        <w:ind w:firstLine="480"/>
      </w:pPr>
      <w:r>
        <w:rPr>
          <w:rFonts w:ascii="Times New Roman" w:hAnsi="Times New Roman" w:eastAsia="標楷體"/>
          <w:b w:val="0"/>
          <w:sz w:val="24"/>
        </w:rPr>
        <w:t>本研究以 2014 至 2024 年台灣上市櫃製造業為樣本（16,661 個公司—年觀測值），基於 Anderson, Banker and Janakiraman (2003) 成本僵固性模型，實證檢驗水資源與廢棄物管理之「實質使用密集度」、「資訊揭露」及「違規裁罰」對成本黏性之調節效果。研究結果歸納如下：第一，台灣製造業普遍存在顯著之成本黏性，當營業收入下滑時，營業費用向下調整之幅度顯著小於營收上升時增加之幅度。第二，在環境實質投入方面，「用水密集度」在高耗水／高污染產業當期呈顯著加劇效果（β3 = -0.0914, p &lt; 0.05），證實企業單位營收之取水與廢水處置需求越高，對專用水設施之剛性綁定越深，致使營收下降時費用更難即時削減；「廢棄物密集度」則在高污染產業遞延一期呈顯著加劇（β3 = -0.0503, p &lt; 0.10），反映廢棄物處置合約與專用處置設施調整具備時間落差特徵。第三，資訊揭露（水揭露、廢棄物揭露品質）之調節效果均未達顯著水準；且在改採學術嚴謹之「裁罰金額佔資產」連續指標後，環境違規裁罰對成本黏性亦無顯著影響，成功修正過去採離散「罰鍰次數」受單一極端值扭曲之偽顯著偏誤。</w:t>
      </w:r>
    </w:p>
    <w:p>
      <w:pPr>
        <w:pStyle w:val="Heading2"/>
      </w:pPr>
      <w:r>
        <w:rPr>
          <w:rFonts w:ascii="Times New Roman" w:hAnsi="Times New Roman" w:eastAsia="標楷體"/>
          <w:b/>
          <w:sz w:val="28"/>
        </w:rPr>
        <w:t>理論與學術貢獻</w:t>
      </w:r>
    </w:p>
    <w:p>
      <w:pPr>
        <w:spacing w:line="360" w:lineRule="auto"/>
        <w:ind w:firstLine="480"/>
      </w:pPr>
      <w:r>
        <w:rPr>
          <w:rFonts w:ascii="Times New Roman" w:hAnsi="Times New Roman" w:eastAsia="標楷體"/>
          <w:b w:val="0"/>
          <w:sz w:val="24"/>
        </w:rPr>
        <w:t>本研究之學術貢獻包含三方面：首先，將環境因素對成本行為之影響，由過去抽象之整體 ESG 或 CSR 評分，推進至可量化、具高度檢定力之「環境資源實質使用密集度」，證實實質調整成本比單純資訊揭露具備更直接之決定力，充實了調整成本理論在環境情境下之實證基石。其次，結合「時間落差」與「高／低污染產業異質性」，揭示環境成本行為具「高污染產業依存與遞延發酵」之特徵，克服過去全樣本當期估計所生之效果稀釋問題。最後，本研究釐清了過去文獻採用「罰鍰次數」計數變數易受單一 366 次極端值扭曲之偏誤，改採連續「金額佔資產」標準化衡量後得出穩健結論，展現衡量之學術嚴謹度。</w:t>
      </w:r>
    </w:p>
    <w:p>
      <w:pPr>
        <w:pStyle w:val="Heading2"/>
      </w:pPr>
      <w:r>
        <w:rPr>
          <w:rFonts w:ascii="Times New Roman" w:hAnsi="Times New Roman" w:eastAsia="標楷體"/>
          <w:b/>
          <w:sz w:val="28"/>
        </w:rPr>
        <w:t>管理與政策意涵</w:t>
      </w:r>
    </w:p>
    <w:p>
      <w:pPr>
        <w:spacing w:line="360" w:lineRule="auto"/>
        <w:ind w:firstLine="480"/>
      </w:pPr>
      <w:r>
        <w:rPr>
          <w:rFonts w:ascii="Times New Roman" w:hAnsi="Times New Roman" w:eastAsia="標楷體"/>
          <w:b w:val="0"/>
          <w:sz w:val="24"/>
        </w:rPr>
        <w:t>在管理實務上，本研究提示高環境使用密集度企業（如半導體、化工、造紙等），專用處置設施與長期處置合約將於景氣下行時形成營運剛性負擔，降低費用調整彈性；管理者於資本配置與產能規劃時宜將此僵固性風險納入考量，並透過製程水循環與資源減量投資解開對環境資源之剛性依賴。在政策建議上，建議主管機關（金管會與環境部）強化高污染產業「用水與廢棄物密集度」之標準化揭露規範；同時鼓勵金融機構將實質使用密集度納入永續融資與企業營運韌性評估指標，而非僅依賴揭露有無或開罰次數。</w:t>
      </w:r>
    </w:p>
    <w:p>
      <w:pPr>
        <w:pStyle w:val="Heading2"/>
      </w:pPr>
      <w:r>
        <w:rPr>
          <w:rFonts w:ascii="Times New Roman" w:hAnsi="Times New Roman" w:eastAsia="標楷體"/>
          <w:b/>
          <w:sz w:val="28"/>
        </w:rPr>
        <w:t>研究限制與未來研究方向</w:t>
      </w:r>
    </w:p>
    <w:p>
      <w:pPr>
        <w:spacing w:line="360" w:lineRule="auto"/>
        <w:ind w:firstLine="480"/>
      </w:pPr>
      <w:r>
        <w:rPr>
          <w:rFonts w:ascii="Times New Roman" w:hAnsi="Times New Roman" w:eastAsia="標楷體"/>
          <w:b w:val="0"/>
          <w:sz w:val="24"/>
        </w:rPr>
        <w:t>本研究存在些許限制：第一，實證樣本集中於台灣上市櫃製造業，結果受在地產業結構與法規規範影響，未來可延伸至其他國家進行跨國比較；第二，管理者之心理預期與內部資源調整決策過程無法直接觀察，機制詮釋仍屬間接推論。未來研究可由以下方向深化：一者，擴展至碳排放密集度（範疇一至範疇三）等其他環境指標；二者，結合外生事件（如 2021 年台灣大旱或環境法規修訂）採雙重差分法（DiD）強化因果識別；三者，檢視資本市場與信用評級是否對環境使用密集度引致之成本黏性給予風險溢價，進一步分析其經濟後果。</w:t>
      </w:r>
    </w:p>
    <w:p>
      <w:pPr>
        <w:pStyle w:val="Heading1"/>
        <w:jc w:val="center"/>
      </w:pPr>
      <w:r>
        <w:rPr>
          <w:rFonts w:ascii="Times New Roman" w:hAnsi="Times New Roman" w:eastAsia="標楷體"/>
          <w:b/>
          <w:sz w:val="32"/>
        </w:rPr>
        <w:t>參考文獻</w:t>
      </w:r>
    </w:p>
    <w:p>
      <w:pPr>
        <w:spacing w:line="360" w:lineRule="auto"/>
      </w:pPr>
      <w:r>
        <w:rPr>
          <w:rFonts w:ascii="Times New Roman" w:hAnsi="Times New Roman" w:eastAsia="標楷體"/>
          <w:b w:val="0"/>
          <w:sz w:val="24"/>
        </w:rPr>
        <w:t>（採統一編號，內文以 [n] 對應；[1]–[3] 為核心理論與模型來源，[4] 起為國內相關碩博士論文，依年份新到舊。）</w:t>
      </w:r>
    </w:p>
    <w:p>
      <w:pPr>
        <w:spacing w:line="360" w:lineRule="auto"/>
      </w:pPr>
      <w:r>
        <w:rPr>
          <w:rFonts w:ascii="Times New Roman" w:hAnsi="Times New Roman" w:eastAsia="標楷體"/>
          <w:b w:val="0"/>
          <w:sz w:val="24"/>
        </w:rPr>
        <w:t>[1] Anderson, M. C., Banker, R. D., &amp; Janakiraman, S. N. (2003). Are selling, general, and administrative costs “sticky”? Journal of Accounting Research, 41(1), 47–63.</w:t>
      </w:r>
    </w:p>
    <w:p>
      <w:pPr>
        <w:spacing w:line="360" w:lineRule="auto"/>
      </w:pPr>
      <w:r>
        <w:rPr>
          <w:rFonts w:ascii="Times New Roman" w:hAnsi="Times New Roman" w:eastAsia="標楷體"/>
          <w:b w:val="0"/>
          <w:sz w:val="24"/>
        </w:rPr>
        <w:t>[2] Zeng, J., Peng, M., &amp; Chan, K. C. The impact of low-carbon city policy on corporate cost stickiness.</w:t>
      </w:r>
    </w:p>
    <w:p>
      <w:pPr>
        <w:spacing w:line="360" w:lineRule="auto"/>
      </w:pPr>
      <w:r>
        <w:rPr>
          <w:rFonts w:ascii="Times New Roman" w:hAnsi="Times New Roman" w:eastAsia="標楷體"/>
          <w:b w:val="0"/>
          <w:sz w:val="24"/>
        </w:rPr>
        <w:t>[3] Jiang, W., &amp; Yang, W. (2024). ESG disclosure and corporate cost stickiness: Evidence from supply-chain relationships. Economics Letters, 238, 111697.</w:t>
      </w:r>
    </w:p>
    <w:p>
      <w:pPr>
        <w:spacing w:line="360" w:lineRule="auto"/>
      </w:pPr>
      <w:r>
        <w:rPr>
          <w:rFonts w:ascii="Times New Roman" w:hAnsi="Times New Roman" w:eastAsia="標楷體"/>
          <w:b w:val="0"/>
          <w:sz w:val="24"/>
        </w:rPr>
        <w:t>[4] 李亞峮（2026）。ESG負面事件與媒體報導對ESG績效與盈餘管理間之關聯的調節效果。國立臺北大學會計學系碩士論文。</w:t>
      </w:r>
    </w:p>
    <w:p>
      <w:pPr>
        <w:spacing w:line="360" w:lineRule="auto"/>
      </w:pPr>
      <w:r>
        <w:rPr>
          <w:rFonts w:ascii="Times New Roman" w:hAnsi="Times New Roman" w:eastAsia="標楷體"/>
          <w:b w:val="0"/>
          <w:sz w:val="24"/>
        </w:rPr>
        <w:t>[5] 劉翠山（2026）。人力資本、ESG績效(S)、ESG重大性揭露與企業市場價值關係之調節型中介模型探討。銘傳大學會計學系碩士論文。</w:t>
      </w:r>
    </w:p>
    <w:p>
      <w:pPr>
        <w:spacing w:line="360" w:lineRule="auto"/>
      </w:pPr>
      <w:r>
        <w:rPr>
          <w:rFonts w:ascii="Times New Roman" w:hAnsi="Times New Roman" w:eastAsia="標楷體"/>
          <w:b w:val="0"/>
          <w:sz w:val="24"/>
        </w:rPr>
        <w:t>[6] 吳東蓄（2026）。ESG績效對代理成本之影響。靜宜大學會計學系碩士論文。</w:t>
      </w:r>
    </w:p>
    <w:p>
      <w:pPr>
        <w:spacing w:line="360" w:lineRule="auto"/>
      </w:pPr>
      <w:r>
        <w:rPr>
          <w:rFonts w:ascii="Times New Roman" w:hAnsi="Times New Roman" w:eastAsia="標楷體"/>
          <w:b w:val="0"/>
          <w:sz w:val="24"/>
        </w:rPr>
        <w:t>[7] 戴郁樺（2026）。ESG投入、金融創新與綠色創新對銀行風險與績效管理之影響。朝陽科技大學財務金融系碩士論文。</w:t>
      </w:r>
    </w:p>
    <w:p>
      <w:pPr>
        <w:spacing w:line="360" w:lineRule="auto"/>
      </w:pPr>
      <w:r>
        <w:rPr>
          <w:rFonts w:ascii="Times New Roman" w:hAnsi="Times New Roman" w:eastAsia="標楷體"/>
          <w:b w:val="0"/>
          <w:sz w:val="24"/>
        </w:rPr>
        <w:t>[8] 楊宜蓁（2026）。ESG及負債比率對企業信用風險之關聯性研究——以台灣上市電子業為例。國立彰化師範大學財務金融技術學系碩士論文。</w:t>
      </w:r>
    </w:p>
    <w:p>
      <w:pPr>
        <w:spacing w:line="360" w:lineRule="auto"/>
      </w:pPr>
      <w:r>
        <w:rPr>
          <w:rFonts w:ascii="Times New Roman" w:hAnsi="Times New Roman" w:eastAsia="標楷體"/>
          <w:b w:val="0"/>
          <w:sz w:val="24"/>
        </w:rPr>
        <w:t>[9] 楊珆佳（2026）。臺灣金控公司ESG、金融健全指標與巴塞爾協定風險性之研究。靜宜大學會計學系碩士論文。</w:t>
      </w:r>
    </w:p>
    <w:p>
      <w:pPr>
        <w:spacing w:line="360" w:lineRule="auto"/>
      </w:pPr>
      <w:r>
        <w:rPr>
          <w:rFonts w:ascii="Times New Roman" w:hAnsi="Times New Roman" w:eastAsia="標楷體"/>
          <w:b w:val="0"/>
          <w:sz w:val="24"/>
        </w:rPr>
        <w:t>[10] 富得運（2026）。ESG風險管理與企業財務績效：新興市場中企業規模之調節效果。正修科技大學工業工程與管理碩士班碩士論文。</w:t>
      </w:r>
    </w:p>
    <w:p>
      <w:pPr>
        <w:spacing w:line="360" w:lineRule="auto"/>
      </w:pPr>
      <w:r>
        <w:rPr>
          <w:rFonts w:ascii="Times New Roman" w:hAnsi="Times New Roman" w:eastAsia="標楷體"/>
          <w:b w:val="0"/>
          <w:sz w:val="24"/>
        </w:rPr>
        <w:t>[11] 毛祚祥（2026）。探討台灣上市櫃觀光餐旅類股企業ESG指標、系統性風險與財務績效之關係。國立高雄科技大學觀光管理系碩士論文。</w:t>
      </w:r>
    </w:p>
    <w:p>
      <w:pPr>
        <w:spacing w:line="360" w:lineRule="auto"/>
      </w:pPr>
      <w:r>
        <w:rPr>
          <w:rFonts w:ascii="Times New Roman" w:hAnsi="Times New Roman" w:eastAsia="標楷體"/>
          <w:b w:val="0"/>
          <w:sz w:val="24"/>
        </w:rPr>
        <w:t>[12] 陳俊佑（2026）。ESG績效與盈餘的價值攸關性之影響。國防大學管理學院財務管理學系碩士論文。</w:t>
      </w:r>
    </w:p>
    <w:p>
      <w:pPr>
        <w:spacing w:line="360" w:lineRule="auto"/>
      </w:pPr>
      <w:r>
        <w:rPr>
          <w:rFonts w:ascii="Times New Roman" w:hAnsi="Times New Roman" w:eastAsia="標楷體"/>
          <w:b w:val="0"/>
          <w:sz w:val="24"/>
        </w:rPr>
        <w:t>[13] 許嘉芸（2026）。企業資源密集度管理對財務績效與ESG效率的影響。國立陽明交通大學經營管理研究所碩士論文。</w:t>
      </w:r>
    </w:p>
    <w:p>
      <w:pPr>
        <w:spacing w:line="360" w:lineRule="auto"/>
      </w:pPr>
      <w:r>
        <w:rPr>
          <w:rFonts w:ascii="Times New Roman" w:hAnsi="Times New Roman" w:eastAsia="標楷體"/>
          <w:b w:val="0"/>
          <w:sz w:val="24"/>
        </w:rPr>
        <w:t>[14] 楊博勝（2026）。ESG資訊之揭露對於企業特有風險之影響：以台灣上市櫃公司為例。國立陽明交通大學經營管理研究所博士論文。</w:t>
      </w:r>
    </w:p>
    <w:p>
      <w:pPr>
        <w:spacing w:line="360" w:lineRule="auto"/>
      </w:pPr>
      <w:r>
        <w:rPr>
          <w:rFonts w:ascii="Times New Roman" w:hAnsi="Times New Roman" w:eastAsia="標楷體"/>
          <w:b w:val="0"/>
          <w:sz w:val="24"/>
        </w:rPr>
        <w:t>[15] 蘇姿云（2026）。ESG對盈餘管理的抑制效果：家族企業的差異分析。國立成功大學財務金融研究所碩士論文。</w:t>
      </w:r>
    </w:p>
    <w:p>
      <w:pPr>
        <w:spacing w:line="360" w:lineRule="auto"/>
      </w:pPr>
      <w:r>
        <w:rPr>
          <w:rFonts w:ascii="Times New Roman" w:hAnsi="Times New Roman" w:eastAsia="標楷體"/>
          <w:b w:val="0"/>
          <w:sz w:val="24"/>
        </w:rPr>
        <w:t>[16] 張岑華（2026）。ESG績效與漂綠對權益資金成本之影響：以台灣為例。世新大學財務金融學系碩士論文。</w:t>
      </w:r>
    </w:p>
    <w:p>
      <w:pPr>
        <w:spacing w:line="360" w:lineRule="auto"/>
      </w:pPr>
      <w:r>
        <w:rPr>
          <w:rFonts w:ascii="Times New Roman" w:hAnsi="Times New Roman" w:eastAsia="標楷體"/>
          <w:b w:val="0"/>
          <w:sz w:val="24"/>
        </w:rPr>
        <w:t>[17] 張筱婕（2026）。漂綠行為對企業ESG之影響：媒體揭露的調節效果。世新大學財務金融學系碩士論文。</w:t>
      </w:r>
    </w:p>
    <w:p>
      <w:pPr>
        <w:spacing w:line="360" w:lineRule="auto"/>
      </w:pPr>
      <w:r>
        <w:rPr>
          <w:rFonts w:ascii="Times New Roman" w:hAnsi="Times New Roman" w:eastAsia="標楷體"/>
          <w:b w:val="0"/>
          <w:sz w:val="24"/>
        </w:rPr>
        <w:t>[18] 張凱瑜（2025）。成本僵固性與企業風險關聯性之研究——以台灣上市櫃公司為例。朝陽科技大學會計系碩士論文。</w:t>
      </w:r>
    </w:p>
    <w:p>
      <w:pPr>
        <w:spacing w:line="360" w:lineRule="auto"/>
      </w:pPr>
      <w:r>
        <w:rPr>
          <w:rFonts w:ascii="Times New Roman" w:hAnsi="Times New Roman" w:eastAsia="標楷體"/>
          <w:b w:val="0"/>
          <w:sz w:val="24"/>
        </w:rPr>
        <w:t>[19] 王惠洳（2025）。獨立董事連結關係與成本僵固性之關聯。國立臺中科技大學會計資訊系碩士論文。</w:t>
      </w:r>
    </w:p>
    <w:p>
      <w:pPr>
        <w:spacing w:line="360" w:lineRule="auto"/>
      </w:pPr>
      <w:r>
        <w:rPr>
          <w:rFonts w:ascii="Times New Roman" w:hAnsi="Times New Roman" w:eastAsia="標楷體"/>
          <w:b w:val="0"/>
          <w:sz w:val="24"/>
        </w:rPr>
        <w:t>[20] 陳思婷（2025）。移轉訂價操弄與成本僵固性間之關聯性。天主教輔仁大學會計學系碩士論文。</w:t>
      </w:r>
    </w:p>
    <w:p>
      <w:pPr>
        <w:spacing w:line="360" w:lineRule="auto"/>
      </w:pPr>
      <w:r>
        <w:rPr>
          <w:rFonts w:ascii="Times New Roman" w:hAnsi="Times New Roman" w:eastAsia="標楷體"/>
          <w:b w:val="0"/>
          <w:sz w:val="24"/>
        </w:rPr>
        <w:t>[21] 辛珏辰（2025）。ESG活動與成本僵固性——兼論COVID-19的影響。國立成功大學會計學系碩士論文。</w:t>
      </w:r>
    </w:p>
    <w:p>
      <w:pPr>
        <w:spacing w:line="360" w:lineRule="auto"/>
      </w:pPr>
      <w:r>
        <w:rPr>
          <w:rFonts w:ascii="Times New Roman" w:hAnsi="Times New Roman" w:eastAsia="標楷體"/>
          <w:b w:val="0"/>
          <w:sz w:val="24"/>
        </w:rPr>
        <w:t>[22] 張湘泓（2025）。企業併購時商定留用權之勞工權益強化——由ESG觀點出發。國立臺灣大學法律學系碩士論文。</w:t>
      </w:r>
    </w:p>
    <w:p>
      <w:pPr>
        <w:spacing w:line="360" w:lineRule="auto"/>
      </w:pPr>
      <w:r>
        <w:rPr>
          <w:rFonts w:ascii="Times New Roman" w:hAnsi="Times New Roman" w:eastAsia="標楷體"/>
          <w:b w:val="0"/>
          <w:sz w:val="24"/>
        </w:rPr>
        <w:t>[23] 魏郁芳（2025）。企業內部因素與外部壓力對水資源揭露之關聯性研究：以臺灣上市櫃公司為例。國立臺灣師範大學永續管理與環境教育研究所碩士論文。</w:t>
      </w:r>
    </w:p>
    <w:p>
      <w:pPr>
        <w:spacing w:line="360" w:lineRule="auto"/>
      </w:pPr>
      <w:r>
        <w:rPr>
          <w:rFonts w:ascii="Times New Roman" w:hAnsi="Times New Roman" w:eastAsia="標楷體"/>
          <w:b w:val="0"/>
          <w:sz w:val="24"/>
        </w:rPr>
        <w:t>[24] 鍾文淇（2025）。影響一般廢棄物回收率成效之研究：以直轄市為例。國立臺北大學公共行政暨政策學系碩士論文。</w:t>
      </w:r>
    </w:p>
    <w:p>
      <w:pPr>
        <w:spacing w:line="360" w:lineRule="auto"/>
      </w:pPr>
      <w:r>
        <w:rPr>
          <w:rFonts w:ascii="Times New Roman" w:hAnsi="Times New Roman" w:eastAsia="標楷體"/>
          <w:b w:val="0"/>
          <w:sz w:val="24"/>
        </w:rPr>
        <w:t>[25] 李依潔（2024）。環境構面永續發展指標、企業策略與成本僵固性。中原大學會計學系碩士論文。</w:t>
      </w:r>
    </w:p>
    <w:p>
      <w:pPr>
        <w:spacing w:line="360" w:lineRule="auto"/>
      </w:pPr>
      <w:r>
        <w:rPr>
          <w:rFonts w:ascii="Times New Roman" w:hAnsi="Times New Roman" w:eastAsia="標楷體"/>
          <w:b w:val="0"/>
          <w:sz w:val="24"/>
        </w:rPr>
        <w:t>[26] 陳樸（2024）。台灣上市食品公司水資源永續績效評量方法之研究。國立臺灣大學環境工程學研究所碩士論文。</w:t>
      </w:r>
    </w:p>
    <w:p>
      <w:pPr>
        <w:spacing w:line="360" w:lineRule="auto"/>
      </w:pPr>
      <w:r>
        <w:rPr>
          <w:rFonts w:ascii="Times New Roman" w:hAnsi="Times New Roman" w:eastAsia="標楷體"/>
          <w:b w:val="0"/>
          <w:sz w:val="24"/>
        </w:rPr>
        <w:t>[27] 顏宥盈（2024）。成本僵固性與內外部監督效果之探討。國立臺中科技大學會計資訊系碩士論文。</w:t>
      </w:r>
    </w:p>
    <w:p>
      <w:pPr>
        <w:spacing w:line="360" w:lineRule="auto"/>
      </w:pPr>
      <w:r>
        <w:rPr>
          <w:rFonts w:ascii="Times New Roman" w:hAnsi="Times New Roman" w:eastAsia="標楷體"/>
          <w:b w:val="0"/>
          <w:sz w:val="24"/>
        </w:rPr>
        <w:t>[28] 謝雅筑（2024）。飛行員CEO與成本僵固性。國立成功大學財務金融研究所碩士論文。</w:t>
      </w:r>
    </w:p>
    <w:p>
      <w:pPr>
        <w:spacing w:line="360" w:lineRule="auto"/>
      </w:pPr>
      <w:r>
        <w:rPr>
          <w:rFonts w:ascii="Times New Roman" w:hAnsi="Times New Roman" w:eastAsia="標楷體"/>
          <w:b w:val="0"/>
          <w:sz w:val="24"/>
        </w:rPr>
        <w:t>[29] 張芳瑜（2023）。成本僵固性對企業績效之影響——以總體經濟變數為調節變數。國立中興大學企業管理學系碩士論文。</w:t>
      </w:r>
    </w:p>
    <w:p>
      <w:pPr>
        <w:spacing w:line="360" w:lineRule="auto"/>
      </w:pPr>
      <w:r>
        <w:rPr>
          <w:rFonts w:ascii="Times New Roman" w:hAnsi="Times New Roman" w:eastAsia="標楷體"/>
          <w:b w:val="0"/>
          <w:sz w:val="24"/>
        </w:rPr>
        <w:t>[30] 張宸杰（2023）。內部控制、財務危機對成本僵固性之影響。國立臺中科技大學會計資訊系碩士論文。</w:t>
      </w:r>
    </w:p>
    <w:p>
      <w:pPr>
        <w:spacing w:line="360" w:lineRule="auto"/>
      </w:pPr>
      <w:r>
        <w:rPr>
          <w:rFonts w:ascii="Times New Roman" w:hAnsi="Times New Roman" w:eastAsia="標楷體"/>
          <w:b w:val="0"/>
          <w:sz w:val="24"/>
        </w:rPr>
        <w:t>[31] 劉佳熒（2022）。供應鏈關係對供應商之成本行為的影響。亞洲大學經營管理學系博士論文。</w:t>
      </w:r>
    </w:p>
    <w:p>
      <w:pPr>
        <w:spacing w:line="360" w:lineRule="auto"/>
      </w:pPr>
      <w:r>
        <w:rPr>
          <w:rFonts w:ascii="Times New Roman" w:hAnsi="Times New Roman" w:eastAsia="標楷體"/>
          <w:b w:val="0"/>
          <w:sz w:val="24"/>
        </w:rPr>
        <w:t>[32] 邱圓雅（2020）。內部債與成本僵固性之關聯性。國立臺北商業大學會計財稅碩士班碩士論文。</w:t>
      </w:r>
    </w:p>
    <w:p>
      <w:pPr>
        <w:spacing w:line="360" w:lineRule="auto"/>
      </w:pPr>
      <w:r>
        <w:rPr>
          <w:rFonts w:ascii="Times New Roman" w:hAnsi="Times New Roman" w:eastAsia="標楷體"/>
          <w:b w:val="0"/>
          <w:sz w:val="24"/>
        </w:rPr>
        <w:t>[33] 鄭紹君（2018）。企業社會責任活動與成本僵固性之關聯——以企業社會責任願景調節。國立中央大學會計研究所碩士論文。</w:t>
      </w:r>
    </w:p>
    <w:p>
      <w:pPr>
        <w:pStyle w:val="Heading1"/>
        <w:jc w:val="center"/>
      </w:pPr>
      <w:r>
        <w:rPr>
          <w:rFonts w:ascii="Times New Roman" w:hAnsi="Times New Roman" w:eastAsia="標楷體"/>
          <w:b/>
          <w:sz w:val="32"/>
        </w:rPr>
        <w:t>附錄：變數定義</w:t>
      </w:r>
    </w:p>
    <w:tbl>
      <w:tblPr>
        <w:tblW w:type="auto" w:w="0"/>
        <w:tblLook w:firstColumn="1" w:firstRow="1" w:lastColumn="0" w:lastRow="0" w:noHBand="0" w:noVBand="1" w:val="04A0"/>
      </w:tblPr>
      <w:tblGrid>
        <w:gridCol w:w="4320"/>
        <w:gridCol w:w="4320"/>
      </w:tblGrid>
      <w:tr>
        <w:tc>
          <w:tcPr>
            <w:tcW w:type="dxa" w:w="4320"/>
            <w:tcBorders>
              <w:top w:val="single" w:sz="12" w:space="0" w:color="000000"/>
              <w:bottom w:val="single" w:sz="6" w:space="0" w:color="000000"/>
            </w:tcBorders>
          </w:tcPr>
          <w:p>
            <w:pPr>
              <w:jc w:val="center"/>
            </w:pPr>
            <w:r/>
            <w:r>
              <w:rPr>
                <w:rFonts w:ascii="Times New Roman" w:hAnsi="Times New Roman" w:eastAsia="標楷體"/>
                <w:b/>
                <w:sz w:val="20"/>
              </w:rPr>
              <w:t>變數名稱</w:t>
            </w:r>
          </w:p>
        </w:tc>
        <w:tc>
          <w:tcPr>
            <w:tcW w:type="dxa" w:w="4320"/>
            <w:tcBorders>
              <w:top w:val="single" w:sz="12" w:space="0" w:color="000000"/>
              <w:bottom w:val="single" w:sz="6" w:space="0" w:color="000000"/>
            </w:tcBorders>
          </w:tcPr>
          <w:p>
            <w:pPr>
              <w:jc w:val="center"/>
            </w:pPr>
            <w:r/>
            <w:r>
              <w:rPr>
                <w:rFonts w:ascii="Times New Roman" w:hAnsi="Times New Roman" w:eastAsia="標楷體"/>
                <w:b/>
                <w:sz w:val="20"/>
              </w:rPr>
              <w:t>定義</w:t>
            </w:r>
          </w:p>
        </w:tc>
      </w:tr>
      <w:tr>
        <w:tc>
          <w:tcPr>
            <w:tcW w:type="dxa" w:w="4320"/>
          </w:tcPr>
          <w:p>
            <w:pPr>
              <w:jc w:val="left"/>
            </w:pPr>
            <w:r/>
            <w:r>
              <w:rPr>
                <w:rFonts w:ascii="Times New Roman" w:hAnsi="Times New Roman" w:eastAsia="標楷體"/>
                <w:b w:val="0"/>
                <w:sz w:val="18"/>
              </w:rPr>
              <w:t>ΔLNSGA</w:t>
            </w:r>
          </w:p>
        </w:tc>
        <w:tc>
          <w:tcPr>
            <w:tcW w:type="dxa" w:w="4320"/>
          </w:tcPr>
          <w:p>
            <w:pPr>
              <w:jc w:val="left"/>
            </w:pPr>
            <w:r/>
            <w:r>
              <w:rPr>
                <w:rFonts w:ascii="Times New Roman" w:hAnsi="Times New Roman" w:eastAsia="標楷體"/>
                <w:b w:val="0"/>
                <w:sz w:val="18"/>
              </w:rPr>
              <w:t>LN(本期營業費用) − LN(前期營業費用)</w:t>
            </w:r>
          </w:p>
        </w:tc>
      </w:tr>
      <w:tr>
        <w:tc>
          <w:tcPr>
            <w:tcW w:type="dxa" w:w="4320"/>
          </w:tcPr>
          <w:p>
            <w:pPr>
              <w:jc w:val="left"/>
            </w:pPr>
            <w:r/>
            <w:r>
              <w:rPr>
                <w:rFonts w:ascii="Times New Roman" w:hAnsi="Times New Roman" w:eastAsia="標楷體"/>
                <w:b w:val="0"/>
                <w:sz w:val="18"/>
              </w:rPr>
              <w:t>ΔLNREV</w:t>
            </w:r>
          </w:p>
        </w:tc>
        <w:tc>
          <w:tcPr>
            <w:tcW w:type="dxa" w:w="4320"/>
          </w:tcPr>
          <w:p>
            <w:pPr>
              <w:jc w:val="left"/>
            </w:pPr>
            <w:r/>
            <w:r>
              <w:rPr>
                <w:rFonts w:ascii="Times New Roman" w:hAnsi="Times New Roman" w:eastAsia="標楷體"/>
                <w:b w:val="0"/>
                <w:sz w:val="18"/>
              </w:rPr>
              <w:t>LN(本期營業收入淨額) − LN(前期營業收入淨額)</w:t>
            </w:r>
          </w:p>
        </w:tc>
      </w:tr>
      <w:tr>
        <w:tc>
          <w:tcPr>
            <w:tcW w:type="dxa" w:w="4320"/>
          </w:tcPr>
          <w:p>
            <w:pPr>
              <w:jc w:val="left"/>
            </w:pPr>
            <w:r/>
            <w:r>
              <w:rPr>
                <w:rFonts w:ascii="Times New Roman" w:hAnsi="Times New Roman" w:eastAsia="標楷體"/>
                <w:b w:val="0"/>
                <w:sz w:val="18"/>
              </w:rPr>
              <w:t>D</w:t>
            </w:r>
          </w:p>
        </w:tc>
        <w:tc>
          <w:tcPr>
            <w:tcW w:type="dxa" w:w="4320"/>
          </w:tcPr>
          <w:p>
            <w:pPr>
              <w:jc w:val="left"/>
            </w:pPr>
            <w:r/>
            <w:r>
              <w:rPr>
                <w:rFonts w:ascii="Times New Roman" w:hAnsi="Times New Roman" w:eastAsia="標楷體"/>
                <w:b w:val="0"/>
                <w:sz w:val="18"/>
              </w:rPr>
              <w:t>收入下降虛擬：本期營收&lt;前期營收=1，否則0</w:t>
            </w:r>
          </w:p>
        </w:tc>
      </w:tr>
      <w:tr>
        <w:tc>
          <w:tcPr>
            <w:tcW w:type="dxa" w:w="4320"/>
          </w:tcPr>
          <w:p>
            <w:pPr>
              <w:jc w:val="left"/>
            </w:pPr>
            <w:r/>
            <w:r>
              <w:rPr>
                <w:rFonts w:ascii="Times New Roman" w:hAnsi="Times New Roman" w:eastAsia="標楷體"/>
                <w:b w:val="0"/>
                <w:sz w:val="18"/>
              </w:rPr>
              <w:t>Water_Rate</w:t>
            </w:r>
          </w:p>
        </w:tc>
        <w:tc>
          <w:tcPr>
            <w:tcW w:type="dxa" w:w="4320"/>
          </w:tcPr>
          <w:p>
            <w:pPr>
              <w:jc w:val="left"/>
            </w:pPr>
            <w:r/>
            <w:r>
              <w:rPr>
                <w:rFonts w:ascii="Times New Roman" w:hAnsi="Times New Roman" w:eastAsia="標楷體"/>
                <w:b w:val="0"/>
                <w:sz w:val="18"/>
              </w:rPr>
              <w:t>水回收率%（TESG 企業用水量）</w:t>
            </w:r>
          </w:p>
        </w:tc>
      </w:tr>
      <w:tr>
        <w:tc>
          <w:tcPr>
            <w:tcW w:type="dxa" w:w="4320"/>
          </w:tcPr>
          <w:p>
            <w:pPr>
              <w:jc w:val="left"/>
            </w:pPr>
            <w:r/>
            <w:r>
              <w:rPr>
                <w:rFonts w:ascii="Times New Roman" w:hAnsi="Times New Roman" w:eastAsia="標楷體"/>
                <w:b w:val="0"/>
                <w:sz w:val="18"/>
              </w:rPr>
              <w:t>Water_Disc</w:t>
            </w:r>
          </w:p>
        </w:tc>
        <w:tc>
          <w:tcPr>
            <w:tcW w:type="dxa" w:w="4320"/>
          </w:tcPr>
          <w:p>
            <w:pPr>
              <w:jc w:val="left"/>
            </w:pPr>
            <w:r/>
            <w:r>
              <w:rPr>
                <w:rFonts w:ascii="Times New Roman" w:hAnsi="Times New Roman" w:eastAsia="標楷體"/>
                <w:b w:val="0"/>
                <w:sz w:val="18"/>
              </w:rPr>
              <w:t>水揭露虛擬：當年有水資料紀錄=1</w:t>
            </w:r>
          </w:p>
        </w:tc>
      </w:tr>
      <w:tr>
        <w:tc>
          <w:tcPr>
            <w:tcW w:type="dxa" w:w="4320"/>
          </w:tcPr>
          <w:p>
            <w:pPr>
              <w:jc w:val="left"/>
            </w:pPr>
            <w:r/>
            <w:r>
              <w:rPr>
                <w:rFonts w:ascii="Times New Roman" w:hAnsi="Times New Roman" w:eastAsia="標楷體"/>
                <w:b w:val="0"/>
                <w:sz w:val="18"/>
              </w:rPr>
              <w:t>Waste_Intensity</w:t>
            </w:r>
          </w:p>
        </w:tc>
        <w:tc>
          <w:tcPr>
            <w:tcW w:type="dxa" w:w="4320"/>
          </w:tcPr>
          <w:p>
            <w:pPr>
              <w:jc w:val="left"/>
            </w:pPr>
            <w:r/>
            <w:r>
              <w:rPr>
                <w:rFonts w:ascii="Times New Roman" w:hAnsi="Times New Roman" w:eastAsia="標楷體"/>
                <w:b w:val="0"/>
                <w:sz w:val="18"/>
              </w:rPr>
              <w:t>每百萬營收廢棄物量（TESG 廢棄物揭露）</w:t>
            </w:r>
          </w:p>
        </w:tc>
      </w:tr>
      <w:tr>
        <w:tc>
          <w:tcPr>
            <w:tcW w:type="dxa" w:w="4320"/>
          </w:tcPr>
          <w:p>
            <w:pPr>
              <w:jc w:val="left"/>
            </w:pPr>
            <w:r/>
            <w:r>
              <w:rPr>
                <w:rFonts w:ascii="Times New Roman" w:hAnsi="Times New Roman" w:eastAsia="標楷體"/>
                <w:b w:val="0"/>
                <w:sz w:val="18"/>
              </w:rPr>
              <w:t>Waste_Disc</w:t>
            </w:r>
          </w:p>
        </w:tc>
        <w:tc>
          <w:tcPr>
            <w:tcW w:type="dxa" w:w="4320"/>
          </w:tcPr>
          <w:p>
            <w:pPr>
              <w:jc w:val="left"/>
            </w:pPr>
            <w:r/>
            <w:r>
              <w:rPr>
                <w:rFonts w:ascii="Times New Roman" w:hAnsi="Times New Roman" w:eastAsia="標楷體"/>
                <w:b w:val="0"/>
                <w:sz w:val="18"/>
              </w:rPr>
              <w:t>GRI 廢棄物管理揭露度（揭露品質）</w:t>
            </w:r>
          </w:p>
        </w:tc>
      </w:tr>
      <w:tr>
        <w:tc>
          <w:tcPr>
            <w:tcW w:type="dxa" w:w="4320"/>
          </w:tcPr>
          <w:p>
            <w:pPr>
              <w:jc w:val="left"/>
            </w:pPr>
            <w:r/>
            <w:r>
              <w:rPr>
                <w:rFonts w:ascii="Times New Roman" w:hAnsi="Times New Roman" w:eastAsia="標楷體"/>
                <w:b w:val="0"/>
                <w:sz w:val="18"/>
              </w:rPr>
              <w:t>Waste_Fine</w:t>
            </w:r>
          </w:p>
        </w:tc>
        <w:tc>
          <w:tcPr>
            <w:tcW w:type="dxa" w:w="4320"/>
          </w:tcPr>
          <w:p>
            <w:pPr>
              <w:jc w:val="left"/>
            </w:pPr>
            <w:r/>
            <w:r>
              <w:rPr>
                <w:rFonts w:ascii="Times New Roman" w:hAnsi="Times New Roman" w:eastAsia="標楷體"/>
                <w:b w:val="0"/>
                <w:sz w:val="18"/>
              </w:rPr>
              <w:t>事業廢棄物罰鍰次數</w:t>
            </w:r>
          </w:p>
        </w:tc>
      </w:tr>
      <w:tr>
        <w:tc>
          <w:tcPr>
            <w:tcW w:type="dxa" w:w="4320"/>
          </w:tcPr>
          <w:p>
            <w:pPr>
              <w:jc w:val="left"/>
            </w:pPr>
            <w:r/>
            <w:r>
              <w:rPr>
                <w:rFonts w:ascii="Times New Roman" w:hAnsi="Times New Roman" w:eastAsia="標楷體"/>
                <w:b w:val="0"/>
                <w:sz w:val="18"/>
              </w:rPr>
              <w:t>Size</w:t>
            </w:r>
          </w:p>
        </w:tc>
        <w:tc>
          <w:tcPr>
            <w:tcW w:type="dxa" w:w="4320"/>
          </w:tcPr>
          <w:p>
            <w:pPr>
              <w:jc w:val="left"/>
            </w:pPr>
            <w:r/>
            <w:r>
              <w:rPr>
                <w:rFonts w:ascii="Times New Roman" w:hAnsi="Times New Roman" w:eastAsia="標楷體"/>
                <w:b w:val="0"/>
                <w:sz w:val="18"/>
              </w:rPr>
              <w:t>LN(資產總額)</w:t>
            </w:r>
          </w:p>
        </w:tc>
      </w:tr>
      <w:tr>
        <w:tc>
          <w:tcPr>
            <w:tcW w:type="dxa" w:w="4320"/>
          </w:tcPr>
          <w:p>
            <w:pPr>
              <w:jc w:val="left"/>
            </w:pPr>
            <w:r/>
            <w:r>
              <w:rPr>
                <w:rFonts w:ascii="Times New Roman" w:hAnsi="Times New Roman" w:eastAsia="標楷體"/>
                <w:b w:val="0"/>
                <w:sz w:val="18"/>
              </w:rPr>
              <w:t>AI</w:t>
            </w:r>
          </w:p>
        </w:tc>
        <w:tc>
          <w:tcPr>
            <w:tcW w:type="dxa" w:w="4320"/>
          </w:tcPr>
          <w:p>
            <w:pPr>
              <w:jc w:val="left"/>
            </w:pPr>
            <w:r/>
            <w:r>
              <w:rPr>
                <w:rFonts w:ascii="Times New Roman" w:hAnsi="Times New Roman" w:eastAsia="標楷體"/>
                <w:b w:val="0"/>
                <w:sz w:val="18"/>
              </w:rPr>
              <w:t>資產密集度＝資產總額/營業收入淨額</w:t>
            </w:r>
          </w:p>
        </w:tc>
      </w:tr>
      <w:tr>
        <w:tc>
          <w:tcPr>
            <w:tcW w:type="dxa" w:w="4320"/>
          </w:tcPr>
          <w:p>
            <w:pPr>
              <w:jc w:val="left"/>
            </w:pPr>
            <w:r/>
            <w:r>
              <w:rPr>
                <w:rFonts w:ascii="Times New Roman" w:hAnsi="Times New Roman" w:eastAsia="標楷體"/>
                <w:b w:val="0"/>
                <w:sz w:val="18"/>
              </w:rPr>
              <w:t>EI</w:t>
            </w:r>
          </w:p>
        </w:tc>
        <w:tc>
          <w:tcPr>
            <w:tcW w:type="dxa" w:w="4320"/>
          </w:tcPr>
          <w:p>
            <w:pPr>
              <w:jc w:val="left"/>
            </w:pPr>
            <w:r/>
            <w:r>
              <w:rPr>
                <w:rFonts w:ascii="Times New Roman" w:hAnsi="Times New Roman" w:eastAsia="標楷體"/>
                <w:b w:val="0"/>
                <w:sz w:val="18"/>
              </w:rPr>
              <w:t>員工密集度＝員工人數/營業收入淨額</w:t>
            </w:r>
          </w:p>
        </w:tc>
      </w:tr>
      <w:tr>
        <w:tc>
          <w:tcPr>
            <w:tcW w:type="dxa" w:w="4320"/>
          </w:tcPr>
          <w:p>
            <w:pPr>
              <w:jc w:val="left"/>
            </w:pPr>
            <w:r/>
            <w:r>
              <w:rPr>
                <w:rFonts w:ascii="Times New Roman" w:hAnsi="Times New Roman" w:eastAsia="標楷體"/>
                <w:b w:val="0"/>
                <w:sz w:val="18"/>
              </w:rPr>
              <w:t>ROA</w:t>
            </w:r>
          </w:p>
        </w:tc>
        <w:tc>
          <w:tcPr>
            <w:tcW w:type="dxa" w:w="4320"/>
          </w:tcPr>
          <w:p>
            <w:pPr>
              <w:jc w:val="left"/>
            </w:pPr>
            <w:r/>
            <w:r>
              <w:rPr>
                <w:rFonts w:ascii="Times New Roman" w:hAnsi="Times New Roman" w:eastAsia="標楷體"/>
                <w:b w:val="0"/>
                <w:sz w:val="18"/>
              </w:rPr>
              <w:t>資產報酬率 ROA(A)稅後息前</w:t>
            </w:r>
          </w:p>
        </w:tc>
      </w:tr>
      <w:tr>
        <w:tc>
          <w:tcPr>
            <w:tcW w:type="dxa" w:w="4320"/>
          </w:tcPr>
          <w:p>
            <w:pPr>
              <w:jc w:val="left"/>
            </w:pPr>
            <w:r/>
            <w:r>
              <w:rPr>
                <w:rFonts w:ascii="Times New Roman" w:hAnsi="Times New Roman" w:eastAsia="標楷體"/>
                <w:b w:val="0"/>
                <w:sz w:val="18"/>
              </w:rPr>
              <w:t>Lev</w:t>
            </w:r>
          </w:p>
        </w:tc>
        <w:tc>
          <w:tcPr>
            <w:tcW w:type="dxa" w:w="4320"/>
          </w:tcPr>
          <w:p>
            <w:pPr>
              <w:jc w:val="left"/>
            </w:pPr>
            <w:r/>
            <w:r>
              <w:rPr>
                <w:rFonts w:ascii="Times New Roman" w:hAnsi="Times New Roman" w:eastAsia="標楷體"/>
                <w:b w:val="0"/>
                <w:sz w:val="18"/>
              </w:rPr>
              <w:t>財務槓桿＝負債比率</w:t>
            </w:r>
          </w:p>
        </w:tc>
      </w:tr>
      <w:tr>
        <w:tc>
          <w:tcPr>
            <w:tcW w:type="dxa" w:w="4320"/>
            <w:tcBorders>
              <w:bottom w:val="single" w:sz="12" w:space="0" w:color="000000"/>
            </w:tcBorders>
          </w:tcPr>
          <w:p>
            <w:pPr>
              <w:jc w:val="left"/>
            </w:pPr>
            <w:r/>
            <w:r>
              <w:rPr>
                <w:rFonts w:ascii="Times New Roman" w:hAnsi="Times New Roman" w:eastAsia="標楷體"/>
                <w:b w:val="0"/>
                <w:sz w:val="18"/>
              </w:rPr>
              <w:t>Decrease</w:t>
            </w:r>
          </w:p>
        </w:tc>
        <w:tc>
          <w:tcPr>
            <w:tcW w:type="dxa" w:w="4320"/>
            <w:tcBorders>
              <w:bottom w:val="single" w:sz="12" w:space="0" w:color="000000"/>
            </w:tcBorders>
          </w:tcPr>
          <w:p>
            <w:pPr>
              <w:jc w:val="left"/>
            </w:pPr>
            <w:r/>
            <w:r>
              <w:rPr>
                <w:rFonts w:ascii="Times New Roman" w:hAnsi="Times New Roman" w:eastAsia="標楷體"/>
                <w:b w:val="0"/>
                <w:sz w:val="18"/>
              </w:rPr>
              <w:t>連續兩年營收下降虛擬</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