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新細明體"/>
          <w:b/>
          <w:sz w:val="34"/>
        </w:rPr>
        <w:t>研究進度報告：企業水管理與成本黏性</w:t>
      </w:r>
    </w:p>
    <w:p>
      <w:pPr>
        <w:jc w:val="center"/>
      </w:pPr>
      <w:r>
        <w:rPr>
          <w:rFonts w:ascii="Times New Roman" w:hAnsi="Times New Roman" w:eastAsia="新細明體"/>
        </w:rPr>
        <w:t>——以 TEJ 台灣上市櫃製造業實際資料之初步驗證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敬呈 指導教授。以下就老師建議之研究方向，說明我以 TEJ 實際資料所做的初步驗證、最終變數設計與假設、以 AI 輔助跑出的初步結果與洞察，懇請老師指示此方向是否可行，以作為後續深化之依據。</w:t>
      </w:r>
    </w:p>
    <w:p>
      <w:pPr>
        <w:pStyle w:val="Heading2"/>
      </w:pPr>
      <w:r>
        <w:rPr>
          <w:rFonts w:ascii="Times New Roman" w:hAnsi="Times New Roman" w:eastAsia="新細明體"/>
        </w:rPr>
        <w:t>一、研究方向（老師建議）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以「成本黏性（cost stickiness）」為核心，參酌兩篇文獻——Zeng, Peng and Chan（低碳城市政策、綠色創新）與 Jiang and Yang（2024, Economics Letters；ESG 揭露）——探討「企業水管理績效」與「水資訊揭露」對成本黏性的影響，並依老師提示納入「時間落差效應」與「產業異質性」兩項延伸設計。</w:t>
      </w:r>
    </w:p>
    <w:p>
      <w:pPr>
        <w:pStyle w:val="Heading2"/>
      </w:pPr>
      <w:r>
        <w:rPr>
          <w:rFonts w:ascii="Times New Roman" w:hAnsi="Times New Roman" w:eastAsia="新細明體"/>
        </w:rPr>
        <w:t>二、資料與樣本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資料全數取自 TEJ，包含：IFRS 合併財務（單季，彙總為年度）、TESG 企業用水量（年度）、TESG 永續揭露，以及 TEJ Company DB 產業別（TSE 產業）。以台灣上市櫃製造業為對象、排除金融保險業、期間 2014–2024，建構「證券代碼×年度」面板。清理後樣本 18,137 個觀測（1,945 家）；迴歸可用 16,661 筆；其中具水回收率者約 996 筆。</w:t>
      </w:r>
    </w:p>
    <w:p>
      <w:pPr>
        <w:pStyle w:val="Heading2"/>
      </w:pPr>
      <w:r>
        <w:rPr>
          <w:rFonts w:ascii="Times New Roman" w:hAnsi="Times New Roman" w:eastAsia="新細明體"/>
        </w:rPr>
        <w:t>三、最終變數設計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應變數：ΔLNSGA＝營業費用變動（取對數差分）。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核心自變數：ΔLNREV（營收變動）、D（營收下降虛擬）；三重交乘 Water_Var × D × ΔLNREV。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水管理衡量：Water_Rate＝水回收率%（績效，主分析）；Water_Disc＝是否揭露水資料（透明度，次分析）。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控制變數：企業規模、資產密集度、員工密集度、ROA、財務槓桿、連續兩年營收下降；並控制產業與年份固定效果，採公司叢集穩健標準誤，連續變數縮尾 1%。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延伸設計：核心水變數遞延一至兩期（t-1、t-2）；依 TSE 產業別精準界定高耗水產業（半導體、光電、電子零組件、紡織、造紙、鋼鐵、化學、水泥、食品、塑膠等）與低耗水產業進行子樣本比較。</w:t>
      </w:r>
    </w:p>
    <w:p>
      <w:pPr>
        <w:pStyle w:val="Heading2"/>
      </w:pPr>
      <w:r>
        <w:rPr>
          <w:rFonts w:ascii="Times New Roman" w:hAnsi="Times New Roman" w:eastAsia="新細明體"/>
        </w:rPr>
        <w:t>四、研究假設</w:t>
      </w:r>
    </w:p>
    <w:p>
      <w:pPr>
        <w:spacing w:line="360" w:lineRule="auto"/>
      </w:pPr>
      <w:r>
        <w:rPr>
          <w:rFonts w:ascii="Times New Roman" w:hAnsi="Times New Roman" w:eastAsia="新細明體"/>
          <w:b w:val="0"/>
          <w:sz w:val="24"/>
        </w:rPr>
        <w:t>H1：水回收率越高，成本黏性越大（因水循環設備屬長期專用投資，難以裁撤；預期 β3 顯著為負）。</w:t>
      </w:r>
    </w:p>
    <w:p>
      <w:pPr>
        <w:spacing w:line="360" w:lineRule="auto"/>
      </w:pPr>
      <w:r>
        <w:rPr>
          <w:rFonts w:ascii="Times New Roman" w:hAnsi="Times New Roman" w:eastAsia="新細明體"/>
          <w:b w:val="0"/>
          <w:sz w:val="24"/>
        </w:rPr>
        <w:t>H2：有揭露水管理資訊者，成本黏性較低（資訊透明度矯正管理者過度樂觀；預期 β3 顯著為正）。</w:t>
      </w:r>
    </w:p>
    <w:p>
      <w:pPr>
        <w:pStyle w:val="Heading2"/>
      </w:pPr>
      <w:r>
        <w:rPr>
          <w:rFonts w:ascii="Times New Roman" w:hAnsi="Times New Roman" w:eastAsia="新細明體"/>
        </w:rPr>
        <w:t>五、初步結果（AI 輔助驗證）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1. 樣本存在穩健的成本黏性：核心係數 β2（D×ΔLNREV）在水回收率樣本顯著為負（全樣本 −1.27***、高耗水產業 −1.48***、遞延兩期 −1.15***），顯示營收下降時費用向下調整較不敏感，與文獻一致。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2. 水管理的調節效果（β3）未獲支持：無論當期、遞延（t-1／t-2），或在高／低耗水產業子樣本中，H1 與 H2 的核心三重交乘 β3 均「未達統計顯著」。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3. 控制變數方向符合預期（資產密集度、ROA、連續兩年下降等之交乘項多顯著），顯示模型設定與資料品質可信。</w:t>
      </w:r>
    </w:p>
    <w:p>
      <w:pPr>
        <w:pStyle w:val="Heading2"/>
      </w:pPr>
      <w:r>
        <w:rPr>
          <w:rFonts w:ascii="Times New Roman" w:hAnsi="Times New Roman" w:eastAsia="新細明體"/>
        </w:rPr>
        <w:t>六、洞察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台灣製造業存在穩健成本黏性，資料與模型可信，可作為研究基礎。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β3 不顯著的可能原因偏向「衡量與統計功效」而非必然無關係：水回收率有效樣本僅約千筆且變異有限，水揭露多為二元、資訊量低。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值得注意：以較粗產業分類時曾出現邊際顯著，改用精準 TSE 產業定義後即消失，顯示該效果並不穩健，後續須審慎，避免過度解讀。</w:t>
      </w:r>
    </w:p>
    <w:p>
      <w:pPr>
        <w:pStyle w:val="Heading2"/>
      </w:pPr>
      <w:r>
        <w:rPr>
          <w:rFonts w:ascii="Times New Roman" w:hAnsi="Times New Roman" w:eastAsia="新細明體"/>
        </w:rPr>
        <w:t>七、後續可行方向（若老師認為方向可行）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強化水衡量：改以 GRI 用水揭露度（連續）、用水密集度（總用水量／營收）、回收利用水量／總用水量等建構水管理指數，擴大樣本與變異。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識別策略：以 2021 年台灣乾旱（限水）作為外生水資源衝擊，採差異中的差異（DiD）檢驗水管理較佳者是否較能緩衝營運衝擊。</w:t>
      </w:r>
    </w:p>
    <w:p>
      <w:pPr>
        <w:pStyle w:val="ListBullet"/>
        <w:spacing w:line="360" w:lineRule="auto"/>
      </w:pPr>
      <w:r>
        <w:rPr>
          <w:rFonts w:ascii="Times New Roman" w:hAnsi="Times New Roman" w:eastAsia="新細明體"/>
          <w:sz w:val="24"/>
        </w:rPr>
        <w:t>或調整應變數：改看水管理對營業費用率、獲利或營運風險之直接影響，以提升檢定力。</w:t>
      </w:r>
    </w:p>
    <w:p>
      <w:pPr>
        <w:pStyle w:val="Heading2"/>
      </w:pPr>
      <w:r>
        <w:rPr>
          <w:rFonts w:ascii="Times New Roman" w:hAnsi="Times New Roman" w:eastAsia="新細明體"/>
        </w:rPr>
        <w:t>八、請示</w:t>
      </w:r>
    </w:p>
    <w:p>
      <w:pPr>
        <w:spacing w:line="360" w:lineRule="auto"/>
        <w:ind w:firstLine="480"/>
      </w:pPr>
      <w:r>
        <w:rPr>
          <w:rFonts w:ascii="Times New Roman" w:hAnsi="Times New Roman" w:eastAsia="新細明體"/>
          <w:b w:val="0"/>
          <w:sz w:val="24"/>
        </w:rPr>
        <w:t>懇請老師指示本主題與研究設計是否可行。若老師認為方向可行，我將以現有可重複執行之資料管線為基礎，優先補強水衡量與識別策略後持續深化；亦歡迎老師就變數或模型設定提供進一步建議。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新細明體"/>
        </w:rPr>
        <w:t>附表：全部設定之 β2／β3 對照（18 個設定）</w:t>
      </w:r>
    </w:p>
    <w:p>
      <w:pPr>
        <w:spacing w:line="360" w:lineRule="auto"/>
      </w:pPr>
      <w:r>
        <w:rPr>
          <w:rFonts w:ascii="Times New Roman" w:hAnsi="Times New Roman" w:eastAsia="新細明體"/>
          <w:b w:val="0"/>
          <w:sz w:val="24"/>
        </w:rPr>
        <w:t>下表彙整「水衡量 × 產業組 × 遞延期」共 18 個設定之核心係數。β2 為整體成本黏性（D×ΔLNREV），預期為負；β3 為水管理之三重交乘（Water×D×ΔLNREV），即 H1／H2 之核心係數。星號 *、**、*** 分別代表 10%、5%、1% 顯著水準；無星號者不顯著。估計皆採 OLS＋產業與年份固定效果＋公司叢集穩健標準誤。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水衡量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產業組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遞延期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β2 (成本黏性)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β3 (水管理調節)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-1.2681***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996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-0.6925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863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-0.7174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731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-1.4791***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707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-0.9405*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619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-1.1518***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527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-0.5442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-0.0031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289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-0.8746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244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水回收率%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-0.2827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204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-0.1473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0.0354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16,661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-0.1636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0.0062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16,661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全樣本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-0.1588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0.0103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16,661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-0.0634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0.0572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7,252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-0.1013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0.0248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7,252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高耗水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0.0241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7,252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-0.1966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-0.0170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9,409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-0.2068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-0.0372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9,409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水揭露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低耗水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t-2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-0.2011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-0.0261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新細明體"/>
                <w:sz w:val="18"/>
              </w:rPr>
              <w:t>9,409</w:t>
            </w:r>
          </w:p>
        </w:tc>
      </w:tr>
    </w:tbl>
    <w:p>
      <w:pPr>
        <w:spacing w:line="360" w:lineRule="auto"/>
      </w:pPr>
      <w:r>
        <w:rPr>
          <w:rFonts w:ascii="Times New Roman" w:hAnsi="Times New Roman" w:eastAsia="新細明體"/>
          <w:b w:val="0"/>
          <w:sz w:val="24"/>
        </w:rPr>
        <w:t>說明：β2 於水回收率相關設定（尤其高耗水產業當期）穩健顯著為負，確認成本黏性存在；β3 於所有 18 個設定均不顯著，故現階段 H1／H2 未獲支持。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