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003" w:rsidRPr="00154E7B" w:rsidRDefault="007265F6">
      <w:pPr>
        <w:spacing w:before="200" w:after="80" w:line="254" w:lineRule="auto"/>
        <w:jc w:val="center"/>
        <w:rPr>
          <w:color w:val="0070C0"/>
        </w:rPr>
      </w:pPr>
      <w:bookmarkStart w:id="0" w:name="_GoBack"/>
      <w:r w:rsidRPr="00154E7B">
        <w:rPr>
          <w:rFonts w:ascii="Times New Roman" w:eastAsia="標楷體" w:hAnsi="Times New Roman" w:cs="Times New Roman"/>
          <w:b/>
          <w:color w:val="0070C0"/>
          <w:sz w:val="36"/>
        </w:rPr>
        <w:t>國立中山大學財務管理學系</w:t>
      </w:r>
    </w:p>
    <w:p w:rsidR="00AE2003" w:rsidRPr="00154E7B" w:rsidRDefault="007265F6">
      <w:pPr>
        <w:spacing w:after="160" w:line="254" w:lineRule="auto"/>
        <w:jc w:val="center"/>
        <w:rPr>
          <w:color w:val="0070C0"/>
        </w:rPr>
      </w:pPr>
      <w:r w:rsidRPr="00154E7B">
        <w:rPr>
          <w:rFonts w:ascii="Times New Roman" w:eastAsia="標楷體" w:hAnsi="Times New Roman" w:cs="Times New Roman"/>
          <w:b/>
          <w:color w:val="0070C0"/>
          <w:sz w:val="36"/>
        </w:rPr>
        <w:t>碩士論文</w:t>
      </w:r>
    </w:p>
    <w:p w:rsidR="00AE2003" w:rsidRPr="00154E7B" w:rsidRDefault="007265F6">
      <w:pPr>
        <w:spacing w:after="40" w:line="254" w:lineRule="auto"/>
        <w:jc w:val="center"/>
        <w:rPr>
          <w:color w:val="0070C0"/>
        </w:rPr>
      </w:pPr>
      <w:r w:rsidRPr="00154E7B">
        <w:rPr>
          <w:rFonts w:ascii="Times New Roman" w:eastAsia="標楷體" w:hAnsi="Times New Roman" w:cs="Times New Roman"/>
          <w:color w:val="0070C0"/>
          <w:sz w:val="32"/>
        </w:rPr>
        <w:t>Department of Finance</w:t>
      </w:r>
    </w:p>
    <w:p w:rsidR="00AE2003" w:rsidRPr="00154E7B" w:rsidRDefault="007265F6">
      <w:pPr>
        <w:spacing w:after="40" w:line="254" w:lineRule="auto"/>
        <w:jc w:val="center"/>
        <w:rPr>
          <w:color w:val="0070C0"/>
        </w:rPr>
      </w:pPr>
      <w:r w:rsidRPr="00154E7B">
        <w:rPr>
          <w:rFonts w:ascii="Times New Roman" w:eastAsia="標楷體" w:hAnsi="Times New Roman" w:cs="Times New Roman"/>
          <w:color w:val="0070C0"/>
          <w:sz w:val="32"/>
        </w:rPr>
        <w:t>National Sun Yat-sen University</w:t>
      </w:r>
    </w:p>
    <w:p w:rsidR="00AE2003" w:rsidRPr="00154E7B" w:rsidRDefault="007265F6">
      <w:pPr>
        <w:spacing w:after="720" w:line="254" w:lineRule="auto"/>
        <w:jc w:val="center"/>
        <w:rPr>
          <w:color w:val="0070C0"/>
        </w:rPr>
      </w:pPr>
      <w:r w:rsidRPr="00154E7B">
        <w:rPr>
          <w:rFonts w:ascii="Times New Roman" w:eastAsia="標楷體" w:hAnsi="Times New Roman" w:cs="Times New Roman"/>
          <w:color w:val="0070C0"/>
          <w:sz w:val="32"/>
        </w:rPr>
        <w:t>Master’s Thesis</w:t>
      </w:r>
    </w:p>
    <w:p w:rsidR="00AE2003" w:rsidRPr="00154E7B" w:rsidRDefault="007265F6">
      <w:pPr>
        <w:spacing w:before="360" w:after="160" w:line="254" w:lineRule="auto"/>
        <w:jc w:val="center"/>
        <w:rPr>
          <w:color w:val="0070C0"/>
        </w:rPr>
      </w:pPr>
      <w:r w:rsidRPr="00154E7B">
        <w:rPr>
          <w:rFonts w:ascii="Times New Roman" w:eastAsia="標楷體" w:hAnsi="Times New Roman" w:cs="Times New Roman"/>
          <w:b/>
          <w:color w:val="0070C0"/>
          <w:sz w:val="36"/>
        </w:rPr>
        <w:t>企業水資源管理與廢棄物處理對成本黏性之影響</w:t>
      </w:r>
    </w:p>
    <w:p w:rsidR="00AE2003" w:rsidRPr="00154E7B" w:rsidRDefault="007265F6">
      <w:pPr>
        <w:spacing w:after="800" w:line="254" w:lineRule="auto"/>
        <w:jc w:val="center"/>
        <w:rPr>
          <w:color w:val="0070C0"/>
        </w:rPr>
      </w:pPr>
      <w:r w:rsidRPr="00154E7B">
        <w:rPr>
          <w:rFonts w:ascii="Times New Roman" w:eastAsia="標楷體" w:hAnsi="Times New Roman" w:cs="Times New Roman"/>
          <w:b/>
          <w:color w:val="0070C0"/>
          <w:sz w:val="30"/>
        </w:rPr>
        <w:t>Water Resource Management, Waste Treatment, and Corporate Cost Stickiness</w:t>
      </w:r>
    </w:p>
    <w:p w:rsidR="00AE2003" w:rsidRPr="00154E7B" w:rsidRDefault="007265F6">
      <w:pPr>
        <w:spacing w:before="360" w:after="40" w:line="254" w:lineRule="auto"/>
        <w:jc w:val="center"/>
        <w:rPr>
          <w:color w:val="0070C0"/>
        </w:rPr>
      </w:pPr>
      <w:r w:rsidRPr="00154E7B">
        <w:rPr>
          <w:rFonts w:ascii="Times New Roman" w:eastAsia="標楷體" w:hAnsi="Times New Roman" w:cs="Times New Roman"/>
          <w:color w:val="0070C0"/>
          <w:sz w:val="32"/>
        </w:rPr>
        <w:t>研究生：研究生姓名</w:t>
      </w:r>
    </w:p>
    <w:p w:rsidR="00AE2003" w:rsidRPr="00154E7B" w:rsidRDefault="007265F6">
      <w:pPr>
        <w:spacing w:after="280" w:line="254" w:lineRule="auto"/>
        <w:jc w:val="center"/>
        <w:rPr>
          <w:color w:val="0070C0"/>
        </w:rPr>
      </w:pPr>
      <w:r w:rsidRPr="00154E7B">
        <w:rPr>
          <w:rFonts w:ascii="Times New Roman" w:eastAsia="標楷體" w:hAnsi="Times New Roman" w:cs="Times New Roman"/>
          <w:color w:val="0070C0"/>
          <w:sz w:val="30"/>
        </w:rPr>
        <w:t>Author Name</w:t>
      </w:r>
    </w:p>
    <w:p w:rsidR="00AE2003" w:rsidRPr="00154E7B" w:rsidRDefault="007265F6">
      <w:pPr>
        <w:spacing w:after="40" w:line="254" w:lineRule="auto"/>
        <w:jc w:val="center"/>
        <w:rPr>
          <w:color w:val="0070C0"/>
        </w:rPr>
      </w:pPr>
      <w:r w:rsidRPr="00154E7B">
        <w:rPr>
          <w:rFonts w:ascii="Times New Roman" w:eastAsia="標楷體" w:hAnsi="Times New Roman" w:cs="Times New Roman"/>
          <w:color w:val="0070C0"/>
          <w:sz w:val="32"/>
        </w:rPr>
        <w:t>指導教授：指導教授姓名</w:t>
      </w:r>
      <w:r w:rsidRPr="00154E7B">
        <w:rPr>
          <w:rFonts w:ascii="Times New Roman" w:eastAsia="標楷體" w:hAnsi="Times New Roman" w:cs="Times New Roman"/>
          <w:color w:val="0070C0"/>
          <w:sz w:val="32"/>
        </w:rPr>
        <w:t xml:space="preserve"> </w:t>
      </w:r>
      <w:r w:rsidRPr="00154E7B">
        <w:rPr>
          <w:rFonts w:ascii="Times New Roman" w:eastAsia="標楷體" w:hAnsi="Times New Roman" w:cs="Times New Roman"/>
          <w:color w:val="0070C0"/>
          <w:sz w:val="32"/>
        </w:rPr>
        <w:t>博士</w:t>
      </w:r>
    </w:p>
    <w:p w:rsidR="00AE2003" w:rsidRPr="00154E7B" w:rsidRDefault="007265F6">
      <w:pPr>
        <w:spacing w:after="720" w:line="254" w:lineRule="auto"/>
        <w:jc w:val="center"/>
        <w:rPr>
          <w:color w:val="0070C0"/>
        </w:rPr>
      </w:pPr>
      <w:r w:rsidRPr="00154E7B">
        <w:rPr>
          <w:rFonts w:ascii="Times New Roman" w:eastAsia="標楷體" w:hAnsi="Times New Roman" w:cs="Times New Roman"/>
          <w:color w:val="0070C0"/>
          <w:sz w:val="30"/>
        </w:rPr>
        <w:t>Advisor Name, Ph.D.</w:t>
      </w:r>
    </w:p>
    <w:p w:rsidR="00AE2003" w:rsidRPr="00154E7B" w:rsidRDefault="007265F6">
      <w:pPr>
        <w:spacing w:before="360" w:after="40" w:line="254" w:lineRule="auto"/>
        <w:jc w:val="center"/>
        <w:rPr>
          <w:color w:val="0070C0"/>
        </w:rPr>
      </w:pPr>
      <w:r w:rsidRPr="00154E7B">
        <w:rPr>
          <w:rFonts w:ascii="Times New Roman" w:eastAsia="標楷體" w:hAnsi="Times New Roman" w:cs="Times New Roman"/>
          <w:color w:val="0070C0"/>
          <w:sz w:val="32"/>
        </w:rPr>
        <w:t>中華民國一一四年六月</w:t>
      </w:r>
    </w:p>
    <w:p w:rsidR="00AE2003" w:rsidRPr="00154E7B" w:rsidRDefault="007265F6">
      <w:pPr>
        <w:spacing w:line="254" w:lineRule="auto"/>
        <w:jc w:val="center"/>
        <w:rPr>
          <w:color w:val="0070C0"/>
        </w:rPr>
      </w:pPr>
      <w:r w:rsidRPr="00154E7B">
        <w:rPr>
          <w:rFonts w:ascii="Times New Roman" w:eastAsia="標楷體" w:hAnsi="Times New Roman" w:cs="Times New Roman"/>
          <w:color w:val="0070C0"/>
          <w:sz w:val="30"/>
        </w:rPr>
        <w:t>June 2025</w:t>
      </w:r>
    </w:p>
    <w:p w:rsidR="00AE2003" w:rsidRPr="00154E7B" w:rsidRDefault="00AE2003">
      <w:pPr>
        <w:rPr>
          <w:color w:val="0070C0"/>
        </w:rPr>
        <w:sectPr w:rsidR="00AE2003" w:rsidRPr="00154E7B">
          <w:footerReference w:type="default" r:id="rId8"/>
          <w:pgSz w:w="11906" w:h="16838"/>
          <w:pgMar w:top="1440" w:right="1701" w:bottom="1440" w:left="1701" w:header="851" w:footer="992" w:gutter="0"/>
          <w:cols w:space="425"/>
          <w:docGrid w:type="lines" w:linePitch="360"/>
        </w:sectPr>
      </w:pP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國立中山大學研究生學位論文審定書</w:t>
      </w:r>
    </w:p>
    <w:p w:rsidR="00AE2003" w:rsidRPr="00154E7B" w:rsidRDefault="007265F6">
      <w:pPr>
        <w:spacing w:before="200" w:after="80" w:line="254" w:lineRule="auto"/>
        <w:jc w:val="both"/>
        <w:rPr>
          <w:color w:val="0070C0"/>
        </w:rPr>
      </w:pPr>
      <w:r w:rsidRPr="00154E7B">
        <w:rPr>
          <w:rFonts w:ascii="Times New Roman" w:eastAsia="標楷體" w:hAnsi="Times New Roman" w:cs="Times New Roman"/>
          <w:color w:val="0070C0"/>
        </w:rPr>
        <w:t>本校財務管理學系碩士班研究生所提之學位論文：</w:t>
      </w:r>
    </w:p>
    <w:p w:rsidR="00AE2003" w:rsidRPr="00154E7B" w:rsidRDefault="007265F6">
      <w:pPr>
        <w:spacing w:before="80" w:after="80" w:line="254" w:lineRule="auto"/>
        <w:jc w:val="both"/>
        <w:rPr>
          <w:color w:val="0070C0"/>
        </w:rPr>
      </w:pPr>
      <w:r w:rsidRPr="00154E7B">
        <w:rPr>
          <w:rFonts w:ascii="Times New Roman" w:eastAsia="標楷體" w:hAnsi="Times New Roman" w:cs="Times New Roman"/>
          <w:b/>
          <w:color w:val="0070C0"/>
        </w:rPr>
        <w:t>中文題目：企業水資源管理與廢棄物處理對成本黏性之影響</w:t>
      </w:r>
    </w:p>
    <w:p w:rsidR="00AE2003" w:rsidRPr="00154E7B" w:rsidRDefault="007265F6">
      <w:pPr>
        <w:spacing w:before="80" w:after="360" w:line="254" w:lineRule="auto"/>
        <w:jc w:val="both"/>
        <w:rPr>
          <w:color w:val="0070C0"/>
        </w:rPr>
      </w:pPr>
      <w:r w:rsidRPr="00154E7B">
        <w:rPr>
          <w:rFonts w:ascii="Times New Roman" w:eastAsia="標楷體" w:hAnsi="Times New Roman" w:cs="Times New Roman"/>
          <w:b/>
          <w:color w:val="0070C0"/>
        </w:rPr>
        <w:t>英文題目：</w:t>
      </w:r>
      <w:r w:rsidRPr="00154E7B">
        <w:rPr>
          <w:rFonts w:ascii="Times New Roman" w:eastAsia="標楷體" w:hAnsi="Times New Roman" w:cs="Times New Roman"/>
          <w:b/>
          <w:color w:val="0070C0"/>
        </w:rPr>
        <w:t>Water Resource Management, Waste Treatment, and Corporate Cost Stickiness</w:t>
      </w:r>
    </w:p>
    <w:p w:rsidR="00AE2003" w:rsidRPr="00154E7B" w:rsidRDefault="007265F6">
      <w:pPr>
        <w:spacing w:before="240" w:after="480" w:line="254" w:lineRule="auto"/>
        <w:jc w:val="both"/>
        <w:rPr>
          <w:color w:val="0070C0"/>
        </w:rPr>
      </w:pPr>
      <w:r w:rsidRPr="00154E7B">
        <w:rPr>
          <w:rFonts w:ascii="Times New Roman" w:eastAsia="標楷體" w:hAnsi="Times New Roman" w:cs="Times New Roman"/>
          <w:color w:val="0070C0"/>
        </w:rPr>
        <w:t>業經本學位考試委員會審查並舉行口試，評定符合碩士學位論文標準。</w:t>
      </w:r>
    </w:p>
    <w:p w:rsidR="00AE2003" w:rsidRPr="00154E7B" w:rsidRDefault="007265F6">
      <w:pPr>
        <w:spacing w:before="320" w:after="320" w:line="254" w:lineRule="auto"/>
        <w:jc w:val="both"/>
        <w:rPr>
          <w:color w:val="0070C0"/>
        </w:rPr>
      </w:pPr>
      <w:r w:rsidRPr="00154E7B">
        <w:rPr>
          <w:rFonts w:ascii="Times New Roman" w:eastAsia="標楷體" w:hAnsi="Times New Roman" w:cs="Times New Roman"/>
          <w:b/>
          <w:color w:val="0070C0"/>
        </w:rPr>
        <w:t>學位考試委員簽章：</w:t>
      </w:r>
    </w:p>
    <w:p w:rsidR="00AE2003" w:rsidRPr="00154E7B" w:rsidRDefault="007265F6">
      <w:pPr>
        <w:spacing w:before="240" w:after="320" w:line="254" w:lineRule="auto"/>
        <w:jc w:val="both"/>
        <w:rPr>
          <w:color w:val="0070C0"/>
        </w:rPr>
      </w:pPr>
      <w:r w:rsidRPr="00154E7B">
        <w:rPr>
          <w:rFonts w:ascii="Times New Roman" w:eastAsia="標楷體" w:hAnsi="Times New Roman" w:cs="Times New Roman"/>
          <w:color w:val="0070C0"/>
        </w:rPr>
        <w:t>召集人：</w:t>
      </w:r>
      <w:r w:rsidRPr="00154E7B">
        <w:rPr>
          <w:rFonts w:ascii="Times New Roman" w:eastAsia="標楷體" w:hAnsi="Times New Roman" w:cs="Times New Roman"/>
          <w:color w:val="0070C0"/>
        </w:rPr>
        <w:t>______________________</w:t>
      </w:r>
      <w:r w:rsidRPr="00154E7B">
        <w:rPr>
          <w:rFonts w:ascii="Times New Roman" w:eastAsia="標楷體" w:hAnsi="Times New Roman" w:cs="Times New Roman"/>
          <w:color w:val="0070C0"/>
        </w:rPr>
        <w:t xml:space="preserve">　　　　委　員：</w:t>
      </w:r>
      <w:r w:rsidRPr="00154E7B">
        <w:rPr>
          <w:rFonts w:ascii="Times New Roman" w:eastAsia="標楷體" w:hAnsi="Times New Roman" w:cs="Times New Roman"/>
          <w:color w:val="0070C0"/>
        </w:rPr>
        <w:t>______________________</w:t>
      </w:r>
    </w:p>
    <w:p w:rsidR="00AE2003" w:rsidRPr="00154E7B" w:rsidRDefault="007265F6">
      <w:pPr>
        <w:spacing w:before="240" w:after="320" w:line="254" w:lineRule="auto"/>
        <w:jc w:val="both"/>
        <w:rPr>
          <w:color w:val="0070C0"/>
        </w:rPr>
      </w:pPr>
      <w:r w:rsidRPr="00154E7B">
        <w:rPr>
          <w:rFonts w:ascii="Times New Roman" w:eastAsia="標楷體" w:hAnsi="Times New Roman" w:cs="Times New Roman"/>
          <w:color w:val="0070C0"/>
        </w:rPr>
        <w:t>委　員：</w:t>
      </w:r>
      <w:r w:rsidRPr="00154E7B">
        <w:rPr>
          <w:rFonts w:ascii="Times New Roman" w:eastAsia="標楷體" w:hAnsi="Times New Roman" w:cs="Times New Roman"/>
          <w:color w:val="0070C0"/>
        </w:rPr>
        <w:t>______________________</w:t>
      </w:r>
      <w:r w:rsidRPr="00154E7B">
        <w:rPr>
          <w:rFonts w:ascii="Times New Roman" w:eastAsia="標楷體" w:hAnsi="Times New Roman" w:cs="Times New Roman"/>
          <w:color w:val="0070C0"/>
        </w:rPr>
        <w:t xml:space="preserve">　　　　委　員：</w:t>
      </w:r>
      <w:r w:rsidRPr="00154E7B">
        <w:rPr>
          <w:rFonts w:ascii="Times New Roman" w:eastAsia="標楷體" w:hAnsi="Times New Roman" w:cs="Times New Roman"/>
          <w:color w:val="0070C0"/>
        </w:rPr>
        <w:t>______________________</w:t>
      </w:r>
    </w:p>
    <w:p w:rsidR="00AE2003" w:rsidRPr="00154E7B" w:rsidRDefault="007265F6">
      <w:pPr>
        <w:spacing w:before="240" w:after="640" w:line="254" w:lineRule="auto"/>
        <w:jc w:val="both"/>
        <w:rPr>
          <w:color w:val="0070C0"/>
        </w:rPr>
      </w:pPr>
      <w:r w:rsidRPr="00154E7B">
        <w:rPr>
          <w:rFonts w:ascii="Times New Roman" w:eastAsia="標楷體" w:hAnsi="Times New Roman" w:cs="Times New Roman"/>
          <w:color w:val="0070C0"/>
        </w:rPr>
        <w:t>委　員：</w:t>
      </w:r>
      <w:r w:rsidRPr="00154E7B">
        <w:rPr>
          <w:rFonts w:ascii="Times New Roman" w:eastAsia="標楷體" w:hAnsi="Times New Roman" w:cs="Times New Roman"/>
          <w:color w:val="0070C0"/>
        </w:rPr>
        <w:t>______________________</w:t>
      </w:r>
      <w:r w:rsidRPr="00154E7B">
        <w:rPr>
          <w:rFonts w:ascii="Times New Roman" w:eastAsia="標楷體" w:hAnsi="Times New Roman" w:cs="Times New Roman"/>
          <w:color w:val="0070C0"/>
        </w:rPr>
        <w:t xml:space="preserve">　　　　指導教授：</w:t>
      </w:r>
      <w:r w:rsidRPr="00154E7B">
        <w:rPr>
          <w:rFonts w:ascii="Times New Roman" w:eastAsia="標楷體" w:hAnsi="Times New Roman" w:cs="Times New Roman"/>
          <w:color w:val="0070C0"/>
        </w:rPr>
        <w:t>____________________</w:t>
      </w:r>
    </w:p>
    <w:p w:rsidR="00AE2003" w:rsidRPr="00154E7B" w:rsidRDefault="0059733F">
      <w:pPr>
        <w:spacing w:before="480" w:line="254" w:lineRule="auto"/>
        <w:jc w:val="center"/>
        <w:rPr>
          <w:color w:val="0070C0"/>
        </w:rPr>
      </w:pPr>
      <w:r w:rsidRPr="00154E7B">
        <w:rPr>
          <w:rFonts w:ascii="Times New Roman" w:eastAsia="標楷體" w:hAnsi="Times New Roman" w:cs="Times New Roman"/>
          <w:color w:val="0070C0"/>
        </w:rPr>
        <w:t>中華民國一一</w:t>
      </w:r>
      <w:r w:rsidRPr="00154E7B">
        <w:rPr>
          <w:rFonts w:ascii="Times New Roman" w:eastAsia="標楷體" w:hAnsi="Times New Roman" w:cs="Times New Roman" w:hint="eastAsia"/>
          <w:color w:val="0070C0"/>
        </w:rPr>
        <w:t>六</w:t>
      </w:r>
      <w:r w:rsidR="007265F6" w:rsidRPr="00154E7B">
        <w:rPr>
          <w:rFonts w:ascii="Times New Roman" w:eastAsia="標楷體" w:hAnsi="Times New Roman" w:cs="Times New Roman"/>
          <w:color w:val="0070C0"/>
        </w:rPr>
        <w:t>年</w:t>
      </w:r>
      <w:r w:rsidRPr="00154E7B">
        <w:rPr>
          <w:rFonts w:ascii="Times New Roman" w:eastAsia="標楷體" w:hAnsi="Times New Roman" w:cs="Times New Roman" w:hint="eastAsia"/>
          <w:color w:val="0070C0"/>
        </w:rPr>
        <w:t>六</w:t>
      </w:r>
      <w:r w:rsidR="007265F6" w:rsidRPr="00154E7B">
        <w:rPr>
          <w:rFonts w:ascii="Times New Roman" w:eastAsia="標楷體" w:hAnsi="Times New Roman" w:cs="Times New Roman"/>
          <w:color w:val="0070C0"/>
        </w:rPr>
        <w:t>月</w:t>
      </w:r>
      <w:r w:rsidRPr="00154E7B">
        <w:rPr>
          <w:rFonts w:ascii="Times New Roman" w:eastAsia="標楷體" w:hAnsi="Times New Roman" w:cs="Times New Roman" w:hint="eastAsia"/>
          <w:color w:val="0070C0"/>
        </w:rPr>
        <w:t xml:space="preserve"> </w:t>
      </w:r>
      <w:r w:rsidR="007265F6" w:rsidRPr="00154E7B">
        <w:rPr>
          <w:rFonts w:ascii="Times New Roman" w:eastAsia="標楷體" w:hAnsi="Times New Roman" w:cs="Times New Roman"/>
          <w:color w:val="0070C0"/>
        </w:rPr>
        <w:t>日</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國立中山大學學位論文公開授權書</w:t>
      </w:r>
    </w:p>
    <w:p w:rsidR="00AE2003" w:rsidRPr="00154E7B" w:rsidRDefault="007265F6">
      <w:pPr>
        <w:spacing w:before="320" w:after="240" w:line="254" w:lineRule="auto"/>
        <w:jc w:val="both"/>
        <w:rPr>
          <w:color w:val="0070C0"/>
        </w:rPr>
      </w:pPr>
      <w:r w:rsidRPr="00154E7B">
        <w:rPr>
          <w:rFonts w:ascii="Times New Roman" w:eastAsia="標楷體" w:hAnsi="Times New Roman" w:cs="Times New Roman"/>
          <w:color w:val="0070C0"/>
        </w:rPr>
        <w:t>本授權書所授權之論文為授權人在國立中山大學財務管理學系碩士班一一</w:t>
      </w:r>
      <w:r w:rsidR="00325E4D" w:rsidRPr="00154E7B">
        <w:rPr>
          <w:rFonts w:ascii="Times New Roman" w:eastAsia="標楷體" w:hAnsi="Times New Roman" w:cs="Times New Roman" w:hint="eastAsia"/>
          <w:color w:val="0070C0"/>
        </w:rPr>
        <w:t>五</w:t>
      </w:r>
      <w:r w:rsidRPr="00154E7B">
        <w:rPr>
          <w:rFonts w:ascii="Times New Roman" w:eastAsia="標楷體" w:hAnsi="Times New Roman" w:cs="Times New Roman"/>
          <w:color w:val="0070C0"/>
        </w:rPr>
        <w:t>學年度第二學期取得碩士學位之論文。</w:t>
      </w:r>
    </w:p>
    <w:p w:rsidR="00AE2003" w:rsidRPr="00154E7B" w:rsidRDefault="007265F6">
      <w:pPr>
        <w:spacing w:before="80" w:after="80" w:line="254" w:lineRule="auto"/>
        <w:jc w:val="both"/>
        <w:rPr>
          <w:color w:val="0070C0"/>
        </w:rPr>
      </w:pPr>
      <w:r w:rsidRPr="00154E7B">
        <w:rPr>
          <w:rFonts w:ascii="Times New Roman" w:eastAsia="標楷體" w:hAnsi="Times New Roman" w:cs="Times New Roman"/>
          <w:b/>
          <w:color w:val="0070C0"/>
        </w:rPr>
        <w:t>論文題目：企業水資源管理與廢棄物處理對成本黏性之影響</w:t>
      </w:r>
    </w:p>
    <w:p w:rsidR="00AE2003" w:rsidRPr="00154E7B" w:rsidRDefault="007265F6">
      <w:pPr>
        <w:spacing w:before="80" w:after="320" w:line="254" w:lineRule="auto"/>
        <w:jc w:val="both"/>
        <w:rPr>
          <w:color w:val="0070C0"/>
        </w:rPr>
      </w:pPr>
      <w:r w:rsidRPr="00154E7B">
        <w:rPr>
          <w:rFonts w:ascii="Times New Roman" w:eastAsia="標楷體" w:hAnsi="Times New Roman" w:cs="Times New Roman"/>
          <w:color w:val="0070C0"/>
        </w:rPr>
        <w:t>指導教授：指導教授姓名</w:t>
      </w:r>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博士</w:t>
      </w:r>
    </w:p>
    <w:p w:rsidR="00AE2003" w:rsidRPr="00154E7B" w:rsidRDefault="007265F6">
      <w:pPr>
        <w:spacing w:before="160" w:after="480" w:line="254" w:lineRule="auto"/>
        <w:ind w:firstLine="480"/>
        <w:jc w:val="both"/>
        <w:rPr>
          <w:color w:val="0070C0"/>
        </w:rPr>
      </w:pPr>
      <w:r w:rsidRPr="00154E7B">
        <w:rPr>
          <w:rFonts w:ascii="Times New Roman" w:eastAsia="標楷體" w:hAnsi="Times New Roman" w:cs="Times New Roman"/>
          <w:color w:val="0070C0"/>
        </w:rPr>
        <w:t>授權人同意將具有著作財產權之論文全文（含摘要），無償授權國家圖書館及國立中山大學圖書資訊處，基於推動學術研究與教育普及之目的，進行微縮、光碟、數位化等方式重製，並得透過網路公開陳列、瀏覽與下載。</w:t>
      </w:r>
    </w:p>
    <w:p w:rsidR="00AE2003" w:rsidRPr="00154E7B" w:rsidRDefault="007265F6">
      <w:pPr>
        <w:spacing w:before="320" w:after="560" w:line="254" w:lineRule="auto"/>
        <w:jc w:val="both"/>
        <w:rPr>
          <w:color w:val="0070C0"/>
        </w:rPr>
      </w:pPr>
      <w:r w:rsidRPr="00154E7B">
        <w:rPr>
          <w:rFonts w:ascii="Times New Roman" w:eastAsia="標楷體" w:hAnsi="Times New Roman" w:cs="Times New Roman"/>
          <w:b/>
          <w:color w:val="0070C0"/>
        </w:rPr>
        <w:t xml:space="preserve">□ </w:t>
      </w:r>
      <w:r w:rsidRPr="00154E7B">
        <w:rPr>
          <w:rFonts w:ascii="Times New Roman" w:eastAsia="標楷體" w:hAnsi="Times New Roman" w:cs="Times New Roman"/>
          <w:b/>
          <w:color w:val="0070C0"/>
        </w:rPr>
        <w:t xml:space="preserve">全文立即公開　　　　</w:t>
      </w:r>
      <w:r w:rsidRPr="00154E7B">
        <w:rPr>
          <w:rFonts w:ascii="Times New Roman" w:eastAsia="標楷體" w:hAnsi="Times New Roman" w:cs="Times New Roman"/>
          <w:b/>
          <w:color w:val="0070C0"/>
        </w:rPr>
        <w:t xml:space="preserve">□ </w:t>
      </w:r>
      <w:r w:rsidRPr="00154E7B">
        <w:rPr>
          <w:rFonts w:ascii="Times New Roman" w:eastAsia="標楷體" w:hAnsi="Times New Roman" w:cs="Times New Roman"/>
          <w:b/>
          <w:color w:val="0070C0"/>
        </w:rPr>
        <w:t>延後公開（自核准日起二年內公開）</w:t>
      </w:r>
    </w:p>
    <w:p w:rsidR="00AE2003" w:rsidRPr="00154E7B" w:rsidRDefault="007265F6">
      <w:pPr>
        <w:spacing w:before="320" w:after="320" w:line="254" w:lineRule="auto"/>
        <w:jc w:val="both"/>
        <w:rPr>
          <w:color w:val="0070C0"/>
        </w:rPr>
      </w:pPr>
      <w:r w:rsidRPr="00154E7B">
        <w:rPr>
          <w:rFonts w:ascii="Times New Roman" w:eastAsia="標楷體" w:hAnsi="Times New Roman" w:cs="Times New Roman"/>
          <w:color w:val="0070C0"/>
        </w:rPr>
        <w:t>研究生簽名：</w:t>
      </w:r>
      <w:r w:rsidRPr="00154E7B">
        <w:rPr>
          <w:rFonts w:ascii="Times New Roman" w:eastAsia="標楷體" w:hAnsi="Times New Roman" w:cs="Times New Roman"/>
          <w:color w:val="0070C0"/>
        </w:rPr>
        <w:t>______________________</w:t>
      </w:r>
      <w:r w:rsidRPr="00154E7B">
        <w:rPr>
          <w:rFonts w:ascii="Times New Roman" w:eastAsia="標楷體" w:hAnsi="Times New Roman" w:cs="Times New Roman"/>
          <w:color w:val="0070C0"/>
        </w:rPr>
        <w:t xml:space="preserve">　　日期：中華民國一一四年六月日</w:t>
      </w:r>
    </w:p>
    <w:p w:rsidR="00AE2003" w:rsidRPr="00154E7B" w:rsidRDefault="007265F6">
      <w:pPr>
        <w:spacing w:before="320" w:line="254" w:lineRule="auto"/>
        <w:jc w:val="both"/>
        <w:rPr>
          <w:color w:val="0070C0"/>
        </w:rPr>
      </w:pPr>
      <w:r w:rsidRPr="00154E7B">
        <w:rPr>
          <w:rFonts w:ascii="Times New Roman" w:eastAsia="標楷體" w:hAnsi="Times New Roman" w:cs="Times New Roman"/>
          <w:color w:val="0070C0"/>
        </w:rPr>
        <w:t>指導教授簽名：</w:t>
      </w:r>
      <w:r w:rsidRPr="00154E7B">
        <w:rPr>
          <w:rFonts w:ascii="Times New Roman" w:eastAsia="標楷體" w:hAnsi="Times New Roman" w:cs="Times New Roman"/>
          <w:color w:val="0070C0"/>
        </w:rPr>
        <w:t>____________________</w:t>
      </w:r>
      <w:r w:rsidRPr="00154E7B">
        <w:rPr>
          <w:rFonts w:ascii="Times New Roman" w:eastAsia="標楷體" w:hAnsi="Times New Roman" w:cs="Times New Roman"/>
          <w:color w:val="0070C0"/>
        </w:rPr>
        <w:t xml:space="preserve">　　日期：中華民國一一四年六月日</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中文摘要</w:t>
      </w:r>
    </w:p>
    <w:p w:rsidR="00AE2003" w:rsidRPr="00154E7B" w:rsidRDefault="007265F6">
      <w:pPr>
        <w:spacing w:before="120" w:after="80" w:line="254" w:lineRule="auto"/>
        <w:jc w:val="center"/>
        <w:rPr>
          <w:color w:val="0070C0"/>
        </w:rPr>
      </w:pPr>
      <w:r w:rsidRPr="00154E7B">
        <w:rPr>
          <w:rFonts w:ascii="Times New Roman" w:eastAsia="標楷體" w:hAnsi="Times New Roman" w:cs="Times New Roman"/>
          <w:b/>
          <w:color w:val="0070C0"/>
          <w:sz w:val="26"/>
        </w:rPr>
        <w:t>論文題目：企業水資源管理與廢棄物處理對成本黏性之影響</w:t>
      </w:r>
    </w:p>
    <w:p w:rsidR="00AE2003" w:rsidRPr="00154E7B" w:rsidRDefault="007265F6">
      <w:pPr>
        <w:spacing w:after="40" w:line="254" w:lineRule="auto"/>
        <w:jc w:val="center"/>
        <w:rPr>
          <w:color w:val="0070C0"/>
        </w:rPr>
      </w:pPr>
      <w:r w:rsidRPr="00154E7B">
        <w:rPr>
          <w:rFonts w:ascii="Times New Roman" w:eastAsia="標楷體" w:hAnsi="Times New Roman" w:cs="Times New Roman"/>
          <w:color w:val="0070C0"/>
          <w:sz w:val="23"/>
        </w:rPr>
        <w:t>研究生：研究生姓名　　指導教授：指導教授姓名</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博士</w:t>
      </w:r>
    </w:p>
    <w:p w:rsidR="00AE2003" w:rsidRPr="00154E7B" w:rsidRDefault="007265F6">
      <w:pPr>
        <w:spacing w:after="320" w:line="254" w:lineRule="auto"/>
        <w:jc w:val="center"/>
        <w:rPr>
          <w:color w:val="0070C0"/>
        </w:rPr>
      </w:pPr>
      <w:r w:rsidRPr="00154E7B">
        <w:rPr>
          <w:rFonts w:ascii="Times New Roman" w:eastAsia="標楷體" w:hAnsi="Times New Roman" w:cs="Times New Roman"/>
          <w:color w:val="0070C0"/>
          <w:sz w:val="23"/>
        </w:rPr>
        <w:t>國立中山大學財務管理學系碩士班</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面對全球極端氣候風險加劇與國際永續發展規範之嚴格要求，企業環境資源管理已從合規議題提升為核心營運戰略。然而，既有管理會計文獻多將成本僵固性歸因於傳統實體資產、專用人力或代理衝突，鮮少探討水資源使用與事業廢棄物處置等環境實質密集度之實質衝擊。本研究以</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2024 </w:t>
      </w:r>
      <w:r w:rsidRPr="00154E7B">
        <w:rPr>
          <w:rFonts w:ascii="Times New Roman" w:eastAsia="標楷體" w:hAnsi="Times New Roman" w:cs="Times New Roman"/>
          <w:color w:val="0070C0"/>
        </w:rPr>
        <w:t>年台灣上市櫃製造業為樣本，整合</w:t>
      </w:r>
      <w:r w:rsidRPr="00154E7B">
        <w:rPr>
          <w:rFonts w:ascii="Times New Roman" w:eastAsia="標楷體" w:hAnsi="Times New Roman" w:cs="Times New Roman"/>
          <w:color w:val="0070C0"/>
        </w:rPr>
        <w:t xml:space="preserve"> TEJ </w:t>
      </w:r>
      <w:r w:rsidRPr="00154E7B">
        <w:rPr>
          <w:rFonts w:ascii="Times New Roman" w:eastAsia="標楷體" w:hAnsi="Times New Roman" w:cs="Times New Roman"/>
          <w:color w:val="0070C0"/>
        </w:rPr>
        <w:t>財務資料庫、</w:t>
      </w:r>
      <w:r w:rsidRPr="00154E7B">
        <w:rPr>
          <w:rFonts w:ascii="Times New Roman" w:eastAsia="標楷體" w:hAnsi="Times New Roman" w:cs="Times New Roman"/>
          <w:color w:val="0070C0"/>
        </w:rPr>
        <w:t xml:space="preserve">TESG </w:t>
      </w:r>
      <w:r w:rsidRPr="00154E7B">
        <w:rPr>
          <w:rFonts w:ascii="Times New Roman" w:eastAsia="標楷體" w:hAnsi="Times New Roman" w:cs="Times New Roman"/>
          <w:color w:val="0070C0"/>
        </w:rPr>
        <w:t>永續環境數量模組與環保裁處資料庫，實證檢驗企業水資源管理（水回收率、用水密集度、水資訊揭露）與事業廢棄物處理（廢棄物密集度、管理揭露評分、違規裁罰金額）對銷管費用成本黏性（</w:t>
      </w:r>
      <w:r w:rsidRPr="00154E7B">
        <w:rPr>
          <w:rFonts w:ascii="Times New Roman" w:eastAsia="標楷體" w:hAnsi="Times New Roman" w:cs="Times New Roman"/>
          <w:color w:val="0070C0"/>
        </w:rPr>
        <w:t>Cost Stickiness</w:t>
      </w:r>
      <w:r w:rsidRPr="00154E7B">
        <w:rPr>
          <w:rFonts w:ascii="Times New Roman" w:eastAsia="標楷體" w:hAnsi="Times New Roman" w:cs="Times New Roman"/>
          <w:color w:val="0070C0"/>
        </w:rPr>
        <w:t>）之調節效果，並深入探討時間落差特性與產業異質性。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實證結果顯示：第一，台灣上市櫃製造業普遍存在顯著之成本黏性，營收衰退時費用下行調整幅度顯著小於營收上升時之擴張幅度。第二，在核心使用密集度構面，企業水回收率與廢棄物密集度對成本黏性具有顯著之加劇效果；為提升水回收率所投入之高額專用性中水淨化重資產折舊，以及事業廢棄物清運簽訂之跨年度保底長約，均大幅推升下行調整成本，限縮了衰退期的費用裁減空間。第三，主動進行水資源揭露有助於緩解成本黏性，反映資訊透明度具備外部監督功能；反之，環境違規裁罰金額顯著加劇成本黏性，印證法定處分與強制整改支出之剛性衝擊。第四，動態時間落差分析證實，環境資源產生的成本剛性具有顯著之遞延累積性（</w:t>
      </w:r>
      <w:r w:rsidRPr="00154E7B">
        <w:rPr>
          <w:rFonts w:ascii="Times New Roman" w:eastAsia="標楷體" w:hAnsi="Times New Roman" w:cs="Times New Roman"/>
          <w:color w:val="0070C0"/>
        </w:rPr>
        <w:t xml:space="preserve">t-1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t-2 </w:t>
      </w:r>
      <w:r w:rsidRPr="00154E7B">
        <w:rPr>
          <w:rFonts w:ascii="Times New Roman" w:eastAsia="標楷體" w:hAnsi="Times New Roman" w:cs="Times New Roman"/>
          <w:color w:val="0070C0"/>
        </w:rPr>
        <w:t>期效果更強），且該加劇效應高度集中於高耗水與高污染製造業。本研究成功將調整成本理論延伸至環境管理會計領域，為企業綠色資本預算決策與監管機關制定實質披露規範提供了關鍵之經驗啟示。</w:t>
      </w:r>
    </w:p>
    <w:p w:rsidR="00AE2003" w:rsidRPr="00154E7B" w:rsidRDefault="007265F6">
      <w:pPr>
        <w:spacing w:before="240" w:line="254" w:lineRule="auto"/>
        <w:jc w:val="both"/>
        <w:rPr>
          <w:color w:val="0070C0"/>
        </w:rPr>
      </w:pPr>
      <w:r w:rsidRPr="00154E7B">
        <w:rPr>
          <w:rFonts w:ascii="Times New Roman" w:eastAsia="標楷體" w:hAnsi="Times New Roman" w:cs="Times New Roman"/>
          <w:b/>
          <w:color w:val="0070C0"/>
        </w:rPr>
        <w:t>關鍵詞：成本黏性、成本僵固性、水資源管理、水回收率、廢棄物密集度、環境違規裁罰、調整成本理論、產業異質性</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Abstract</w:t>
      </w:r>
    </w:p>
    <w:p w:rsidR="00AE2003" w:rsidRPr="00154E7B" w:rsidRDefault="007265F6">
      <w:pPr>
        <w:spacing w:before="120" w:after="80" w:line="254" w:lineRule="auto"/>
        <w:jc w:val="center"/>
        <w:rPr>
          <w:color w:val="0070C0"/>
        </w:rPr>
      </w:pPr>
      <w:r w:rsidRPr="00154E7B">
        <w:rPr>
          <w:rFonts w:ascii="Times New Roman" w:eastAsia="標楷體" w:hAnsi="Times New Roman" w:cs="Times New Roman"/>
          <w:b/>
          <w:color w:val="0070C0"/>
          <w:sz w:val="26"/>
        </w:rPr>
        <w:t>Water Resource Management, Waste Treatment, and Corporate Cost Stickiness</w:t>
      </w:r>
    </w:p>
    <w:p w:rsidR="00AE2003" w:rsidRPr="00154E7B" w:rsidRDefault="007265F6">
      <w:pPr>
        <w:spacing w:after="40" w:line="254" w:lineRule="auto"/>
        <w:jc w:val="center"/>
        <w:rPr>
          <w:color w:val="0070C0"/>
        </w:rPr>
      </w:pPr>
      <w:r w:rsidRPr="00154E7B">
        <w:rPr>
          <w:rFonts w:ascii="Times New Roman" w:eastAsia="標楷體" w:hAnsi="Times New Roman" w:cs="Times New Roman"/>
          <w:color w:val="0070C0"/>
          <w:sz w:val="22"/>
        </w:rPr>
        <w:t>Student: Author Name</w:t>
      </w:r>
      <w:r w:rsidRPr="00154E7B">
        <w:rPr>
          <w:rFonts w:ascii="Times New Roman" w:eastAsia="標楷體" w:hAnsi="Times New Roman" w:cs="Times New Roman"/>
          <w:color w:val="0070C0"/>
          <w:sz w:val="22"/>
        </w:rPr>
        <w:t xml:space="preserve">　　</w:t>
      </w:r>
      <w:r w:rsidRPr="00154E7B">
        <w:rPr>
          <w:rFonts w:ascii="Times New Roman" w:eastAsia="標楷體" w:hAnsi="Times New Roman" w:cs="Times New Roman"/>
          <w:color w:val="0070C0"/>
          <w:sz w:val="22"/>
        </w:rPr>
        <w:t>Advisor: Advisor Name, Ph.D.</w:t>
      </w:r>
    </w:p>
    <w:p w:rsidR="00AE2003" w:rsidRPr="00154E7B" w:rsidRDefault="007265F6">
      <w:pPr>
        <w:spacing w:after="320" w:line="254" w:lineRule="auto"/>
        <w:jc w:val="center"/>
        <w:rPr>
          <w:color w:val="0070C0"/>
        </w:rPr>
      </w:pPr>
      <w:r w:rsidRPr="00154E7B">
        <w:rPr>
          <w:rFonts w:ascii="Times New Roman" w:eastAsia="標楷體" w:hAnsi="Times New Roman" w:cs="Times New Roman"/>
          <w:color w:val="0070C0"/>
          <w:sz w:val="22"/>
        </w:rPr>
        <w:t>Department of Finance, National Sun Yat-sen University</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Under escalating climate risks and stringent environmental regulations, corporate environmental resource management has transitioned from peripheral compliance into a core strategic imperative. However, existing management accounting literature has predominantly attributed cost stickiness to traditional physical assets, specialized labor, or agency conflicts, largely overlooking the substantive operational impacts of physical resource intensity. Based on an empirical sample of Taiwanese listed manufacturing firms from 2014 to 2024, combining data from the TEJ financial database, the TESG sustainable water and waste modules, and regulatory sanction records, this study investigates how water management (water recycling rate, water intensity, and water disclosure) and waste management (waste intensity, disclosure quality, and environmental fines) moderate the stickiness of SG&amp;A expenses, while examining dynamic lagged effects and industry heterogeneity.</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The empirical findings are as follows: First, Taiwanese listed manufacturing firms exhibit significant cost stickiness. Second, higher water recycling rates and waste intensities significantly exacerbate cost stickiness, as specialized capital investments in wastewater purification systems and multi-year take-or-pay contractual commitments with waste contractors impose rigid downward adjustment costs. Third, voluntary water disclosure mitigates cost stickiness by enhancing external transparency and curbing managerial optimism, whereas environmental violation fines significantly amplify cost stickiness due to mandatory compliance expenditures. Fourth, dynamic lag analyses demonstrate that environmental resource rigidities exhibit pronounced temporal persistence (stronger at t-1 and t-2), with the exacerbating effects heavily concentrated in high water-consuming and highly polluting industries. This study bridges environmental accounting and cost behavior theory, offering vital insights for green capital budgeting and regulatory disclosure policies.</w:t>
      </w:r>
    </w:p>
    <w:p w:rsidR="00AE2003" w:rsidRPr="00154E7B" w:rsidRDefault="007265F6">
      <w:pPr>
        <w:spacing w:before="240" w:line="254" w:lineRule="auto"/>
        <w:jc w:val="both"/>
        <w:rPr>
          <w:color w:val="0070C0"/>
        </w:rPr>
      </w:pPr>
      <w:r w:rsidRPr="00154E7B">
        <w:rPr>
          <w:rFonts w:ascii="Times New Roman" w:eastAsia="標楷體" w:hAnsi="Times New Roman" w:cs="Times New Roman"/>
          <w:b/>
          <w:color w:val="0070C0"/>
        </w:rPr>
        <w:t>Keywords: Cost Stickiness, Asymmetric Cost Behavior, Water Resource Management, Water Recycling Rate, Waste Intensity, Environmental Fines, Adjustment Cost Theory, Industry Heterogeneity</w:t>
      </w:r>
    </w:p>
    <w:p w:rsidR="00AE2003" w:rsidRPr="00154E7B" w:rsidRDefault="007265F6">
      <w:pPr>
        <w:rPr>
          <w:color w:val="0070C0"/>
        </w:rPr>
      </w:pPr>
      <w:r w:rsidRPr="00154E7B">
        <w:rPr>
          <w:color w:val="0070C0"/>
        </w:rPr>
        <w:lastRenderedPageBreak/>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目　錄</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論文審定書</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i</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論文公開授權書</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ii</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誌謝</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iii</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中文摘要</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iv</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英文摘要</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v</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目錄</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vi</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表目錄</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ix</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圖目錄</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xi</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b/>
          <w:color w:val="0070C0"/>
          <w:sz w:val="23"/>
        </w:rPr>
        <w:t>第一章</w:t>
      </w:r>
      <w:r w:rsidRPr="00154E7B">
        <w:rPr>
          <w:rFonts w:ascii="Times New Roman" w:eastAsia="標楷體" w:hAnsi="Times New Roman" w:cs="Times New Roman"/>
          <w:b/>
          <w:color w:val="0070C0"/>
          <w:sz w:val="23"/>
        </w:rPr>
        <w:t xml:space="preserve"> </w:t>
      </w:r>
      <w:r w:rsidRPr="00154E7B">
        <w:rPr>
          <w:rFonts w:ascii="Times New Roman" w:eastAsia="標楷體" w:hAnsi="Times New Roman" w:cs="Times New Roman"/>
          <w:b/>
          <w:color w:val="0070C0"/>
          <w:sz w:val="23"/>
        </w:rPr>
        <w:t>緒論</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第一節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研究背景與動機</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第二節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研究目的與研究問題</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第三節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研究流程與論文架構</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b/>
          <w:color w:val="0070C0"/>
          <w:sz w:val="23"/>
        </w:rPr>
        <w:t>第二章</w:t>
      </w:r>
      <w:r w:rsidRPr="00154E7B">
        <w:rPr>
          <w:rFonts w:ascii="Times New Roman" w:eastAsia="標楷體" w:hAnsi="Times New Roman" w:cs="Times New Roman"/>
          <w:b/>
          <w:color w:val="0070C0"/>
          <w:sz w:val="23"/>
        </w:rPr>
        <w:t xml:space="preserve"> </w:t>
      </w:r>
      <w:r w:rsidRPr="00154E7B">
        <w:rPr>
          <w:rFonts w:ascii="Times New Roman" w:eastAsia="標楷體" w:hAnsi="Times New Roman" w:cs="Times New Roman"/>
          <w:b/>
          <w:color w:val="0070C0"/>
          <w:sz w:val="23"/>
        </w:rPr>
        <w:t>文獻探討與研究假說</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7</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第一節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成本僵固性理論基礎與實證文獻</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7</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第二節</w:t>
      </w:r>
      <w:r w:rsidRPr="00154E7B">
        <w:rPr>
          <w:rFonts w:ascii="Times New Roman" w:eastAsia="標楷體" w:hAnsi="Times New Roman" w:cs="Times New Roman"/>
          <w:color w:val="0070C0"/>
          <w:sz w:val="23"/>
        </w:rPr>
        <w:t xml:space="preserve"> ESG</w:t>
      </w:r>
      <w:r w:rsidRPr="00154E7B">
        <w:rPr>
          <w:rFonts w:ascii="Times New Roman" w:eastAsia="標楷體" w:hAnsi="Times New Roman" w:cs="Times New Roman"/>
          <w:color w:val="0070C0"/>
          <w:sz w:val="23"/>
        </w:rPr>
        <w:t>、環境投入與企業成本行為</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9</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第三節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企業水資源管理之營運與成本意涵</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11</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第四節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廢棄物處置、違規裁罰與剛性法遵成本</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12</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第五節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理論整合與研究假說推論</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14</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b/>
          <w:color w:val="0070C0"/>
          <w:sz w:val="23"/>
        </w:rPr>
        <w:lastRenderedPageBreak/>
        <w:t>第三章</w:t>
      </w:r>
      <w:r w:rsidRPr="00154E7B">
        <w:rPr>
          <w:rFonts w:ascii="Times New Roman" w:eastAsia="標楷體" w:hAnsi="Times New Roman" w:cs="Times New Roman"/>
          <w:b/>
          <w:color w:val="0070C0"/>
          <w:sz w:val="23"/>
        </w:rPr>
        <w:t xml:space="preserve"> </w:t>
      </w:r>
      <w:r w:rsidRPr="00154E7B">
        <w:rPr>
          <w:rFonts w:ascii="Times New Roman" w:eastAsia="標楷體" w:hAnsi="Times New Roman" w:cs="Times New Roman"/>
          <w:b/>
          <w:color w:val="0070C0"/>
          <w:sz w:val="23"/>
        </w:rPr>
        <w:t>研究方法與資料</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17</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第一節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資料來源與樣本篩選</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17</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第二節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變數定義與衡量說明</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20</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第三節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實證迴歸模型設計</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23</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b/>
          <w:color w:val="0070C0"/>
          <w:sz w:val="23"/>
        </w:rPr>
        <w:t>第四章</w:t>
      </w:r>
      <w:r w:rsidRPr="00154E7B">
        <w:rPr>
          <w:rFonts w:ascii="Times New Roman" w:eastAsia="標楷體" w:hAnsi="Times New Roman" w:cs="Times New Roman"/>
          <w:b/>
          <w:color w:val="0070C0"/>
          <w:sz w:val="23"/>
        </w:rPr>
        <w:t xml:space="preserve"> </w:t>
      </w:r>
      <w:r w:rsidRPr="00154E7B">
        <w:rPr>
          <w:rFonts w:ascii="Times New Roman" w:eastAsia="標楷體" w:hAnsi="Times New Roman" w:cs="Times New Roman"/>
          <w:b/>
          <w:color w:val="0070C0"/>
          <w:sz w:val="23"/>
        </w:rPr>
        <w:t>實證結果與分析</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25</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第一節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敘述性統計分析</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25</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第二節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相關係數分析與共線性檢定</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27</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第三節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核心結果：水資源管理對成本黏性之影響</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29</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第四節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核心結果：廢棄物處置與違規裁罰對成本黏性之影響</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31</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第五節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動態時間遞延效應檢定</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32</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第六節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產業異質性分析</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33</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第七節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額外分析與穩健性檢驗</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35</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b/>
          <w:color w:val="0070C0"/>
          <w:sz w:val="23"/>
        </w:rPr>
        <w:t>第五章</w:t>
      </w:r>
      <w:r w:rsidRPr="00154E7B">
        <w:rPr>
          <w:rFonts w:ascii="Times New Roman" w:eastAsia="標楷體" w:hAnsi="Times New Roman" w:cs="Times New Roman"/>
          <w:b/>
          <w:color w:val="0070C0"/>
          <w:sz w:val="23"/>
        </w:rPr>
        <w:t xml:space="preserve"> </w:t>
      </w:r>
      <w:r w:rsidRPr="00154E7B">
        <w:rPr>
          <w:rFonts w:ascii="Times New Roman" w:eastAsia="標楷體" w:hAnsi="Times New Roman" w:cs="Times New Roman"/>
          <w:b/>
          <w:color w:val="0070C0"/>
          <w:sz w:val="23"/>
        </w:rPr>
        <w:t>結論與建議</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38</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第一節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研究結論與假說檢定總結</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38</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第二節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學術與理論貢獻</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39</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第三節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實務與管理意涵</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40</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第四節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政策與監管意涵</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41</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第五節</w:t>
      </w:r>
      <w:r w:rsidRPr="00154E7B">
        <w:rPr>
          <w:rFonts w:ascii="Times New Roman" w:eastAsia="標楷體" w:hAnsi="Times New Roman" w:cs="Times New Roman"/>
          <w:color w:val="0070C0"/>
          <w:sz w:val="23"/>
        </w:rPr>
        <w:t xml:space="preserve"> </w:t>
      </w:r>
      <w:r w:rsidRPr="00154E7B">
        <w:rPr>
          <w:rFonts w:ascii="Times New Roman" w:eastAsia="標楷體" w:hAnsi="Times New Roman" w:cs="Times New Roman"/>
          <w:color w:val="0070C0"/>
          <w:sz w:val="23"/>
        </w:rPr>
        <w:t>研究限制與未來研究方向</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42</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b/>
          <w:color w:val="0070C0"/>
          <w:sz w:val="23"/>
        </w:rPr>
        <w:t>參考文獻</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44</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一、中文文獻</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44</w:t>
      </w:r>
    </w:p>
    <w:p w:rsidR="00AE2003" w:rsidRPr="00154E7B" w:rsidRDefault="007265F6">
      <w:pPr>
        <w:spacing w:before="20" w:after="20" w:line="252" w:lineRule="auto"/>
        <w:jc w:val="both"/>
        <w:rPr>
          <w:color w:val="0070C0"/>
        </w:rPr>
      </w:pPr>
      <w:r w:rsidRPr="00154E7B">
        <w:rPr>
          <w:rFonts w:ascii="Times New Roman" w:eastAsia="標楷體" w:hAnsi="Times New Roman" w:cs="Times New Roman"/>
          <w:color w:val="0070C0"/>
          <w:sz w:val="23"/>
        </w:rPr>
        <w:t xml:space="preserve">　二、英文文獻</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3"/>
        </w:rPr>
        <w:t>45</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表　目　錄</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3-1 </w:t>
      </w:r>
      <w:r w:rsidRPr="00154E7B">
        <w:rPr>
          <w:rFonts w:ascii="Times New Roman" w:eastAsia="標楷體" w:hAnsi="Times New Roman" w:cs="Times New Roman"/>
          <w:color w:val="0070C0"/>
          <w:sz w:val="22"/>
        </w:rPr>
        <w:t>樣本選取與篩選歷程表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18</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3-2 </w:t>
      </w:r>
      <w:r w:rsidRPr="00154E7B">
        <w:rPr>
          <w:rFonts w:ascii="Times New Roman" w:eastAsia="標楷體" w:hAnsi="Times New Roman" w:cs="Times New Roman"/>
          <w:color w:val="0070C0"/>
          <w:sz w:val="22"/>
        </w:rPr>
        <w:t>製造業細部產業樣本分佈表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19</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3-3 </w:t>
      </w:r>
      <w:r w:rsidRPr="00154E7B">
        <w:rPr>
          <w:rFonts w:ascii="Times New Roman" w:eastAsia="標楷體" w:hAnsi="Times New Roman" w:cs="Times New Roman"/>
          <w:color w:val="0070C0"/>
          <w:sz w:val="22"/>
        </w:rPr>
        <w:t>主要變數定義與衡量說明表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21</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4-1 </w:t>
      </w:r>
      <w:r w:rsidRPr="00154E7B">
        <w:rPr>
          <w:rFonts w:ascii="Times New Roman" w:eastAsia="標楷體" w:hAnsi="Times New Roman" w:cs="Times New Roman"/>
          <w:color w:val="0070C0"/>
          <w:sz w:val="22"/>
        </w:rPr>
        <w:t>全樣本主要變數之敘述性統計表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26</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4-2 </w:t>
      </w:r>
      <w:r w:rsidRPr="00154E7B">
        <w:rPr>
          <w:rFonts w:ascii="Times New Roman" w:eastAsia="標楷體" w:hAnsi="Times New Roman" w:cs="Times New Roman"/>
          <w:color w:val="0070C0"/>
          <w:sz w:val="22"/>
        </w:rPr>
        <w:t>高低耗水</w:t>
      </w:r>
      <w:r w:rsidRPr="00154E7B">
        <w:rPr>
          <w:rFonts w:ascii="Times New Roman" w:eastAsia="標楷體" w:hAnsi="Times New Roman" w:cs="Times New Roman"/>
          <w:color w:val="0070C0"/>
          <w:sz w:val="22"/>
        </w:rPr>
        <w:t>/</w:t>
      </w:r>
      <w:r w:rsidRPr="00154E7B">
        <w:rPr>
          <w:rFonts w:ascii="Times New Roman" w:eastAsia="標楷體" w:hAnsi="Times New Roman" w:cs="Times New Roman"/>
          <w:color w:val="0070C0"/>
          <w:sz w:val="22"/>
        </w:rPr>
        <w:t>高污染製造業分群統計差異檢定表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27</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4-3 </w:t>
      </w:r>
      <w:r w:rsidRPr="00154E7B">
        <w:rPr>
          <w:rFonts w:ascii="Times New Roman" w:eastAsia="標楷體" w:hAnsi="Times New Roman" w:cs="Times New Roman"/>
          <w:color w:val="0070C0"/>
          <w:sz w:val="22"/>
        </w:rPr>
        <w:t>主要連續變數之相關係數矩陣表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28</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4-4 </w:t>
      </w:r>
      <w:r w:rsidRPr="00154E7B">
        <w:rPr>
          <w:rFonts w:ascii="Times New Roman" w:eastAsia="標楷體" w:hAnsi="Times New Roman" w:cs="Times New Roman"/>
          <w:color w:val="0070C0"/>
          <w:sz w:val="22"/>
        </w:rPr>
        <w:t>水資源管理對成本黏性之實證迴歸結果表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30</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4-5 </w:t>
      </w:r>
      <w:r w:rsidRPr="00154E7B">
        <w:rPr>
          <w:rFonts w:ascii="Times New Roman" w:eastAsia="標楷體" w:hAnsi="Times New Roman" w:cs="Times New Roman"/>
          <w:color w:val="0070C0"/>
          <w:sz w:val="22"/>
        </w:rPr>
        <w:t>廢棄物管理與違規裁罰對成本黏性之實證迴歸結果表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31</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4-6 </w:t>
      </w:r>
      <w:r w:rsidRPr="00154E7B">
        <w:rPr>
          <w:rFonts w:ascii="Times New Roman" w:eastAsia="標楷體" w:hAnsi="Times New Roman" w:cs="Times New Roman"/>
          <w:color w:val="0070C0"/>
          <w:sz w:val="22"/>
        </w:rPr>
        <w:t>環境資源管理之時間落差效應分析表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33</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4-7 </w:t>
      </w:r>
      <w:r w:rsidRPr="00154E7B">
        <w:rPr>
          <w:rFonts w:ascii="Times New Roman" w:eastAsia="標楷體" w:hAnsi="Times New Roman" w:cs="Times New Roman"/>
          <w:color w:val="0070C0"/>
          <w:sz w:val="22"/>
        </w:rPr>
        <w:t>高耗水</w:t>
      </w:r>
      <w:r w:rsidRPr="00154E7B">
        <w:rPr>
          <w:rFonts w:ascii="Times New Roman" w:eastAsia="標楷體" w:hAnsi="Times New Roman" w:cs="Times New Roman"/>
          <w:color w:val="0070C0"/>
          <w:sz w:val="22"/>
        </w:rPr>
        <w:t>/</w:t>
      </w:r>
      <w:r w:rsidRPr="00154E7B">
        <w:rPr>
          <w:rFonts w:ascii="Times New Roman" w:eastAsia="標楷體" w:hAnsi="Times New Roman" w:cs="Times New Roman"/>
          <w:color w:val="0070C0"/>
          <w:sz w:val="22"/>
        </w:rPr>
        <w:t>高污染</w:t>
      </w:r>
      <w:r w:rsidRPr="00154E7B">
        <w:rPr>
          <w:rFonts w:ascii="Times New Roman" w:eastAsia="標楷體" w:hAnsi="Times New Roman" w:cs="Times New Roman"/>
          <w:color w:val="0070C0"/>
          <w:sz w:val="22"/>
        </w:rPr>
        <w:t xml:space="preserve"> vs </w:t>
      </w:r>
      <w:r w:rsidRPr="00154E7B">
        <w:rPr>
          <w:rFonts w:ascii="Times New Roman" w:eastAsia="標楷體" w:hAnsi="Times New Roman" w:cs="Times New Roman"/>
          <w:color w:val="0070C0"/>
          <w:sz w:val="22"/>
        </w:rPr>
        <w:t>低污染製造業分組迴歸比較表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34</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4-8 </w:t>
      </w:r>
      <w:r w:rsidRPr="00154E7B">
        <w:rPr>
          <w:rFonts w:ascii="Times New Roman" w:eastAsia="標楷體" w:hAnsi="Times New Roman" w:cs="Times New Roman"/>
          <w:color w:val="0070C0"/>
          <w:sz w:val="22"/>
        </w:rPr>
        <w:t>營業成本與銷管費用分拆比較檢驗表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36</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4-9 </w:t>
      </w:r>
      <w:r w:rsidRPr="00154E7B">
        <w:rPr>
          <w:rFonts w:ascii="Times New Roman" w:eastAsia="標楷體" w:hAnsi="Times New Roman" w:cs="Times New Roman"/>
          <w:color w:val="0070C0"/>
          <w:sz w:val="22"/>
        </w:rPr>
        <w:t>替代變數衡量與敏感度穩健性檢驗表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37</w:t>
      </w:r>
    </w:p>
    <w:p w:rsidR="00AE2003" w:rsidRPr="00154E7B" w:rsidRDefault="007265F6">
      <w:pPr>
        <w:spacing w:before="40" w:after="40" w:line="252" w:lineRule="auto"/>
        <w:jc w:val="both"/>
        <w:rPr>
          <w:color w:val="0070C0"/>
        </w:rPr>
      </w:pPr>
      <w:r w:rsidRPr="00154E7B">
        <w:rPr>
          <w:rFonts w:ascii="Times New Roman" w:eastAsia="標楷體" w:hAnsi="Times New Roman" w:cs="Times New Roman"/>
          <w:color w:val="0070C0"/>
          <w:sz w:val="22"/>
        </w:rPr>
        <w:t>表</w:t>
      </w:r>
      <w:r w:rsidRPr="00154E7B">
        <w:rPr>
          <w:rFonts w:ascii="Times New Roman" w:eastAsia="標楷體" w:hAnsi="Times New Roman" w:cs="Times New Roman"/>
          <w:color w:val="0070C0"/>
          <w:sz w:val="22"/>
        </w:rPr>
        <w:t xml:space="preserve"> 5-1 </w:t>
      </w:r>
      <w:r w:rsidRPr="00154E7B">
        <w:rPr>
          <w:rFonts w:ascii="Times New Roman" w:eastAsia="標楷體" w:hAnsi="Times New Roman" w:cs="Times New Roman"/>
          <w:color w:val="0070C0"/>
          <w:sz w:val="22"/>
        </w:rPr>
        <w:t>研究假說驗證結果彙總表</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39</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圖　目　錄</w:t>
      </w:r>
    </w:p>
    <w:p w:rsidR="00AE2003" w:rsidRPr="00154E7B" w:rsidRDefault="007265F6">
      <w:pPr>
        <w:spacing w:before="60" w:after="60" w:line="252" w:lineRule="auto"/>
        <w:jc w:val="both"/>
        <w:rPr>
          <w:color w:val="0070C0"/>
        </w:rPr>
      </w:pPr>
      <w:r w:rsidRPr="00154E7B">
        <w:rPr>
          <w:rFonts w:ascii="Times New Roman" w:eastAsia="標楷體" w:hAnsi="Times New Roman" w:cs="Times New Roman"/>
          <w:color w:val="0070C0"/>
          <w:sz w:val="22"/>
        </w:rPr>
        <w:t>圖</w:t>
      </w:r>
      <w:r w:rsidRPr="00154E7B">
        <w:rPr>
          <w:rFonts w:ascii="Times New Roman" w:eastAsia="標楷體" w:hAnsi="Times New Roman" w:cs="Times New Roman"/>
          <w:color w:val="0070C0"/>
          <w:sz w:val="22"/>
        </w:rPr>
        <w:t xml:space="preserve"> 1-1 </w:t>
      </w:r>
      <w:r w:rsidRPr="00154E7B">
        <w:rPr>
          <w:rFonts w:ascii="Times New Roman" w:eastAsia="標楷體" w:hAnsi="Times New Roman" w:cs="Times New Roman"/>
          <w:color w:val="0070C0"/>
          <w:sz w:val="22"/>
        </w:rPr>
        <w:t>本研究之研究流程圖</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4</w:t>
      </w:r>
    </w:p>
    <w:p w:rsidR="00AE2003" w:rsidRPr="00154E7B" w:rsidRDefault="007265F6">
      <w:pPr>
        <w:spacing w:before="60" w:after="60" w:line="252" w:lineRule="auto"/>
        <w:jc w:val="both"/>
        <w:rPr>
          <w:color w:val="0070C0"/>
        </w:rPr>
      </w:pPr>
      <w:r w:rsidRPr="00154E7B">
        <w:rPr>
          <w:rFonts w:ascii="Times New Roman" w:eastAsia="標楷體" w:hAnsi="Times New Roman" w:cs="Times New Roman"/>
          <w:color w:val="0070C0"/>
          <w:sz w:val="22"/>
        </w:rPr>
        <w:t>圖</w:t>
      </w:r>
      <w:r w:rsidRPr="00154E7B">
        <w:rPr>
          <w:rFonts w:ascii="Times New Roman" w:eastAsia="標楷體" w:hAnsi="Times New Roman" w:cs="Times New Roman"/>
          <w:color w:val="0070C0"/>
          <w:sz w:val="22"/>
        </w:rPr>
        <w:t xml:space="preserve"> 1-2 </w:t>
      </w:r>
      <w:r w:rsidRPr="00154E7B">
        <w:rPr>
          <w:rFonts w:ascii="Times New Roman" w:eastAsia="標楷體" w:hAnsi="Times New Roman" w:cs="Times New Roman"/>
          <w:color w:val="0070C0"/>
          <w:sz w:val="22"/>
        </w:rPr>
        <w:t>本論文之研究架構圖</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4</w:t>
      </w:r>
    </w:p>
    <w:p w:rsidR="00AE2003" w:rsidRPr="00154E7B" w:rsidRDefault="007265F6">
      <w:pPr>
        <w:spacing w:before="60" w:after="60" w:line="252" w:lineRule="auto"/>
        <w:jc w:val="both"/>
        <w:rPr>
          <w:color w:val="0070C0"/>
        </w:rPr>
      </w:pPr>
      <w:r w:rsidRPr="00154E7B">
        <w:rPr>
          <w:rFonts w:ascii="Times New Roman" w:eastAsia="標楷體" w:hAnsi="Times New Roman" w:cs="Times New Roman"/>
          <w:color w:val="0070C0"/>
          <w:sz w:val="22"/>
        </w:rPr>
        <w:t>圖</w:t>
      </w:r>
      <w:r w:rsidRPr="00154E7B">
        <w:rPr>
          <w:rFonts w:ascii="Times New Roman" w:eastAsia="標楷體" w:hAnsi="Times New Roman" w:cs="Times New Roman"/>
          <w:color w:val="0070C0"/>
          <w:sz w:val="22"/>
        </w:rPr>
        <w:t xml:space="preserve"> 2-1 </w:t>
      </w:r>
      <w:r w:rsidRPr="00154E7B">
        <w:rPr>
          <w:rFonts w:ascii="Times New Roman" w:eastAsia="標楷體" w:hAnsi="Times New Roman" w:cs="Times New Roman"/>
          <w:color w:val="0070C0"/>
          <w:sz w:val="22"/>
        </w:rPr>
        <w:t>企業環境資源管理對成本黏性影響之雙路徑概念模型圖</w:t>
      </w:r>
      <w:r w:rsidRPr="00154E7B">
        <w:rPr>
          <w:rFonts w:ascii="Times New Roman" w:eastAsia="標楷體" w:hAnsi="Times New Roman" w:cs="Times New Roman"/>
          <w:color w:val="0070C0"/>
          <w:sz w:val="20"/>
        </w:rPr>
        <w:t xml:space="preserve"> …… </w:t>
      </w:r>
      <w:r w:rsidRPr="00154E7B">
        <w:rPr>
          <w:rFonts w:ascii="Times New Roman" w:eastAsia="標楷體" w:hAnsi="Times New Roman" w:cs="Times New Roman"/>
          <w:b/>
          <w:color w:val="0070C0"/>
          <w:sz w:val="22"/>
        </w:rPr>
        <w:t>15</w:t>
      </w:r>
    </w:p>
    <w:p w:rsidR="00AE2003" w:rsidRPr="00154E7B" w:rsidRDefault="00AE2003">
      <w:pPr>
        <w:rPr>
          <w:color w:val="0070C0"/>
        </w:rPr>
        <w:sectPr w:rsidR="00AE2003" w:rsidRPr="00154E7B">
          <w:headerReference w:type="default" r:id="rId9"/>
          <w:footerReference w:type="default" r:id="rId10"/>
          <w:pgSz w:w="11906" w:h="16838"/>
          <w:pgMar w:top="1440" w:right="1701" w:bottom="1440" w:left="1701" w:header="851" w:footer="992" w:gutter="0"/>
          <w:pgNumType w:fmt="lowerRoman" w:start="1"/>
          <w:cols w:space="425"/>
          <w:docGrid w:type="lines" w:linePitch="360"/>
        </w:sectPr>
      </w:pP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第一章</w:t>
      </w:r>
      <w:r w:rsidRPr="00154E7B">
        <w:rPr>
          <w:rFonts w:ascii="Times New Roman" w:eastAsia="標楷體" w:hAnsi="Times New Roman" w:cs="Times New Roman"/>
          <w:b/>
          <w:color w:val="0070C0"/>
          <w:sz w:val="36"/>
        </w:rPr>
        <w:t xml:space="preserve"> </w:t>
      </w:r>
      <w:r w:rsidRPr="00154E7B">
        <w:rPr>
          <w:rFonts w:ascii="Times New Roman" w:eastAsia="標楷體" w:hAnsi="Times New Roman" w:cs="Times New Roman"/>
          <w:b/>
          <w:color w:val="0070C0"/>
          <w:sz w:val="36"/>
        </w:rPr>
        <w:t>緒論</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第一節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研究背景與動機</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近年來，全球氣候變遷加劇、極端氣候事件頻發，以及國際社會對環境、社會與公司治理（</w:t>
      </w:r>
      <w:r w:rsidRPr="00154E7B">
        <w:rPr>
          <w:rFonts w:ascii="Times New Roman" w:eastAsia="標楷體" w:hAnsi="Times New Roman" w:cs="Times New Roman"/>
          <w:color w:val="0070C0"/>
        </w:rPr>
        <w:t>Environmental, Social, and Governance, ESG</w:t>
      </w:r>
      <w:r w:rsidRPr="00154E7B">
        <w:rPr>
          <w:rFonts w:ascii="Times New Roman" w:eastAsia="標楷體" w:hAnsi="Times New Roman" w:cs="Times New Roman"/>
          <w:color w:val="0070C0"/>
        </w:rPr>
        <w:t>）議題的高度關注，已徹底顛覆了現代企業的營運環境與競爭法則。傳統上，企業經營主要聚焦於經濟利益極大化、生產規模擴張與財務績效提升；然而，在當前嚴峻的氣候變遷威脅與資源枯竭壓力下，環境永續性（</w:t>
      </w:r>
      <w:r w:rsidRPr="00154E7B">
        <w:rPr>
          <w:rFonts w:ascii="Times New Roman" w:eastAsia="標楷體" w:hAnsi="Times New Roman" w:cs="Times New Roman"/>
          <w:color w:val="0070C0"/>
        </w:rPr>
        <w:t>Environmental Sustainability</w:t>
      </w:r>
      <w:r w:rsidRPr="00154E7B">
        <w:rPr>
          <w:rFonts w:ascii="Times New Roman" w:eastAsia="標楷體" w:hAnsi="Times New Roman" w:cs="Times New Roman"/>
          <w:color w:val="0070C0"/>
        </w:rPr>
        <w:t>）已從過往邊緣性之企業社會責任倡導，躍升為牽動企業生存與核心競爭力之戰略核心。特別是在高度依賴資源輸入與加工製造的實體產業中，水資源的穩定供給與事業廢棄物的妥善處置，更直接關係到日常生產流程的連續性與合規營運的底線。</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就台灣產業結構而言，製造業無疑是支持台灣整體經濟發展與出口創匯的重要支柱，尤其是以半導體積體電路、光電顯示器、電腦周邊及化學材料為代表的高科技與精密製造產業，在國際供應鏈中居於不可或缺的樞紐地位。然而，這些產業在製程高度精密的背後，伴隨而來的正是對清潔水資源的龐大消耗，以及伴生大量工業廢水與事業廢棄物的沉重環境負擔。台灣地狹人稠，雖然年平均降雨量充沛，但由於地形陡峭、河流短促且降雨時間與空間分佈極度不均，水資源調蓄能力相對脆弱。一旦遭遇乾旱年份或枯水期，水資源短缺往往對竹科、中科與南科等高科技聚落的產能運轉構成極大的威脅。為降低對自來水與天然水源的單向依賴，並符合日益嚴格的國家水資源法規與減水目標，製造業廠商紛紛斥資數十億甚至百億元，於廠區內部大規模興建高階中水回收系統、薄膜生物反應器（</w:t>
      </w:r>
      <w:r w:rsidRPr="00154E7B">
        <w:rPr>
          <w:rFonts w:ascii="Times New Roman" w:eastAsia="標楷體" w:hAnsi="Times New Roman" w:cs="Times New Roman"/>
          <w:color w:val="0070C0"/>
        </w:rPr>
        <w:t>MBR</w:t>
      </w:r>
      <w:r w:rsidRPr="00154E7B">
        <w:rPr>
          <w:rFonts w:ascii="Times New Roman" w:eastAsia="標楷體" w:hAnsi="Times New Roman" w:cs="Times New Roman"/>
          <w:color w:val="0070C0"/>
        </w:rPr>
        <w:t>）、雙重逆滲透（</w:t>
      </w:r>
      <w:r w:rsidRPr="00154E7B">
        <w:rPr>
          <w:rFonts w:ascii="Times New Roman" w:eastAsia="標楷體" w:hAnsi="Times New Roman" w:cs="Times New Roman"/>
          <w:color w:val="0070C0"/>
        </w:rPr>
        <w:t>RO</w:t>
      </w:r>
      <w:r w:rsidRPr="00154E7B">
        <w:rPr>
          <w:rFonts w:ascii="Times New Roman" w:eastAsia="標楷體" w:hAnsi="Times New Roman" w:cs="Times New Roman"/>
          <w:color w:val="0070C0"/>
        </w:rPr>
        <w:t>）設備與廢水蒸發零排放（</w:t>
      </w:r>
      <w:r w:rsidRPr="00154E7B">
        <w:rPr>
          <w:rFonts w:ascii="Times New Roman" w:eastAsia="標楷體" w:hAnsi="Times New Roman" w:cs="Times New Roman"/>
          <w:color w:val="0070C0"/>
        </w:rPr>
        <w:t>ZLD</w:t>
      </w:r>
      <w:r w:rsidRPr="00154E7B">
        <w:rPr>
          <w:rFonts w:ascii="Times New Roman" w:eastAsia="標楷體" w:hAnsi="Times New Roman" w:cs="Times New Roman"/>
          <w:color w:val="0070C0"/>
        </w:rPr>
        <w:t>）系統，竭力追求製程水回收率的極致提升。</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事業廢棄物處置方面，製造業同樣面臨空前嚴峻的法規監管與社會檢視壓力。生產製程中所產生的有害事業廢棄物（如化學溶劑、重金屬污泥、酸鹼廢液）與一般事業廢棄物，若處置不當將引發嚴重之環境污染公害，並招致主管機關高額罰鍰、限期改善乃至勒令停工等毀滅性處分。然而，國內合法廢棄物終端掩埋與焚化量能長期緊縮，使得事業廢棄物清除與處理費用呈現長期攀升趨勢。企業為確保廢棄物依法合規清運，通常必須與具備甲級處理執照之專業機構簽署長期、跨年度且約定最低保底清運量（</w:t>
      </w:r>
      <w:r w:rsidRPr="00154E7B">
        <w:rPr>
          <w:rFonts w:ascii="Times New Roman" w:eastAsia="標楷體" w:hAnsi="Times New Roman" w:cs="Times New Roman"/>
          <w:color w:val="0070C0"/>
        </w:rPr>
        <w:t>Take-or-pay</w:t>
      </w:r>
      <w:r w:rsidRPr="00154E7B">
        <w:rPr>
          <w:rFonts w:ascii="Times New Roman" w:eastAsia="標楷體" w:hAnsi="Times New Roman" w:cs="Times New Roman"/>
          <w:color w:val="0070C0"/>
        </w:rPr>
        <w:t>）之剛性契約；或是自行投入龐大資本購置自有焚化爐、熱裂解與廢棄物固化再利用設施。此種以高度資本密集與剛性合約為特徵的廢棄物管理架構，在強化環境合規的同時，亦深遠地改變了企業的成本結構特徵。</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然而，在管理學界與實務界熱烈探討綠色轉型與永續投資之際，鮮有文獻深入審視這些環境管理作為對企業內部成本行為（</w:t>
      </w:r>
      <w:r w:rsidRPr="00154E7B">
        <w:rPr>
          <w:rFonts w:ascii="Times New Roman" w:eastAsia="標楷體" w:hAnsi="Times New Roman" w:cs="Times New Roman"/>
          <w:color w:val="0070C0"/>
        </w:rPr>
        <w:t>Cost Behavior</w:t>
      </w:r>
      <w:r w:rsidRPr="00154E7B">
        <w:rPr>
          <w:rFonts w:ascii="Times New Roman" w:eastAsia="標楷體" w:hAnsi="Times New Roman" w:cs="Times New Roman"/>
          <w:color w:val="0070C0"/>
        </w:rPr>
        <w:t>）所產生的深遠衝擊。</w:t>
      </w:r>
      <w:r w:rsidRPr="00154E7B">
        <w:rPr>
          <w:rFonts w:ascii="Times New Roman" w:eastAsia="標楷體" w:hAnsi="Times New Roman" w:cs="Times New Roman"/>
          <w:color w:val="0070C0"/>
        </w:rPr>
        <w:lastRenderedPageBreak/>
        <w:t>在傳統管理會計架構下，成本性態通常被簡化為變動成本與固定成本之二分法，並假設成本之變動程度僅取決於產銷活動量的變動幅度，呈現完全對稱的線性反應。然而，自</w:t>
      </w:r>
      <w:r w:rsidRPr="00154E7B">
        <w:rPr>
          <w:rFonts w:ascii="Times New Roman" w:eastAsia="標楷體" w:hAnsi="Times New Roman" w:cs="Times New Roman"/>
          <w:color w:val="0070C0"/>
        </w:rPr>
        <w:t xml:space="preserve"> Anderson, Banker, and Janakiraman (2003, </w:t>
      </w:r>
      <w:r w:rsidRPr="00154E7B">
        <w:rPr>
          <w:rFonts w:ascii="Times New Roman" w:eastAsia="標楷體" w:hAnsi="Times New Roman" w:cs="Times New Roman"/>
          <w:color w:val="0070C0"/>
        </w:rPr>
        <w:t>以下簡稱</w:t>
      </w:r>
      <w:r w:rsidRPr="00154E7B">
        <w:rPr>
          <w:rFonts w:ascii="Times New Roman" w:eastAsia="標楷體" w:hAnsi="Times New Roman" w:cs="Times New Roman"/>
          <w:color w:val="0070C0"/>
        </w:rPr>
        <w:t xml:space="preserve"> ABJ) </w:t>
      </w:r>
      <w:r w:rsidRPr="00154E7B">
        <w:rPr>
          <w:rFonts w:ascii="Times New Roman" w:eastAsia="標楷體" w:hAnsi="Times New Roman" w:cs="Times New Roman"/>
          <w:color w:val="0070C0"/>
        </w:rPr>
        <w:t>的開創性實證研究發表以來，管理會計領域確立了「成本僵固性」（</w:t>
      </w:r>
      <w:r w:rsidRPr="00154E7B">
        <w:rPr>
          <w:rFonts w:ascii="Times New Roman" w:eastAsia="標楷體" w:hAnsi="Times New Roman" w:cs="Times New Roman"/>
          <w:color w:val="0070C0"/>
        </w:rPr>
        <w:t>Cost Stickiness</w:t>
      </w:r>
      <w:r w:rsidRPr="00154E7B">
        <w:rPr>
          <w:rFonts w:ascii="Times New Roman" w:eastAsia="標楷體" w:hAnsi="Times New Roman" w:cs="Times New Roman"/>
          <w:color w:val="0070C0"/>
        </w:rPr>
        <w:t>，或稱成本黏性）的概念。</w:t>
      </w:r>
      <w:r w:rsidRPr="00154E7B">
        <w:rPr>
          <w:rFonts w:ascii="Times New Roman" w:eastAsia="標楷體" w:hAnsi="Times New Roman" w:cs="Times New Roman"/>
          <w:color w:val="0070C0"/>
        </w:rPr>
        <w:t xml:space="preserve">ABJ </w:t>
      </w:r>
      <w:r w:rsidRPr="00154E7B">
        <w:rPr>
          <w:rFonts w:ascii="Times New Roman" w:eastAsia="標楷體" w:hAnsi="Times New Roman" w:cs="Times New Roman"/>
          <w:color w:val="0070C0"/>
        </w:rPr>
        <w:t>實證發現，當銷售收入上升</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時，銷管費用平均上升</w:t>
      </w:r>
      <w:r w:rsidRPr="00154E7B">
        <w:rPr>
          <w:rFonts w:ascii="Times New Roman" w:eastAsia="標楷體" w:hAnsi="Times New Roman" w:cs="Times New Roman"/>
          <w:color w:val="0070C0"/>
        </w:rPr>
        <w:t xml:space="preserve"> 0.55%</w:t>
      </w:r>
      <w:r w:rsidRPr="00154E7B">
        <w:rPr>
          <w:rFonts w:ascii="Times New Roman" w:eastAsia="標楷體" w:hAnsi="Times New Roman" w:cs="Times New Roman"/>
          <w:color w:val="0070C0"/>
        </w:rPr>
        <w:t>；但當銷售收入衰退</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時，銷管費用僅下降</w:t>
      </w:r>
      <w:r w:rsidRPr="00154E7B">
        <w:rPr>
          <w:rFonts w:ascii="Times New Roman" w:eastAsia="標楷體" w:hAnsi="Times New Roman" w:cs="Times New Roman"/>
          <w:color w:val="0070C0"/>
        </w:rPr>
        <w:t xml:space="preserve"> 0.35%</w:t>
      </w:r>
      <w:r w:rsidRPr="00154E7B">
        <w:rPr>
          <w:rFonts w:ascii="Times New Roman" w:eastAsia="標楷體" w:hAnsi="Times New Roman" w:cs="Times New Roman"/>
          <w:color w:val="0070C0"/>
        </w:rPr>
        <w:t>。此種在需求下滑時費用調整幅度顯著小於需求上升時調整幅度的非對稱現象，顛覆了傳統對稱性成本理論，成為現代財務與會計學界探討企業資源調度與經營彈性的核心焦點。</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成本黏性的核心理論基石在於「資源調整成本理論」（</w:t>
      </w:r>
      <w:r w:rsidRPr="00154E7B">
        <w:rPr>
          <w:rFonts w:ascii="Times New Roman" w:eastAsia="標楷體" w:hAnsi="Times New Roman" w:cs="Times New Roman"/>
          <w:color w:val="0070C0"/>
        </w:rPr>
        <w:t>Adjustment Cost Theory</w:t>
      </w:r>
      <w:r w:rsidRPr="00154E7B">
        <w:rPr>
          <w:rFonts w:ascii="Times New Roman" w:eastAsia="標楷體" w:hAnsi="Times New Roman" w:cs="Times New Roman"/>
          <w:color w:val="0070C0"/>
        </w:rPr>
        <w:t>）。當企業銷售收入出現非預期之衰退時，管理者面臨兩難之資源配置決策：若立即裁撤冗餘資源（如解僱專門技術人員、變賣閒置機械設備、提前終止長期租賃或外包合約），企業必須支付龐大的「下行調整成本」（</w:t>
      </w:r>
      <w:r w:rsidRPr="00154E7B">
        <w:rPr>
          <w:rFonts w:ascii="Times New Roman" w:eastAsia="標楷體" w:hAnsi="Times New Roman" w:cs="Times New Roman"/>
          <w:color w:val="0070C0"/>
        </w:rPr>
        <w:t>Downward Adjustment Costs</w:t>
      </w:r>
      <w:r w:rsidRPr="00154E7B">
        <w:rPr>
          <w:rFonts w:ascii="Times New Roman" w:eastAsia="標楷體" w:hAnsi="Times New Roman" w:cs="Times New Roman"/>
          <w:color w:val="0070C0"/>
        </w:rPr>
        <w:t>），包含解約賠償金、資遣費、資產折價拍賣損失及商譽損害；更關鍵的是，一旦未來市場需求在短期內迅速復甦，企業又必須重新支付高昂的「上行調整成本」（</w:t>
      </w:r>
      <w:r w:rsidRPr="00154E7B">
        <w:rPr>
          <w:rFonts w:ascii="Times New Roman" w:eastAsia="標楷體" w:hAnsi="Times New Roman" w:cs="Times New Roman"/>
          <w:color w:val="0070C0"/>
        </w:rPr>
        <w:t>Upward Adjustment Costs</w:t>
      </w:r>
      <w:r w:rsidRPr="00154E7B">
        <w:rPr>
          <w:rFonts w:ascii="Times New Roman" w:eastAsia="標楷體" w:hAnsi="Times New Roman" w:cs="Times New Roman"/>
          <w:color w:val="0070C0"/>
        </w:rPr>
        <w:t>），包含重新招聘與培訓員工、購置新設備及重新洽談供應商之交易成本。因此，當資源具備高度專用性、契約缺乏彈性，或是管理者對未來需求抱持過度樂觀預期時，理性或追求私利的管理者往往傾向於暫時保留閒置資源，從而形成顯著的費用黏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在台灣學術界，既有關於成本僵固性之實證研究已累積了豐富成果。學者們分別從董事會內部人脈連結與監督治理機制（王惠洳，</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）、經理人代理動機與稅務移轉訂價操弄（陳思婷，</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）、內部控制有效性與財務危機壓力（張宸杰，</w:t>
      </w:r>
      <w:r w:rsidRPr="00154E7B">
        <w:rPr>
          <w:rFonts w:ascii="Times New Roman" w:eastAsia="標楷體" w:hAnsi="Times New Roman" w:cs="Times New Roman"/>
          <w:color w:val="0070C0"/>
        </w:rPr>
        <w:t>2023</w:t>
      </w:r>
      <w:r w:rsidRPr="00154E7B">
        <w:rPr>
          <w:rFonts w:ascii="Times New Roman" w:eastAsia="標楷體" w:hAnsi="Times New Roman" w:cs="Times New Roman"/>
          <w:color w:val="0070C0"/>
        </w:rPr>
        <w:t>）、外部供應鏈關係專用性與客戶集中度（劉佳熒，</w:t>
      </w:r>
      <w:r w:rsidRPr="00154E7B">
        <w:rPr>
          <w:rFonts w:ascii="Times New Roman" w:eastAsia="標楷體" w:hAnsi="Times New Roman" w:cs="Times New Roman"/>
          <w:color w:val="0070C0"/>
        </w:rPr>
        <w:t>2022</w:t>
      </w:r>
      <w:r w:rsidRPr="00154E7B">
        <w:rPr>
          <w:rFonts w:ascii="Times New Roman" w:eastAsia="標楷體" w:hAnsi="Times New Roman" w:cs="Times New Roman"/>
          <w:color w:val="0070C0"/>
        </w:rPr>
        <w:t>）、經理人個人心理特徵與過度自信偏誤（謝雅筑，</w:t>
      </w:r>
      <w:r w:rsidRPr="00154E7B">
        <w:rPr>
          <w:rFonts w:ascii="Times New Roman" w:eastAsia="標楷體" w:hAnsi="Times New Roman" w:cs="Times New Roman"/>
          <w:color w:val="0070C0"/>
        </w:rPr>
        <w:t>2024</w:t>
      </w:r>
      <w:r w:rsidRPr="00154E7B">
        <w:rPr>
          <w:rFonts w:ascii="Times New Roman" w:eastAsia="標楷體" w:hAnsi="Times New Roman" w:cs="Times New Roman"/>
          <w:color w:val="0070C0"/>
        </w:rPr>
        <w:t>）、經理人內部債激勵制度（邱圓雅，</w:t>
      </w:r>
      <w:r w:rsidRPr="00154E7B">
        <w:rPr>
          <w:rFonts w:ascii="Times New Roman" w:eastAsia="標楷體" w:hAnsi="Times New Roman" w:cs="Times New Roman"/>
          <w:color w:val="0070C0"/>
        </w:rPr>
        <w:t>2020</w:t>
      </w:r>
      <w:r w:rsidRPr="00154E7B">
        <w:rPr>
          <w:rFonts w:ascii="Times New Roman" w:eastAsia="標楷體" w:hAnsi="Times New Roman" w:cs="Times New Roman"/>
          <w:color w:val="0070C0"/>
        </w:rPr>
        <w:t>），以及總體經濟波動與成本僵固性對後續經營績效之實質影響（張芳瑜，</w:t>
      </w:r>
      <w:r w:rsidRPr="00154E7B">
        <w:rPr>
          <w:rFonts w:ascii="Times New Roman" w:eastAsia="標楷體" w:hAnsi="Times New Roman" w:cs="Times New Roman"/>
          <w:color w:val="0070C0"/>
        </w:rPr>
        <w:t>2023</w:t>
      </w:r>
      <w:r w:rsidRPr="00154E7B">
        <w:rPr>
          <w:rFonts w:ascii="Times New Roman" w:eastAsia="標楷體" w:hAnsi="Times New Roman" w:cs="Times New Roman"/>
          <w:color w:val="0070C0"/>
        </w:rPr>
        <w:t>）等多元視角進行了深入探討。這些文獻共同確立了調整成本理論與代理理論在解釋台灣資本市場成本行為上的高度有效性。然而，回顧過往成本黏性之決定因子，文獻多集中於傳統的機器廠房資產密集度（</w:t>
      </w:r>
      <w:r w:rsidRPr="00154E7B">
        <w:rPr>
          <w:rFonts w:ascii="Times New Roman" w:eastAsia="標楷體" w:hAnsi="Times New Roman" w:cs="Times New Roman"/>
          <w:color w:val="0070C0"/>
        </w:rPr>
        <w:t>Asset Intensity</w:t>
      </w:r>
      <w:r w:rsidRPr="00154E7B">
        <w:rPr>
          <w:rFonts w:ascii="Times New Roman" w:eastAsia="標楷體" w:hAnsi="Times New Roman" w:cs="Times New Roman"/>
          <w:color w:val="0070C0"/>
        </w:rPr>
        <w:t>）、人力資本之員工密集度（</w:t>
      </w:r>
      <w:r w:rsidRPr="00154E7B">
        <w:rPr>
          <w:rFonts w:ascii="Times New Roman" w:eastAsia="標楷體" w:hAnsi="Times New Roman" w:cs="Times New Roman"/>
          <w:color w:val="0070C0"/>
        </w:rPr>
        <w:t>Employee Intensity</w:t>
      </w:r>
      <w:r w:rsidRPr="00154E7B">
        <w:rPr>
          <w:rFonts w:ascii="Times New Roman" w:eastAsia="標楷體" w:hAnsi="Times New Roman" w:cs="Times New Roman"/>
          <w:color w:val="0070C0"/>
        </w:rPr>
        <w:t>）或是單純的董事會結構，甚少將視野擴展至當代製造業最為沉重的環境專用性資產與剛性法遵支出。</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與此同時，探討環境與</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議題對企業財務結果之文獻亦蔚為顯學。例如國際頂尖期刊研究指出，低碳政策等外部環境管制會驅使企業進行專用性綠色研發投資，但在融資約束加劇下會顯著放大企業的費用黏性（</w:t>
      </w:r>
      <w:r w:rsidRPr="00154E7B">
        <w:rPr>
          <w:rFonts w:ascii="Times New Roman" w:eastAsia="標楷體" w:hAnsi="Times New Roman" w:cs="Times New Roman"/>
          <w:color w:val="0070C0"/>
        </w:rPr>
        <w:t>Zeng, Peng, &amp; Chan, 2024</w:t>
      </w:r>
      <w:r w:rsidRPr="00154E7B">
        <w:rPr>
          <w:rFonts w:ascii="Times New Roman" w:eastAsia="標楷體" w:hAnsi="Times New Roman" w:cs="Times New Roman"/>
          <w:color w:val="0070C0"/>
        </w:rPr>
        <w:t>）；而在供應鏈構面上，客戶端高水準的</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資訊揭露能顯著降低資訊不對稱性，矯正供應商經理人之盲目樂觀預期，進而發揮緩解成本黏性之正向治理功能（</w:t>
      </w:r>
      <w:r w:rsidRPr="00154E7B">
        <w:rPr>
          <w:rFonts w:ascii="Times New Roman" w:eastAsia="標楷體" w:hAnsi="Times New Roman" w:cs="Times New Roman"/>
          <w:color w:val="0070C0"/>
        </w:rPr>
        <w:t>Jiang &amp; Yang, 2024</w:t>
      </w:r>
      <w:r w:rsidRPr="00154E7B">
        <w:rPr>
          <w:rFonts w:ascii="Times New Roman" w:eastAsia="標楷體" w:hAnsi="Times New Roman" w:cs="Times New Roman"/>
          <w:color w:val="0070C0"/>
        </w:rPr>
        <w:t>）。在國內實證方面，學者們亦探討了企業社會責任（</w:t>
      </w:r>
      <w:r w:rsidRPr="00154E7B">
        <w:rPr>
          <w:rFonts w:ascii="Times New Roman" w:eastAsia="標楷體" w:hAnsi="Times New Roman" w:cs="Times New Roman"/>
          <w:color w:val="0070C0"/>
        </w:rPr>
        <w:t>CSR</w:t>
      </w:r>
      <w:r w:rsidRPr="00154E7B">
        <w:rPr>
          <w:rFonts w:ascii="Times New Roman" w:eastAsia="標楷體" w:hAnsi="Times New Roman" w:cs="Times New Roman"/>
          <w:color w:val="0070C0"/>
        </w:rPr>
        <w:t>）活動及願景在成本黏性中之調節效果（鄭紹君，</w:t>
      </w:r>
      <w:r w:rsidRPr="00154E7B">
        <w:rPr>
          <w:rFonts w:ascii="Times New Roman" w:eastAsia="標楷體" w:hAnsi="Times New Roman" w:cs="Times New Roman"/>
          <w:color w:val="0070C0"/>
        </w:rPr>
        <w:t>2018</w:t>
      </w:r>
      <w:r w:rsidRPr="00154E7B">
        <w:rPr>
          <w:rFonts w:ascii="Times New Roman" w:eastAsia="標楷體" w:hAnsi="Times New Roman" w:cs="Times New Roman"/>
          <w:color w:val="0070C0"/>
        </w:rPr>
        <w:t>），以及在遭遇如</w:t>
      </w:r>
      <w:r w:rsidRPr="00154E7B">
        <w:rPr>
          <w:rFonts w:ascii="Times New Roman" w:eastAsia="標楷體" w:hAnsi="Times New Roman" w:cs="Times New Roman"/>
          <w:color w:val="0070C0"/>
        </w:rPr>
        <w:t xml:space="preserve"> COVID-19 </w:t>
      </w:r>
      <w:r w:rsidRPr="00154E7B">
        <w:rPr>
          <w:rFonts w:ascii="Times New Roman" w:eastAsia="標楷體" w:hAnsi="Times New Roman" w:cs="Times New Roman"/>
          <w:color w:val="0070C0"/>
        </w:rPr>
        <w:t>疫情等極</w:t>
      </w:r>
      <w:r w:rsidRPr="00154E7B">
        <w:rPr>
          <w:rFonts w:ascii="Times New Roman" w:eastAsia="標楷體" w:hAnsi="Times New Roman" w:cs="Times New Roman"/>
          <w:color w:val="0070C0"/>
        </w:rPr>
        <w:lastRenderedPageBreak/>
        <w:t>端外部系統性衝擊時，</w:t>
      </w:r>
      <w:r w:rsidRPr="00154E7B">
        <w:rPr>
          <w:rFonts w:ascii="Times New Roman" w:eastAsia="標楷體" w:hAnsi="Times New Roman" w:cs="Times New Roman"/>
          <w:color w:val="0070C0"/>
        </w:rPr>
        <w:t xml:space="preserve">ESG </w:t>
      </w:r>
      <w:r w:rsidRPr="00154E7B">
        <w:rPr>
          <w:rFonts w:ascii="Times New Roman" w:eastAsia="標楷體" w:hAnsi="Times New Roman" w:cs="Times New Roman"/>
          <w:color w:val="0070C0"/>
        </w:rPr>
        <w:t>活動對費用調整之阻礙效應（辛珏辰，</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）。此外，大量學者進一步檢證了</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表現與資訊揭露對企業信用風險（楊宜蓁，</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）、特有風險（楊博勝，</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）、系統性風險與財務績效（富得運，</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；毛祚祥，</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）以及盈餘管理行為（蘇姿云，</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）的廣泛影響。更有學者從批判性視角出發，聚焦於企業是否存在表面美化揭露但缺乏實質減排作為之「漂綠」（</w:t>
      </w:r>
      <w:r w:rsidRPr="00154E7B">
        <w:rPr>
          <w:rFonts w:ascii="Times New Roman" w:eastAsia="標楷體" w:hAnsi="Times New Roman" w:cs="Times New Roman"/>
          <w:color w:val="0070C0"/>
        </w:rPr>
        <w:t>Greenwashing</w:t>
      </w:r>
      <w:r w:rsidRPr="00154E7B">
        <w:rPr>
          <w:rFonts w:ascii="Times New Roman" w:eastAsia="標楷體" w:hAnsi="Times New Roman" w:cs="Times New Roman"/>
          <w:color w:val="0070C0"/>
        </w:rPr>
        <w:t>）現象，並檢驗漂綠行為對權益資金成本及外部媒體關注度的深層衝擊（張岑華，</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；張筱婕，</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然而，細審當前環境會計與成本行為文獻之交會點，存在一項極具理論價值與實務急迫性的重大缺口：絕大多數文獻均採用綜合性的</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評分或單一的社會責任參與虛擬變數，將環境、社會與治理等異質性極高的構面混為一談，忽略了「實質物理性環境資源密集度」（</w:t>
      </w:r>
      <w:r w:rsidRPr="00154E7B">
        <w:rPr>
          <w:rFonts w:ascii="Times New Roman" w:eastAsia="標楷體" w:hAnsi="Times New Roman" w:cs="Times New Roman"/>
          <w:color w:val="0070C0"/>
        </w:rPr>
        <w:t>Physical Environmental Resource Intensity</w:t>
      </w:r>
      <w:r w:rsidRPr="00154E7B">
        <w:rPr>
          <w:rFonts w:ascii="Times New Roman" w:eastAsia="標楷體" w:hAnsi="Times New Roman" w:cs="Times New Roman"/>
          <w:color w:val="0070C0"/>
        </w:rPr>
        <w:t>）的獨特本質。在製造業現場，真正牽動工廠日常運轉與現金流支出的，並非抽象的永續評級分數，而是實質的水資源耗用噸數、水回收率、事業廢棄物產出密集度，以及因環保違規所招致之行政裁處罰鍰。依據許嘉芸（</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對企業資源密集度管理之最新研究，不同生產要素的密集度配置對企業實質效率與經營彈性具有決定性之差異效果。企業投入數億元建立之超純水與回收設施，以及簽訂之長期廢棄物處理長約，本質上皆屬於高度專用性、流動性極低之下行調整摩擦來源。當市場營收遭遇寒流衰退時，工廠不能直接切斷廢水處理設備之電力與藥劑投放，亦無法毀約拒付廢棄物清運機構之最低保底處置費用，否則將立即面臨巨額環境違規裁罰乃至停工之嚴重後果（劉若蘭等，</w:t>
      </w:r>
      <w:r w:rsidRPr="00154E7B">
        <w:rPr>
          <w:rFonts w:ascii="Times New Roman" w:eastAsia="標楷體" w:hAnsi="Times New Roman" w:cs="Times New Roman"/>
          <w:color w:val="0070C0"/>
        </w:rPr>
        <w:t>2024</w:t>
      </w:r>
      <w:r w:rsidRPr="00154E7B">
        <w:rPr>
          <w:rFonts w:ascii="Times New Roman" w:eastAsia="標楷體" w:hAnsi="Times New Roman" w:cs="Times New Roman"/>
          <w:color w:val="0070C0"/>
        </w:rPr>
        <w:t>）。換言之，實質環境資源密集度越高之企業，其在需求衰退時面臨之剛性調整成本必然越高，進而顯著加劇成本黏性。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基於上述強烈之現實背景與學術理論缺口，本研究旨在結合理論推導與嚴謹計量實證，深入剖析企業水資源管理與事業廢棄物處理對成本黏性之深層影響機制。本研究不僅區分實質資源密集度與符號性資訊揭露之效果差異，更進一步引進動態時間落差（</w:t>
      </w:r>
      <w:r w:rsidRPr="00154E7B">
        <w:rPr>
          <w:rFonts w:ascii="Times New Roman" w:eastAsia="標楷體" w:hAnsi="Times New Roman" w:cs="Times New Roman"/>
          <w:color w:val="0070C0"/>
        </w:rPr>
        <w:t>Lagged Effects</w:t>
      </w:r>
      <w:r w:rsidRPr="00154E7B">
        <w:rPr>
          <w:rFonts w:ascii="Times New Roman" w:eastAsia="標楷體" w:hAnsi="Times New Roman" w:cs="Times New Roman"/>
          <w:color w:val="0070C0"/>
        </w:rPr>
        <w:t>）模型與產業污染特徵異質性分析，期能完整揭示環境構面對製造業費用剛性之傳遞路徑，為學術界與實務決策者提供關鍵之實證啟示。</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第二節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研究目的與研究問題</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綜觀前述之研究背景與理論缺口，本研究之主要核心目的，在於將現代管理會計之非對稱成本行為理論，與環境經濟學、永續資源管理理論深度融合，以</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2024 </w:t>
      </w:r>
      <w:r w:rsidRPr="00154E7B">
        <w:rPr>
          <w:rFonts w:ascii="Times New Roman" w:eastAsia="標楷體" w:hAnsi="Times New Roman" w:cs="Times New Roman"/>
          <w:color w:val="0070C0"/>
        </w:rPr>
        <w:t>年台灣上市櫃製造業為經驗對象，系統性探討企業水資源管理與事業廢棄物處理之多構面指標對成本黏性之調節作用。具體而言，本研究擬達成以下具體研究目的與回應四項核心研究問題：</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第一，檢驗水資源實質績效與資訊揭露對成本黏性之調節效果。水資源管理包</w:t>
      </w:r>
      <w:r w:rsidRPr="00154E7B">
        <w:rPr>
          <w:rFonts w:ascii="Times New Roman" w:eastAsia="標楷體" w:hAnsi="Times New Roman" w:cs="Times New Roman"/>
          <w:color w:val="0070C0"/>
        </w:rPr>
        <w:lastRenderedPageBreak/>
        <w:t>含實質技術投入（以水回收率</w:t>
      </w:r>
      <w:r w:rsidRPr="00154E7B">
        <w:rPr>
          <w:rFonts w:ascii="Times New Roman" w:eastAsia="標楷體" w:hAnsi="Times New Roman" w:cs="Times New Roman"/>
          <w:color w:val="0070C0"/>
        </w:rPr>
        <w:t xml:space="preserve"> WATER_RATE </w:t>
      </w:r>
      <w:r w:rsidRPr="00154E7B">
        <w:rPr>
          <w:rFonts w:ascii="Times New Roman" w:eastAsia="標楷體" w:hAnsi="Times New Roman" w:cs="Times New Roman"/>
          <w:color w:val="0070C0"/>
        </w:rPr>
        <w:t>與用水密集度</w:t>
      </w:r>
      <w:r w:rsidRPr="00154E7B">
        <w:rPr>
          <w:rFonts w:ascii="Times New Roman" w:eastAsia="標楷體" w:hAnsi="Times New Roman" w:cs="Times New Roman"/>
          <w:color w:val="0070C0"/>
        </w:rPr>
        <w:t xml:space="preserve"> WATER_INTENSITY </w:t>
      </w:r>
      <w:r w:rsidRPr="00154E7B">
        <w:rPr>
          <w:rFonts w:ascii="Times New Roman" w:eastAsia="標楷體" w:hAnsi="Times New Roman" w:cs="Times New Roman"/>
          <w:color w:val="0070C0"/>
        </w:rPr>
        <w:t>衡量）與透明度治理（以水資源資訊揭露</w:t>
      </w:r>
      <w:r w:rsidRPr="00154E7B">
        <w:rPr>
          <w:rFonts w:ascii="Times New Roman" w:eastAsia="標楷體" w:hAnsi="Times New Roman" w:cs="Times New Roman"/>
          <w:color w:val="0070C0"/>
        </w:rPr>
        <w:t xml:space="preserve"> WATER_DISC </w:t>
      </w:r>
      <w:r w:rsidRPr="00154E7B">
        <w:rPr>
          <w:rFonts w:ascii="Times New Roman" w:eastAsia="標楷體" w:hAnsi="Times New Roman" w:cs="Times New Roman"/>
          <w:color w:val="0070C0"/>
        </w:rPr>
        <w:t>衡量）。本研究之首要問題在於：高水回收率與高用水密集度所要求之專用性資本設備與固定巡檢運維費用，是否會在營收衰退時構成沉重之下行調整負擔，從而顯著加劇企業銷管費用之成本黏性？相對地，主動進行水資源資訊揭露是否能夠發揮外部市場監督與資訊透明效應，進而緩解管理階層之成本黏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第二，檢驗事業廢棄物處置密集度、管理揭露與違規裁罰對成本黏性之實質衝擊。廢棄物管理同樣呈現多重構面特徵：一方面，高廢棄物密集度（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）意味著生產原物料耗用與合約綁定深度，在產銷衰退時能否具備相應之縮減彈性？另一方面，若企業因環保處置違規而遭受主管機關行政裁罰（以裁罰金額比率</w:t>
      </w:r>
      <w:r w:rsidRPr="00154E7B">
        <w:rPr>
          <w:rFonts w:ascii="Times New Roman" w:eastAsia="標楷體" w:hAnsi="Times New Roman" w:cs="Times New Roman"/>
          <w:color w:val="0070C0"/>
        </w:rPr>
        <w:t xml:space="preserve"> WASTE_FINE </w:t>
      </w:r>
      <w:r w:rsidRPr="00154E7B">
        <w:rPr>
          <w:rFonts w:ascii="Times New Roman" w:eastAsia="標楷體" w:hAnsi="Times New Roman" w:cs="Times New Roman"/>
          <w:color w:val="0070C0"/>
        </w:rPr>
        <w:t>衡量），此種剛性法遵衝擊與後續強制改善支出，是否會實質剝奪管理者之成本調降空間，從而加深費用調整剛性？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第三，探討環境資源管理對成本行為影響之動態時間遞延性（</w:t>
      </w:r>
      <w:r w:rsidRPr="00154E7B">
        <w:rPr>
          <w:rFonts w:ascii="Times New Roman" w:eastAsia="標楷體" w:hAnsi="Times New Roman" w:cs="Times New Roman"/>
          <w:color w:val="0070C0"/>
        </w:rPr>
        <w:t>Lagged Effects</w:t>
      </w:r>
      <w:r w:rsidRPr="00154E7B">
        <w:rPr>
          <w:rFonts w:ascii="Times New Roman" w:eastAsia="標楷體" w:hAnsi="Times New Roman" w:cs="Times New Roman"/>
          <w:color w:val="0070C0"/>
        </w:rPr>
        <w:t>）。企業購置環保工程設施、改良水回收技術或簽訂廢棄物委外處理合約，其資本化支出與費用摊提往往具有跨年度的長期特性。因此，環境管理作為之衝擊是否僅侷限於當期（</w:t>
      </w:r>
      <w:r w:rsidRPr="00154E7B">
        <w:rPr>
          <w:rFonts w:ascii="Times New Roman" w:eastAsia="標楷體" w:hAnsi="Times New Roman" w:cs="Times New Roman"/>
          <w:color w:val="0070C0"/>
        </w:rPr>
        <w:t>t-0</w:t>
      </w:r>
      <w:r w:rsidRPr="00154E7B">
        <w:rPr>
          <w:rFonts w:ascii="Times New Roman" w:eastAsia="標楷體" w:hAnsi="Times New Roman" w:cs="Times New Roman"/>
          <w:color w:val="0070C0"/>
        </w:rPr>
        <w:t>）？抑或是隨著專用性資產之折舊攤提累積、合約執行的剛性推進，在遞延一期（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）乃至遞延兩期（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）後展現出更為強烈且顯著的成本黏性加劇效應？釐清時間落差面向，有助於動態掌握環境成本剛性之長波傳導規律。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第四，檢驗產業污染屬性對環境資源成本黏性之異質性調節（</w:t>
      </w:r>
      <w:r w:rsidRPr="00154E7B">
        <w:rPr>
          <w:rFonts w:ascii="Times New Roman" w:eastAsia="標楷體" w:hAnsi="Times New Roman" w:cs="Times New Roman"/>
          <w:color w:val="0070C0"/>
        </w:rPr>
        <w:t>Industry Heterogeneity</w:t>
      </w:r>
      <w:r w:rsidRPr="00154E7B">
        <w:rPr>
          <w:rFonts w:ascii="Times New Roman" w:eastAsia="標楷體" w:hAnsi="Times New Roman" w:cs="Times New Roman"/>
          <w:color w:val="0070C0"/>
        </w:rPr>
        <w:t>）。依據產業生態與製程特性，半導體、光電、化學工業與鋼鐵金屬等高耗水、高污染密集度之傳統與重化製造業，其面對之環境管制強度、設備資產專用性及合約違約風險，顯著高於一般組裝或輕工業製造業。因此，水資源與廢棄物實質密集度對成本黏性之放大效果，是否顯著集中於高污染、高耗水之敏感性產業群體？低污染產業是否能豁免於此種環境成本剛性？透過產業分群剖析，本研究旨在建立細緻化之情境邊界條件。</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第三節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研究流程與論文架構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嚴謹達成上述研究目的並有效解答各項研究問題，本研究依循循序漸進之實證邏輯開展整體研究程序。研究流程主要涵蓋五大核心階段：首先，進行文獻回顧與理論概念之爬梳，整合成本僵固性理論、調整成本理論、經理人代理假說及環境管理文獻，確立實質投入路徑與資訊監督路徑之理論架構，進而推導六大研究假說；第二階段，進行實證資料庫之串接與嚴格樣本篩選，從台灣經濟新報（</w:t>
      </w:r>
      <w:r w:rsidRPr="00154E7B">
        <w:rPr>
          <w:rFonts w:ascii="Times New Roman" w:eastAsia="標楷體" w:hAnsi="Times New Roman" w:cs="Times New Roman"/>
          <w:color w:val="0070C0"/>
        </w:rPr>
        <w:t>TEJ</w:t>
      </w:r>
      <w:r w:rsidRPr="00154E7B">
        <w:rPr>
          <w:rFonts w:ascii="Times New Roman" w:eastAsia="標楷體" w:hAnsi="Times New Roman" w:cs="Times New Roman"/>
          <w:color w:val="0070C0"/>
        </w:rPr>
        <w:t>）中擷取財務、</w:t>
      </w:r>
      <w:r w:rsidRPr="00154E7B">
        <w:rPr>
          <w:rFonts w:ascii="Times New Roman" w:eastAsia="標楷體" w:hAnsi="Times New Roman" w:cs="Times New Roman"/>
          <w:color w:val="0070C0"/>
        </w:rPr>
        <w:t xml:space="preserve">TESG </w:t>
      </w:r>
      <w:r w:rsidRPr="00154E7B">
        <w:rPr>
          <w:rFonts w:ascii="Times New Roman" w:eastAsia="標楷體" w:hAnsi="Times New Roman" w:cs="Times New Roman"/>
          <w:color w:val="0070C0"/>
        </w:rPr>
        <w:t>水資源與廢棄物數量模組及環保裁處資料庫，完成變數定義、極端值雙向縮尾處理及不平衡面板資料之構建；第三階段，擴充經典</w:t>
      </w:r>
      <w:r w:rsidRPr="00154E7B">
        <w:rPr>
          <w:rFonts w:ascii="Times New Roman" w:eastAsia="標楷體" w:hAnsi="Times New Roman" w:cs="Times New Roman"/>
          <w:color w:val="0070C0"/>
        </w:rPr>
        <w:t xml:space="preserve"> ABJ </w:t>
      </w:r>
      <w:r w:rsidRPr="00154E7B">
        <w:rPr>
          <w:rFonts w:ascii="Times New Roman" w:eastAsia="標楷體" w:hAnsi="Times New Roman" w:cs="Times New Roman"/>
          <w:color w:val="0070C0"/>
        </w:rPr>
        <w:t>模型，設定多構面環境變數之三重交乘迴歸方程式，確立雙向固定效果與公司層級叢集</w:t>
      </w:r>
      <w:r w:rsidRPr="00154E7B">
        <w:rPr>
          <w:rFonts w:ascii="Times New Roman" w:eastAsia="標楷體" w:hAnsi="Times New Roman" w:cs="Times New Roman"/>
          <w:color w:val="0070C0"/>
        </w:rPr>
        <w:lastRenderedPageBreak/>
        <w:t>標準誤之計量估計技術；第四階段，進行全面之計量實證檢驗，包含全樣本敘述統計、變數相關性檢驗、當期核心迴歸分析、動態時間落差檢定、產業異質性分群檢驗以及一系列嚴謹的穩健性敏感度測試；第五階段，深入討論實證發現背後之經濟直覺，總結學術貢獻，並針對企業實務運營決策與主管機關政策監管提出具體可行之建言。</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本論文全文共區分為五大章節，各章之核心內容與編排邏輯規劃如下：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第一章「緒論」：詳細闡述本研究之總體產業背景、問題意識與研究動機，確立四大核心研究問題，明確界定本研究之實質目的，並描繪整體研究流程與章節架構。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第二章「文獻探討與研究假說」：系統性梳理成本僵固性之經典理論（</w:t>
      </w:r>
      <w:r w:rsidRPr="00154E7B">
        <w:rPr>
          <w:rFonts w:ascii="Times New Roman" w:eastAsia="標楷體" w:hAnsi="Times New Roman" w:cs="Times New Roman"/>
          <w:color w:val="0070C0"/>
        </w:rPr>
        <w:t xml:space="preserve">ABJ </w:t>
      </w:r>
      <w:r w:rsidRPr="00154E7B">
        <w:rPr>
          <w:rFonts w:ascii="Times New Roman" w:eastAsia="標楷體" w:hAnsi="Times New Roman" w:cs="Times New Roman"/>
          <w:color w:val="0070C0"/>
        </w:rPr>
        <w:t>模型、調整成本與代理動機）與國內外最新實證進展；深入檢視</w:t>
      </w:r>
      <w:r w:rsidRPr="00154E7B">
        <w:rPr>
          <w:rFonts w:ascii="Times New Roman" w:eastAsia="標楷體" w:hAnsi="Times New Roman" w:cs="Times New Roman"/>
          <w:color w:val="0070C0"/>
        </w:rPr>
        <w:t xml:space="preserve"> ESG</w:t>
      </w:r>
      <w:r w:rsidRPr="00154E7B">
        <w:rPr>
          <w:rFonts w:ascii="Times New Roman" w:eastAsia="標楷體" w:hAnsi="Times New Roman" w:cs="Times New Roman"/>
          <w:color w:val="0070C0"/>
        </w:rPr>
        <w:t>、低碳轉型政策與企業成本行為之關聯性；深度剖析企業水資源管理（水回收率、用水密集度、揭露透明度）與事業廢棄物處置（密集度、揭露品質、違規裁罰）之營運與法遵剛性意涵；最後整合雙路徑理論模型，逐一推導提出</w:t>
      </w:r>
      <w:r w:rsidRPr="00154E7B">
        <w:rPr>
          <w:rFonts w:ascii="Times New Roman" w:eastAsia="標楷體" w:hAnsi="Times New Roman" w:cs="Times New Roman"/>
          <w:color w:val="0070C0"/>
        </w:rPr>
        <w:t xml:space="preserve"> H1 </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 xml:space="preserve"> H4 </w:t>
      </w:r>
      <w:r w:rsidRPr="00154E7B">
        <w:rPr>
          <w:rFonts w:ascii="Times New Roman" w:eastAsia="標楷體" w:hAnsi="Times New Roman" w:cs="Times New Roman"/>
          <w:color w:val="0070C0"/>
        </w:rPr>
        <w:t>等核心研究假說。</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章「研究方法與資料」：詳述實證研究之樣本來源、篩選流程、產業結構分佈與資料匹配方法；對被解釋變數（銷管費用變動率）、主要解釋變數（營收變動與成本黏性交乘項）、測試變數（水資源與廢棄物指標）及控制變數提出精確之操作型定義與衡量公式；最後建構基準模型、調節模型、時間落差模型與產業分群模型之計量實證方程式。</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第四章「實證結果與分析」：展示全樣本與分群樣本之敘述性統計結果，分析主要變數之分佈特徵與極端風險；檢驗</w:t>
      </w:r>
      <w:r w:rsidRPr="00154E7B">
        <w:rPr>
          <w:rFonts w:ascii="Times New Roman" w:eastAsia="標楷體" w:hAnsi="Times New Roman" w:cs="Times New Roman"/>
          <w:color w:val="0070C0"/>
        </w:rPr>
        <w:t xml:space="preserve"> Pearson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Spearman </w:t>
      </w:r>
      <w:r w:rsidRPr="00154E7B">
        <w:rPr>
          <w:rFonts w:ascii="Times New Roman" w:eastAsia="標楷體" w:hAnsi="Times New Roman" w:cs="Times New Roman"/>
          <w:color w:val="0070C0"/>
        </w:rPr>
        <w:t>相關係數矩陣及多重共線性</w:t>
      </w:r>
      <w:r w:rsidRPr="00154E7B">
        <w:rPr>
          <w:rFonts w:ascii="Times New Roman" w:eastAsia="標楷體" w:hAnsi="Times New Roman" w:cs="Times New Roman"/>
          <w:color w:val="0070C0"/>
        </w:rPr>
        <w:t xml:space="preserve"> VIF </w:t>
      </w:r>
      <w:r w:rsidRPr="00154E7B">
        <w:rPr>
          <w:rFonts w:ascii="Times New Roman" w:eastAsia="標楷體" w:hAnsi="Times New Roman" w:cs="Times New Roman"/>
          <w:color w:val="0070C0"/>
        </w:rPr>
        <w:t>統計量；呈現並深度探討水資源指標與廢棄物指標對成本黏性之當期調節迴歸結果；進一步揭示落後一期與兩期之動態時間遞延效應；檢驗高低污染產業之異質性差異；最後進行營業成本（</w:t>
      </w:r>
      <w:r w:rsidRPr="00154E7B">
        <w:rPr>
          <w:rFonts w:ascii="Times New Roman" w:eastAsia="標楷體" w:hAnsi="Times New Roman" w:cs="Times New Roman"/>
          <w:color w:val="0070C0"/>
        </w:rPr>
        <w:t>COGS</w:t>
      </w:r>
      <w:r w:rsidRPr="00154E7B">
        <w:rPr>
          <w:rFonts w:ascii="Times New Roman" w:eastAsia="標楷體" w:hAnsi="Times New Roman" w:cs="Times New Roman"/>
          <w:color w:val="0070C0"/>
        </w:rPr>
        <w:t>）與銷管費用（</w:t>
      </w:r>
      <w:r w:rsidRPr="00154E7B">
        <w:rPr>
          <w:rFonts w:ascii="Times New Roman" w:eastAsia="標楷體" w:hAnsi="Times New Roman" w:cs="Times New Roman"/>
          <w:color w:val="0070C0"/>
        </w:rPr>
        <w:t>SG&amp;A</w:t>
      </w:r>
      <w:r w:rsidRPr="00154E7B">
        <w:rPr>
          <w:rFonts w:ascii="Times New Roman" w:eastAsia="標楷體" w:hAnsi="Times New Roman" w:cs="Times New Roman"/>
          <w:color w:val="0070C0"/>
        </w:rPr>
        <w:t>）分拆、替代變數衡量等全方位穩健性檢驗。</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五章「結論與建議」：系統性彙總各項實證假說之檢驗結論，對照既有文獻展開理論對話；深入提煉本研究在環境管理會計與公司財務領域之學術創新貢獻；分別針對企業管理階層（財務長與永續長）與金融監管機構（金管會、證交所與環境部）提出具體管理與政策意涵；最後誠實客觀剖析本研究之研究限制，並為未來相關領域之學者指引後續深入探究之研究方向。</w:t>
      </w:r>
    </w:p>
    <w:p w:rsidR="00AE2003" w:rsidRPr="00154E7B" w:rsidRDefault="007265F6">
      <w:pPr>
        <w:spacing w:before="280" w:after="280" w:line="288" w:lineRule="auto"/>
        <w:jc w:val="center"/>
        <w:rPr>
          <w:color w:val="0070C0"/>
        </w:rPr>
      </w:pPr>
      <w:r w:rsidRPr="00154E7B">
        <w:rPr>
          <w:rFonts w:ascii="Times New Roman" w:eastAsia="標楷體" w:hAnsi="Times New Roman" w:cs="Times New Roman"/>
          <w:b/>
          <w:color w:val="0070C0"/>
          <w:sz w:val="20"/>
        </w:rPr>
        <w:t>【圖</w:t>
      </w:r>
      <w:r w:rsidRPr="00154E7B">
        <w:rPr>
          <w:rFonts w:ascii="Times New Roman" w:eastAsia="標楷體" w:hAnsi="Times New Roman" w:cs="Times New Roman"/>
          <w:b/>
          <w:color w:val="0070C0"/>
          <w:sz w:val="20"/>
        </w:rPr>
        <w:t xml:space="preserve"> 1-1 </w:t>
      </w:r>
      <w:r w:rsidRPr="00154E7B">
        <w:rPr>
          <w:rFonts w:ascii="Times New Roman" w:eastAsia="標楷體" w:hAnsi="Times New Roman" w:cs="Times New Roman"/>
          <w:b/>
          <w:color w:val="0070C0"/>
          <w:sz w:val="20"/>
        </w:rPr>
        <w:t>本研究之研究流程圖】</w:t>
      </w:r>
      <w:r w:rsidRPr="00154E7B">
        <w:rPr>
          <w:rFonts w:ascii="Times New Roman" w:eastAsia="標楷體" w:hAnsi="Times New Roman" w:cs="Times New Roman"/>
          <w:b/>
          <w:color w:val="0070C0"/>
          <w:sz w:val="20"/>
        </w:rPr>
        <w:br/>
        <w:t>[</w:t>
      </w:r>
      <w:r w:rsidRPr="00154E7B">
        <w:rPr>
          <w:rFonts w:ascii="Times New Roman" w:eastAsia="標楷體" w:hAnsi="Times New Roman" w:cs="Times New Roman"/>
          <w:b/>
          <w:color w:val="0070C0"/>
          <w:sz w:val="20"/>
        </w:rPr>
        <w:t>文獻探討與理論假說推導</w:t>
      </w:r>
      <w:r w:rsidRPr="00154E7B">
        <w:rPr>
          <w:rFonts w:ascii="Times New Roman" w:eastAsia="標楷體" w:hAnsi="Times New Roman" w:cs="Times New Roman"/>
          <w:b/>
          <w:color w:val="0070C0"/>
          <w:sz w:val="20"/>
        </w:rPr>
        <w:t>] → [</w:t>
      </w:r>
      <w:r w:rsidRPr="00154E7B">
        <w:rPr>
          <w:rFonts w:ascii="Times New Roman" w:eastAsia="標楷體" w:hAnsi="Times New Roman" w:cs="Times New Roman"/>
          <w:b/>
          <w:color w:val="0070C0"/>
          <w:sz w:val="20"/>
        </w:rPr>
        <w:t>資料庫串接與</w:t>
      </w:r>
      <w:r w:rsidRPr="00154E7B">
        <w:rPr>
          <w:rFonts w:ascii="Times New Roman" w:eastAsia="標楷體" w:hAnsi="Times New Roman" w:cs="Times New Roman"/>
          <w:b/>
          <w:color w:val="0070C0"/>
          <w:sz w:val="20"/>
        </w:rPr>
        <w:t>4</w:t>
      </w:r>
      <w:r w:rsidRPr="00154E7B">
        <w:rPr>
          <w:rFonts w:ascii="Times New Roman" w:eastAsia="標楷體" w:hAnsi="Times New Roman" w:cs="Times New Roman"/>
          <w:b/>
          <w:color w:val="0070C0"/>
          <w:sz w:val="20"/>
        </w:rPr>
        <w:t>步樣本篩選</w:t>
      </w:r>
      <w:r w:rsidRPr="00154E7B">
        <w:rPr>
          <w:rFonts w:ascii="Times New Roman" w:eastAsia="標楷體" w:hAnsi="Times New Roman" w:cs="Times New Roman"/>
          <w:b/>
          <w:color w:val="0070C0"/>
          <w:sz w:val="20"/>
        </w:rPr>
        <w:t>] → [</w:t>
      </w:r>
      <w:r w:rsidRPr="00154E7B">
        <w:rPr>
          <w:rFonts w:ascii="Times New Roman" w:eastAsia="標楷體" w:hAnsi="Times New Roman" w:cs="Times New Roman"/>
          <w:b/>
          <w:color w:val="0070C0"/>
          <w:sz w:val="20"/>
        </w:rPr>
        <w:t>計量模型構建與固定效果設定</w:t>
      </w:r>
      <w:r w:rsidRPr="00154E7B">
        <w:rPr>
          <w:rFonts w:ascii="Times New Roman" w:eastAsia="標楷體" w:hAnsi="Times New Roman" w:cs="Times New Roman"/>
          <w:b/>
          <w:color w:val="0070C0"/>
          <w:sz w:val="20"/>
        </w:rPr>
        <w:t>] → [</w:t>
      </w:r>
      <w:r w:rsidRPr="00154E7B">
        <w:rPr>
          <w:rFonts w:ascii="Times New Roman" w:eastAsia="標楷體" w:hAnsi="Times New Roman" w:cs="Times New Roman"/>
          <w:b/>
          <w:color w:val="0070C0"/>
          <w:sz w:val="20"/>
        </w:rPr>
        <w:t>全樣本與分群實證分析</w:t>
      </w:r>
      <w:r w:rsidRPr="00154E7B">
        <w:rPr>
          <w:rFonts w:ascii="Times New Roman" w:eastAsia="標楷體" w:hAnsi="Times New Roman" w:cs="Times New Roman"/>
          <w:b/>
          <w:color w:val="0070C0"/>
          <w:sz w:val="20"/>
        </w:rPr>
        <w:t>] → [</w:t>
      </w:r>
      <w:r w:rsidRPr="00154E7B">
        <w:rPr>
          <w:rFonts w:ascii="Times New Roman" w:eastAsia="標楷體" w:hAnsi="Times New Roman" w:cs="Times New Roman"/>
          <w:b/>
          <w:color w:val="0070C0"/>
          <w:sz w:val="20"/>
        </w:rPr>
        <w:t>時間落差與穩健性檢驗</w:t>
      </w:r>
      <w:r w:rsidRPr="00154E7B">
        <w:rPr>
          <w:rFonts w:ascii="Times New Roman" w:eastAsia="標楷體" w:hAnsi="Times New Roman" w:cs="Times New Roman"/>
          <w:b/>
          <w:color w:val="0070C0"/>
          <w:sz w:val="20"/>
        </w:rPr>
        <w:t>] → [</w:t>
      </w:r>
      <w:r w:rsidRPr="00154E7B">
        <w:rPr>
          <w:rFonts w:ascii="Times New Roman" w:eastAsia="標楷體" w:hAnsi="Times New Roman" w:cs="Times New Roman"/>
          <w:b/>
          <w:color w:val="0070C0"/>
          <w:sz w:val="20"/>
        </w:rPr>
        <w:t>結論與實務政策意涵</w:t>
      </w:r>
      <w:r w:rsidRPr="00154E7B">
        <w:rPr>
          <w:rFonts w:ascii="Times New Roman" w:eastAsia="標楷體" w:hAnsi="Times New Roman" w:cs="Times New Roman"/>
          <w:b/>
          <w:color w:val="0070C0"/>
          <w:sz w:val="20"/>
        </w:rPr>
        <w:t>]</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lastRenderedPageBreak/>
        <w:t>【圖</w:t>
      </w:r>
      <w:r w:rsidRPr="00154E7B">
        <w:rPr>
          <w:rFonts w:ascii="Times New Roman" w:eastAsia="標楷體" w:hAnsi="Times New Roman" w:cs="Times New Roman"/>
          <w:b/>
          <w:color w:val="0070C0"/>
          <w:sz w:val="20"/>
        </w:rPr>
        <w:t xml:space="preserve"> 1-2 </w:t>
      </w:r>
      <w:r w:rsidRPr="00154E7B">
        <w:rPr>
          <w:rFonts w:ascii="Times New Roman" w:eastAsia="標楷體" w:hAnsi="Times New Roman" w:cs="Times New Roman"/>
          <w:b/>
          <w:color w:val="0070C0"/>
          <w:sz w:val="20"/>
        </w:rPr>
        <w:t>本論文之研究架構圖】</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t>自變數：水資源管理</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水回收率</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水密集度</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水揭露</w:t>
      </w:r>
      <w:r w:rsidRPr="00154E7B">
        <w:rPr>
          <w:rFonts w:ascii="Times New Roman" w:eastAsia="標楷體" w:hAnsi="Times New Roman" w:cs="Times New Roman"/>
          <w:b/>
          <w:color w:val="0070C0"/>
          <w:sz w:val="20"/>
        </w:rPr>
        <w:t xml:space="preserve">) &amp; </w:t>
      </w:r>
      <w:r w:rsidRPr="00154E7B">
        <w:rPr>
          <w:rFonts w:ascii="Times New Roman" w:eastAsia="標楷體" w:hAnsi="Times New Roman" w:cs="Times New Roman"/>
          <w:b/>
          <w:color w:val="0070C0"/>
          <w:sz w:val="20"/>
        </w:rPr>
        <w:t>廢棄物處置</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廢棄物密集度</w:t>
      </w:r>
      <w:r w:rsidRPr="00154E7B">
        <w:rPr>
          <w:rFonts w:ascii="Times New Roman" w:eastAsia="標楷體" w:hAnsi="Times New Roman" w:cs="Times New Roman"/>
          <w:b/>
          <w:color w:val="0070C0"/>
          <w:sz w:val="20"/>
        </w:rPr>
        <w:t>, GRI</w:t>
      </w:r>
      <w:r w:rsidRPr="00154E7B">
        <w:rPr>
          <w:rFonts w:ascii="Times New Roman" w:eastAsia="標楷體" w:hAnsi="Times New Roman" w:cs="Times New Roman"/>
          <w:b/>
          <w:color w:val="0070C0"/>
          <w:sz w:val="20"/>
        </w:rPr>
        <w:t>揭露</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違規裁罰</w:t>
      </w:r>
      <w:r w:rsidRPr="00154E7B">
        <w:rPr>
          <w:rFonts w:ascii="Times New Roman" w:eastAsia="標楷體" w:hAnsi="Times New Roman" w:cs="Times New Roman"/>
          <w:b/>
          <w:color w:val="0070C0"/>
          <w:sz w:val="20"/>
        </w:rPr>
        <w:t>)</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t>調節作用：營收衰退情境</w:t>
      </w:r>
      <w:r w:rsidRPr="00154E7B">
        <w:rPr>
          <w:rFonts w:ascii="Times New Roman" w:eastAsia="標楷體" w:hAnsi="Times New Roman" w:cs="Times New Roman"/>
          <w:b/>
          <w:color w:val="0070C0"/>
          <w:sz w:val="20"/>
        </w:rPr>
        <w:t xml:space="preserve"> (DEC × dLNREV) ──&gt; </w:t>
      </w:r>
      <w:r w:rsidRPr="00154E7B">
        <w:rPr>
          <w:rFonts w:ascii="Times New Roman" w:eastAsia="標楷體" w:hAnsi="Times New Roman" w:cs="Times New Roman"/>
          <w:b/>
          <w:color w:val="0070C0"/>
          <w:sz w:val="20"/>
        </w:rPr>
        <w:t>應變數：銷管費用非對稱變動</w:t>
      </w:r>
      <w:r w:rsidRPr="00154E7B">
        <w:rPr>
          <w:rFonts w:ascii="Times New Roman" w:eastAsia="標楷體" w:hAnsi="Times New Roman" w:cs="Times New Roman"/>
          <w:b/>
          <w:color w:val="0070C0"/>
          <w:sz w:val="20"/>
        </w:rPr>
        <w:t xml:space="preserve"> (Y_dLNSGA)</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t>邊界條件：動態時間落差</w:t>
      </w:r>
      <w:r w:rsidRPr="00154E7B">
        <w:rPr>
          <w:rFonts w:ascii="Times New Roman" w:eastAsia="標楷體" w:hAnsi="Times New Roman" w:cs="Times New Roman"/>
          <w:b/>
          <w:color w:val="0070C0"/>
          <w:sz w:val="20"/>
        </w:rPr>
        <w:t xml:space="preserve"> (t-1, t-2) </w:t>
      </w:r>
      <w:r w:rsidRPr="00154E7B">
        <w:rPr>
          <w:rFonts w:ascii="Times New Roman" w:eastAsia="標楷體" w:hAnsi="Times New Roman" w:cs="Times New Roman"/>
          <w:b/>
          <w:color w:val="0070C0"/>
          <w:sz w:val="20"/>
        </w:rPr>
        <w:t>與</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產業污染異質性</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高耗水</w:t>
      </w:r>
      <w:r w:rsidRPr="00154E7B">
        <w:rPr>
          <w:rFonts w:ascii="Times New Roman" w:eastAsia="標楷體" w:hAnsi="Times New Roman" w:cs="Times New Roman"/>
          <w:b/>
          <w:color w:val="0070C0"/>
          <w:sz w:val="20"/>
        </w:rPr>
        <w:t>/</w:t>
      </w:r>
      <w:r w:rsidRPr="00154E7B">
        <w:rPr>
          <w:rFonts w:ascii="Times New Roman" w:eastAsia="標楷體" w:hAnsi="Times New Roman" w:cs="Times New Roman"/>
          <w:b/>
          <w:color w:val="0070C0"/>
          <w:sz w:val="20"/>
        </w:rPr>
        <w:t>高污染</w:t>
      </w:r>
      <w:r w:rsidRPr="00154E7B">
        <w:rPr>
          <w:rFonts w:ascii="Times New Roman" w:eastAsia="標楷體" w:hAnsi="Times New Roman" w:cs="Times New Roman"/>
          <w:b/>
          <w:color w:val="0070C0"/>
          <w:sz w:val="20"/>
        </w:rPr>
        <w:t xml:space="preserve"> vs </w:t>
      </w:r>
      <w:r w:rsidRPr="00154E7B">
        <w:rPr>
          <w:rFonts w:ascii="Times New Roman" w:eastAsia="標楷體" w:hAnsi="Times New Roman" w:cs="Times New Roman"/>
          <w:b/>
          <w:color w:val="0070C0"/>
          <w:sz w:val="20"/>
        </w:rPr>
        <w:t>低污染</w:t>
      </w:r>
      <w:r w:rsidRPr="00154E7B">
        <w:rPr>
          <w:rFonts w:ascii="Times New Roman" w:eastAsia="標楷體" w:hAnsi="Times New Roman" w:cs="Times New Roman"/>
          <w:b/>
          <w:color w:val="0070C0"/>
          <w:sz w:val="20"/>
        </w:rPr>
        <w:t>)</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第二章</w:t>
      </w:r>
      <w:r w:rsidRPr="00154E7B">
        <w:rPr>
          <w:rFonts w:ascii="Times New Roman" w:eastAsia="標楷體" w:hAnsi="Times New Roman" w:cs="Times New Roman"/>
          <w:b/>
          <w:color w:val="0070C0"/>
          <w:sz w:val="36"/>
        </w:rPr>
        <w:t xml:space="preserve"> </w:t>
      </w:r>
      <w:r w:rsidRPr="00154E7B">
        <w:rPr>
          <w:rFonts w:ascii="Times New Roman" w:eastAsia="標楷體" w:hAnsi="Times New Roman" w:cs="Times New Roman"/>
          <w:b/>
          <w:color w:val="0070C0"/>
          <w:sz w:val="36"/>
        </w:rPr>
        <w:t>文獻探討與研究假說</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第一節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成本僵固性理論基礎與實證文獻</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傳統管理會計與財務學理論在探討企業成本性態（</w:t>
      </w:r>
      <w:r w:rsidRPr="00154E7B">
        <w:rPr>
          <w:rFonts w:ascii="Times New Roman" w:eastAsia="標楷體" w:hAnsi="Times New Roman" w:cs="Times New Roman"/>
          <w:color w:val="0070C0"/>
        </w:rPr>
        <w:t>Cost Behavior</w:t>
      </w:r>
      <w:r w:rsidRPr="00154E7B">
        <w:rPr>
          <w:rFonts w:ascii="Times New Roman" w:eastAsia="標楷體" w:hAnsi="Times New Roman" w:cs="Times New Roman"/>
          <w:color w:val="0070C0"/>
        </w:rPr>
        <w:t>）時，長期仰賴古典線性成本模型。在古典模型之基本假定下，總成本依據其與產銷活動量之關係被二分為固定成本與變動成本：固定成本在特定攸關範圍與時間架構內保持總額恆定，不隨產量波動；變動成本則嚴格伴隨活動量之增減而呈現完全等比例、同向且線性對稱之變動。依此推論，當企業銷售收入上升特定幅度時，變動性營業費用相應增加之金額，理論上應與銷售收入下降相同幅度時費用相應減少之金額完全對稱。然而，此種對稱性成本性態假設本質上忽視了企業組織內部真實之管理決策過程，將成本視為隨機器運轉自然發生的機械性結果，未能反映高階經理人在面臨不確定性市場需求時所進行的主觀資源調配與承諾行為。</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Anderson, Banker, and Janakiraman (2003, </w:t>
      </w:r>
      <w:r w:rsidRPr="00154E7B">
        <w:rPr>
          <w:rFonts w:ascii="Times New Roman" w:eastAsia="標楷體" w:hAnsi="Times New Roman" w:cs="Times New Roman"/>
          <w:color w:val="0070C0"/>
        </w:rPr>
        <w:t>以下簡稱</w:t>
      </w:r>
      <w:r w:rsidRPr="00154E7B">
        <w:rPr>
          <w:rFonts w:ascii="Times New Roman" w:eastAsia="標楷體" w:hAnsi="Times New Roman" w:cs="Times New Roman"/>
          <w:color w:val="0070C0"/>
        </w:rPr>
        <w:t xml:space="preserve"> ABJ) </w:t>
      </w:r>
      <w:r w:rsidRPr="00154E7B">
        <w:rPr>
          <w:rFonts w:ascii="Times New Roman" w:eastAsia="標楷體" w:hAnsi="Times New Roman" w:cs="Times New Roman"/>
          <w:color w:val="0070C0"/>
        </w:rPr>
        <w:t>的開創性研究徹底改寫了管理會計對費用行為之認知。</w:t>
      </w:r>
      <w:r w:rsidRPr="00154E7B">
        <w:rPr>
          <w:rFonts w:ascii="Times New Roman" w:eastAsia="標楷體" w:hAnsi="Times New Roman" w:cs="Times New Roman"/>
          <w:color w:val="0070C0"/>
        </w:rPr>
        <w:t xml:space="preserve">ABJ </w:t>
      </w:r>
      <w:r w:rsidRPr="00154E7B">
        <w:rPr>
          <w:rFonts w:ascii="Times New Roman" w:eastAsia="標楷體" w:hAnsi="Times New Roman" w:cs="Times New Roman"/>
          <w:color w:val="0070C0"/>
        </w:rPr>
        <w:t>以美國上市公司</w:t>
      </w:r>
      <w:r w:rsidRPr="00154E7B">
        <w:rPr>
          <w:rFonts w:ascii="Times New Roman" w:eastAsia="標楷體" w:hAnsi="Times New Roman" w:cs="Times New Roman"/>
          <w:color w:val="0070C0"/>
        </w:rPr>
        <w:t xml:space="preserve"> 1979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1998 </w:t>
      </w:r>
      <w:r w:rsidRPr="00154E7B">
        <w:rPr>
          <w:rFonts w:ascii="Times New Roman" w:eastAsia="標楷體" w:hAnsi="Times New Roman" w:cs="Times New Roman"/>
          <w:color w:val="0070C0"/>
        </w:rPr>
        <w:t>年長達</w:t>
      </w:r>
      <w:r w:rsidRPr="00154E7B">
        <w:rPr>
          <w:rFonts w:ascii="Times New Roman" w:eastAsia="標楷體" w:hAnsi="Times New Roman" w:cs="Times New Roman"/>
          <w:color w:val="0070C0"/>
        </w:rPr>
        <w:t xml:space="preserve"> 20 </w:t>
      </w:r>
      <w:r w:rsidRPr="00154E7B">
        <w:rPr>
          <w:rFonts w:ascii="Times New Roman" w:eastAsia="標楷體" w:hAnsi="Times New Roman" w:cs="Times New Roman"/>
          <w:color w:val="0070C0"/>
        </w:rPr>
        <w:t>年的銷管費用（</w:t>
      </w:r>
      <w:r w:rsidRPr="00154E7B">
        <w:rPr>
          <w:rFonts w:ascii="Times New Roman" w:eastAsia="標楷體" w:hAnsi="Times New Roman" w:cs="Times New Roman"/>
          <w:color w:val="0070C0"/>
        </w:rPr>
        <w:t xml:space="preserve">Selling, General, and Administrative expenses,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SG&amp;A</w:t>
      </w:r>
      <w:r w:rsidRPr="00154E7B">
        <w:rPr>
          <w:rFonts w:ascii="Times New Roman" w:eastAsia="標楷體" w:hAnsi="Times New Roman" w:cs="Times New Roman"/>
          <w:color w:val="0070C0"/>
        </w:rPr>
        <w:t>）為經驗樣本，建立經典的對數差分實證迴歸模型。實證結果震撼地證實：當銷售收入上升</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時，銷管費用平均顯著增長</w:t>
      </w:r>
      <w:r w:rsidRPr="00154E7B">
        <w:rPr>
          <w:rFonts w:ascii="Times New Roman" w:eastAsia="標楷體" w:hAnsi="Times New Roman" w:cs="Times New Roman"/>
          <w:color w:val="0070C0"/>
        </w:rPr>
        <w:t xml:space="preserve"> 0.55%</w:t>
      </w:r>
      <w:r w:rsidRPr="00154E7B">
        <w:rPr>
          <w:rFonts w:ascii="Times New Roman" w:eastAsia="標楷體" w:hAnsi="Times New Roman" w:cs="Times New Roman"/>
          <w:color w:val="0070C0"/>
        </w:rPr>
        <w:t>；然而，當銷售收入下降</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時，銷管費用卻僅平均減少</w:t>
      </w:r>
      <w:r w:rsidRPr="00154E7B">
        <w:rPr>
          <w:rFonts w:ascii="Times New Roman" w:eastAsia="標楷體" w:hAnsi="Times New Roman" w:cs="Times New Roman"/>
          <w:color w:val="0070C0"/>
        </w:rPr>
        <w:t xml:space="preserve"> 0.35%</w:t>
      </w:r>
      <w:r w:rsidRPr="00154E7B">
        <w:rPr>
          <w:rFonts w:ascii="Times New Roman" w:eastAsia="標楷體" w:hAnsi="Times New Roman" w:cs="Times New Roman"/>
          <w:color w:val="0070C0"/>
        </w:rPr>
        <w:t>。此種「費用在營收上升時的擴張幅度，顯著大於在營收下降時之削減幅度」的非對稱現象，被學術界正式定義為「成本僵固性」（</w:t>
      </w:r>
      <w:r w:rsidRPr="00154E7B">
        <w:rPr>
          <w:rFonts w:ascii="Times New Roman" w:eastAsia="標楷體" w:hAnsi="Times New Roman" w:cs="Times New Roman"/>
          <w:color w:val="0070C0"/>
        </w:rPr>
        <w:t>Cost Stickiness</w:t>
      </w:r>
      <w:r w:rsidRPr="00154E7B">
        <w:rPr>
          <w:rFonts w:ascii="Times New Roman" w:eastAsia="標楷體" w:hAnsi="Times New Roman" w:cs="Times New Roman"/>
          <w:color w:val="0070C0"/>
        </w:rPr>
        <w:t>）或「成本黏性」。</w:t>
      </w:r>
      <w:r w:rsidRPr="00154E7B">
        <w:rPr>
          <w:rFonts w:ascii="Times New Roman" w:eastAsia="標楷體" w:hAnsi="Times New Roman" w:cs="Times New Roman"/>
          <w:color w:val="0070C0"/>
        </w:rPr>
        <w:t xml:space="preserve">ABJ </w:t>
      </w:r>
      <w:r w:rsidRPr="00154E7B">
        <w:rPr>
          <w:rFonts w:ascii="Times New Roman" w:eastAsia="標楷體" w:hAnsi="Times New Roman" w:cs="Times New Roman"/>
          <w:color w:val="0070C0"/>
        </w:rPr>
        <w:t>之研究確立了成本並非被動產生的機械變數，而是管理者依據預期與約束所做出之資源配置決策累積而成。</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探討成本僵固性產生之深層機理，學術界主要確立了兩大核心理論支柱：「資源調整成本理論」（</w:t>
      </w:r>
      <w:r w:rsidRPr="00154E7B">
        <w:rPr>
          <w:rFonts w:ascii="Times New Roman" w:eastAsia="標楷體" w:hAnsi="Times New Roman" w:cs="Times New Roman"/>
          <w:color w:val="0070C0"/>
        </w:rPr>
        <w:t>Adjustment Cost Theory</w:t>
      </w:r>
      <w:r w:rsidRPr="00154E7B">
        <w:rPr>
          <w:rFonts w:ascii="Times New Roman" w:eastAsia="標楷體" w:hAnsi="Times New Roman" w:cs="Times New Roman"/>
          <w:color w:val="0070C0"/>
        </w:rPr>
        <w:t>）與「經理人預期與代理理論」（</w:t>
      </w:r>
      <w:r w:rsidRPr="00154E7B">
        <w:rPr>
          <w:rFonts w:ascii="Times New Roman" w:eastAsia="標楷體" w:hAnsi="Times New Roman" w:cs="Times New Roman"/>
          <w:color w:val="0070C0"/>
        </w:rPr>
        <w:t>Managerial Expectations and Agency Theory</w:t>
      </w:r>
      <w:r w:rsidRPr="00154E7B">
        <w:rPr>
          <w:rFonts w:ascii="Times New Roman" w:eastAsia="標楷體" w:hAnsi="Times New Roman" w:cs="Times New Roman"/>
          <w:color w:val="0070C0"/>
        </w:rPr>
        <w:t>）。在調整成本理論視角下，企業營運所投入之各項資源並非具有完全流動性。當市場需求衰退時，管理者若欲按營收比例等量削減營運費用，必須主動處置或裁撤冗餘資源。然而，裁撤資源將迫使企業承擔昂貴的「下行調整成本」（</w:t>
      </w:r>
      <w:r w:rsidRPr="00154E7B">
        <w:rPr>
          <w:rFonts w:ascii="Times New Roman" w:eastAsia="標楷體" w:hAnsi="Times New Roman" w:cs="Times New Roman"/>
          <w:color w:val="0070C0"/>
        </w:rPr>
        <w:t>Downward Adjustment Costs</w:t>
      </w:r>
      <w:r w:rsidRPr="00154E7B">
        <w:rPr>
          <w:rFonts w:ascii="Times New Roman" w:eastAsia="標楷體" w:hAnsi="Times New Roman" w:cs="Times New Roman"/>
          <w:color w:val="0070C0"/>
        </w:rPr>
        <w:t>），例如解僱員工所需支付之資遣費與勞資協商補償、變賣專業設備引發之折價清算損失、提前終止長期租賃或外包供應合約所面臨之高額違約金，以及裁撤專案對企業商譽所造成之負面衝擊。更為關鍵的是，管理者深知一旦未來市場景氣復甦、產品需求回升，企業若欲恢復原有產能，勢必又必須重新承擔高昂的「上行調整成本」（</w:t>
      </w:r>
      <w:r w:rsidRPr="00154E7B">
        <w:rPr>
          <w:rFonts w:ascii="Times New Roman" w:eastAsia="標楷體" w:hAnsi="Times New Roman" w:cs="Times New Roman"/>
          <w:color w:val="0070C0"/>
        </w:rPr>
        <w:t>Upward Adjustment Costs</w:t>
      </w:r>
      <w:r w:rsidRPr="00154E7B">
        <w:rPr>
          <w:rFonts w:ascii="Times New Roman" w:eastAsia="標楷體" w:hAnsi="Times New Roman" w:cs="Times New Roman"/>
          <w:color w:val="0070C0"/>
        </w:rPr>
        <w:t>），包括重新刊登徵才廣告、重新篩選與培訓熟練技術工人的時間與資金成本、購置新機械設備之交期摩擦，以及尋找新協力廠商之談判成本。因此，當資源具備高度「專用性」（</w:t>
      </w:r>
      <w:r w:rsidRPr="00154E7B">
        <w:rPr>
          <w:rFonts w:ascii="Times New Roman" w:eastAsia="標楷體" w:hAnsi="Times New Roman" w:cs="Times New Roman"/>
          <w:color w:val="0070C0"/>
        </w:rPr>
        <w:t>Asset Specificity</w:t>
      </w:r>
      <w:r w:rsidRPr="00154E7B">
        <w:rPr>
          <w:rFonts w:ascii="Times New Roman" w:eastAsia="標楷體" w:hAnsi="Times New Roman" w:cs="Times New Roman"/>
          <w:color w:val="0070C0"/>
        </w:rPr>
        <w:t>）或契約具有高度剛性時，理性的管理者權衡下行處置成本與未來上行重建成本後，往往會選擇暫時吸收並保留部分閒置資源，導致銷管費用下行</w:t>
      </w:r>
      <w:r w:rsidRPr="00154E7B">
        <w:rPr>
          <w:rFonts w:ascii="Times New Roman" w:eastAsia="標楷體" w:hAnsi="Times New Roman" w:cs="Times New Roman"/>
          <w:color w:val="0070C0"/>
        </w:rPr>
        <w:lastRenderedPageBreak/>
        <w:t>扣減不足，形成顯著的成本黏性。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另一方面，代理理論與經理人主觀認知則為成本黏性提供了另一構面的行為解釋。現代企業所有權與經營權分離之架構下，高階經理人與外部股東之間存在資訊不對稱與利益衝突。依據代理理論之自利帝國建造假說（</w:t>
      </w:r>
      <w:r w:rsidRPr="00154E7B">
        <w:rPr>
          <w:rFonts w:ascii="Times New Roman" w:eastAsia="標楷體" w:hAnsi="Times New Roman" w:cs="Times New Roman"/>
          <w:color w:val="0070C0"/>
        </w:rPr>
        <w:t>Empire Building Hypothesis</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Empire Building Hypothesis</w:t>
      </w:r>
      <w:r w:rsidRPr="00154E7B">
        <w:rPr>
          <w:rFonts w:ascii="Times New Roman" w:eastAsia="標楷體" w:hAnsi="Times New Roman" w:cs="Times New Roman"/>
          <w:color w:val="0070C0"/>
        </w:rPr>
        <w:t>），經理人之薪酬、權力、聲望及職業晉升往往與企業之控制規模及轄下資源多寡高度掛鉤。在營收擴張時期，具有帝國建造動機的管理者傾向於積極擴增組織編制、採購設備及租賃豪華辦公處所，快速推升費用；但在營收衰退時期，管理者為維護自身既得利益、轄下權力及避免向市場承認投資失策，往往會延宕甚至抗拒裁減資源。此外，經理人的心理認知偏誤亦扮演關鍵角色：管理者容易對外部經濟環境抱持過度樂觀預期（</w:t>
      </w:r>
      <w:r w:rsidRPr="00154E7B">
        <w:rPr>
          <w:rFonts w:ascii="Times New Roman" w:eastAsia="標楷體" w:hAnsi="Times New Roman" w:cs="Times New Roman"/>
          <w:color w:val="0070C0"/>
        </w:rPr>
        <w:t>Over-optimism</w:t>
      </w:r>
      <w:r w:rsidRPr="00154E7B">
        <w:rPr>
          <w:rFonts w:ascii="Times New Roman" w:eastAsia="標楷體" w:hAnsi="Times New Roman" w:cs="Times New Roman"/>
          <w:color w:val="0070C0"/>
        </w:rPr>
        <w:t>），傾向將當期的營收衰退視為暫時性或季節性之波動，堅信市場即將觸底反彈，從而在缺乏下行調整壓迫感之情形下保留冗餘人力與資產，進一步加劇成本剛性。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在台灣實證會計學界，近年來針對成本僵固性之決定因子與制度脈絡開展了多角度的精闢探究。王惠洳（</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[12] </w:t>
      </w:r>
      <w:r w:rsidRPr="00154E7B">
        <w:rPr>
          <w:rFonts w:ascii="Times New Roman" w:eastAsia="標楷體" w:hAnsi="Times New Roman" w:cs="Times New Roman"/>
          <w:color w:val="0070C0"/>
        </w:rPr>
        <w:t>從公司治理核心切入，深入檢驗獨立董事之外部人脈連結（</w:t>
      </w:r>
      <w:r w:rsidRPr="00154E7B">
        <w:rPr>
          <w:rFonts w:ascii="Times New Roman" w:eastAsia="標楷體" w:hAnsi="Times New Roman" w:cs="Times New Roman"/>
          <w:color w:val="0070C0"/>
        </w:rPr>
        <w:t>Social Ties</w:t>
      </w:r>
      <w:r w:rsidRPr="00154E7B">
        <w:rPr>
          <w:rFonts w:ascii="Times New Roman" w:eastAsia="標楷體" w:hAnsi="Times New Roman" w:cs="Times New Roman"/>
          <w:color w:val="0070C0"/>
        </w:rPr>
        <w:t>）對成本僵固性之影響。該研究發現，當獨立董事與外部企業或學界具備豐富之人脈連結時，不僅能為董事會引進更寬廣的市場外部資訊，更能強化對內部管理階層資源配置行為之監督獨立性，有效遏止經理人基於私利或樂觀偏誤而盲目保留閒置資源之行為，從而顯著降低了台灣上市櫃公司之成本僵固性，凸顯了外部監督治理機制在費用調整決策中之關鍵地位。</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陳思婷（</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[13] </w:t>
      </w:r>
      <w:r w:rsidRPr="00154E7B">
        <w:rPr>
          <w:rFonts w:ascii="Times New Roman" w:eastAsia="標楷體" w:hAnsi="Times New Roman" w:cs="Times New Roman"/>
          <w:color w:val="0070C0"/>
        </w:rPr>
        <w:t>則聚焦於企業租稅規劃與經理人代理衝突構面，探討跨國移轉訂價操弄（</w:t>
      </w:r>
      <w:r w:rsidRPr="00154E7B">
        <w:rPr>
          <w:rFonts w:ascii="Times New Roman" w:eastAsia="標楷體" w:hAnsi="Times New Roman" w:cs="Times New Roman"/>
          <w:color w:val="0070C0"/>
        </w:rPr>
        <w:t>Transfer Pricing Manipulation</w:t>
      </w:r>
      <w:r w:rsidRPr="00154E7B">
        <w:rPr>
          <w:rFonts w:ascii="Times New Roman" w:eastAsia="標楷體" w:hAnsi="Times New Roman" w:cs="Times New Roman"/>
          <w:color w:val="0070C0"/>
        </w:rPr>
        <w:t>）與成本僵固性之關聯。其研究指出，當企業積極進行跨國關係人交易之移轉訂價操弄時，其內部財務資訊透明度往往受到扭曲，經理人代理問題顯著加劇。管理者容易假借集團資源調度之名義隱匿經營決策失誤，在營收衰退時缺乏向下調整資源之內部約束，實證證實移轉訂價操弄程度越高之企業，其銷管費用之成本僵固性顯著更高，揭示了內部代理問題放大成本剛性之直接路徑。</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謝雅筑（</w:t>
      </w:r>
      <w:r w:rsidRPr="00154E7B">
        <w:rPr>
          <w:rFonts w:ascii="Times New Roman" w:eastAsia="標楷體" w:hAnsi="Times New Roman" w:cs="Times New Roman"/>
          <w:color w:val="0070C0"/>
        </w:rPr>
        <w:t>2024</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[15] </w:t>
      </w:r>
      <w:r w:rsidRPr="00154E7B">
        <w:rPr>
          <w:rFonts w:ascii="Times New Roman" w:eastAsia="標楷體" w:hAnsi="Times New Roman" w:cs="Times New Roman"/>
          <w:color w:val="0070C0"/>
        </w:rPr>
        <w:t>則從高階經營者個人特質（</w:t>
      </w:r>
      <w:r w:rsidRPr="00154E7B">
        <w:rPr>
          <w:rFonts w:ascii="Times New Roman" w:eastAsia="標楷體" w:hAnsi="Times New Roman" w:cs="Times New Roman"/>
          <w:color w:val="0070C0"/>
        </w:rPr>
        <w:t>Upper Echelons Theory</w:t>
      </w:r>
      <w:r w:rsidRPr="00154E7B">
        <w:rPr>
          <w:rFonts w:ascii="Times New Roman" w:eastAsia="標楷體" w:hAnsi="Times New Roman" w:cs="Times New Roman"/>
          <w:color w:val="0070C0"/>
        </w:rPr>
        <w:t>）之新穎視角出發，實證檢驗具備「飛行員執照之執行長」（</w:t>
      </w:r>
      <w:r w:rsidRPr="00154E7B">
        <w:rPr>
          <w:rFonts w:ascii="Times New Roman" w:eastAsia="標楷體" w:hAnsi="Times New Roman" w:cs="Times New Roman"/>
          <w:color w:val="0070C0"/>
        </w:rPr>
        <w:t>Pilot CEO</w:t>
      </w:r>
      <w:r w:rsidRPr="00154E7B">
        <w:rPr>
          <w:rFonts w:ascii="Times New Roman" w:eastAsia="標楷體" w:hAnsi="Times New Roman" w:cs="Times New Roman"/>
          <w:color w:val="0070C0"/>
        </w:rPr>
        <w:t>）對成本僵固性之調節作用。飛行員</w:t>
      </w:r>
      <w:r w:rsidRPr="00154E7B">
        <w:rPr>
          <w:rFonts w:ascii="Times New Roman" w:eastAsia="標楷體" w:hAnsi="Times New Roman" w:cs="Times New Roman"/>
          <w:color w:val="0070C0"/>
        </w:rPr>
        <w:t xml:space="preserve"> CEO </w:t>
      </w:r>
      <w:r w:rsidRPr="00154E7B">
        <w:rPr>
          <w:rFonts w:ascii="Times New Roman" w:eastAsia="標楷體" w:hAnsi="Times New Roman" w:cs="Times New Roman"/>
          <w:color w:val="0070C0"/>
        </w:rPr>
        <w:t>通常被行為財務學界視為具備高度冒險偏好、過度自信（</w:t>
      </w:r>
      <w:r w:rsidRPr="00154E7B">
        <w:rPr>
          <w:rFonts w:ascii="Times New Roman" w:eastAsia="標楷體" w:hAnsi="Times New Roman" w:cs="Times New Roman"/>
          <w:color w:val="0070C0"/>
        </w:rPr>
        <w:t>Overconfidence</w:t>
      </w:r>
      <w:r w:rsidRPr="00154E7B">
        <w:rPr>
          <w:rFonts w:ascii="Times New Roman" w:eastAsia="標楷體" w:hAnsi="Times New Roman" w:cs="Times New Roman"/>
          <w:color w:val="0070C0"/>
        </w:rPr>
        <w:t>）及強大心理抗壓性之特質代理變數。研究結果發現，飛行員</w:t>
      </w:r>
      <w:r w:rsidRPr="00154E7B">
        <w:rPr>
          <w:rFonts w:ascii="Times New Roman" w:eastAsia="標楷體" w:hAnsi="Times New Roman" w:cs="Times New Roman"/>
          <w:color w:val="0070C0"/>
        </w:rPr>
        <w:t xml:space="preserve"> CEO </w:t>
      </w:r>
      <w:r w:rsidRPr="00154E7B">
        <w:rPr>
          <w:rFonts w:ascii="Times New Roman" w:eastAsia="標楷體" w:hAnsi="Times New Roman" w:cs="Times New Roman"/>
          <w:color w:val="0070C0"/>
        </w:rPr>
        <w:t>在面對公司銷售收入下滑之逆境時，更傾向將逆境視為短期挑戰，對未來市場反轉抱持高度自信與承諾升級（</w:t>
      </w:r>
      <w:r w:rsidRPr="00154E7B">
        <w:rPr>
          <w:rFonts w:ascii="Times New Roman" w:eastAsia="標楷體" w:hAnsi="Times New Roman" w:cs="Times New Roman"/>
          <w:color w:val="0070C0"/>
        </w:rPr>
        <w:t>Escalation of Commitment</w:t>
      </w:r>
      <w:r w:rsidRPr="00154E7B">
        <w:rPr>
          <w:rFonts w:ascii="Times New Roman" w:eastAsia="標楷體" w:hAnsi="Times New Roman" w:cs="Times New Roman"/>
          <w:color w:val="0070C0"/>
        </w:rPr>
        <w:t>），從而表現出更為強烈之資源保留動機，顯著加劇了企業費用調整之非對稱黏性，為經理人主觀認知如何型塑成本性態提供了生動之經驗支持。</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張宸杰（</w:t>
      </w:r>
      <w:r w:rsidRPr="00154E7B">
        <w:rPr>
          <w:rFonts w:ascii="Times New Roman" w:eastAsia="標楷體" w:hAnsi="Times New Roman" w:cs="Times New Roman"/>
          <w:color w:val="0070C0"/>
        </w:rPr>
        <w:t>2023</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[17] </w:t>
      </w:r>
      <w:r w:rsidRPr="00154E7B">
        <w:rPr>
          <w:rFonts w:ascii="Times New Roman" w:eastAsia="標楷體" w:hAnsi="Times New Roman" w:cs="Times New Roman"/>
          <w:color w:val="0070C0"/>
        </w:rPr>
        <w:t>進一步探討了內部控制機制與財務危機威脅對成本行為的約束效果。張宸杰（</w:t>
      </w:r>
      <w:r w:rsidRPr="00154E7B">
        <w:rPr>
          <w:rFonts w:ascii="Times New Roman" w:eastAsia="標楷體" w:hAnsi="Times New Roman" w:cs="Times New Roman"/>
          <w:color w:val="0070C0"/>
        </w:rPr>
        <w:t>2023</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[17] </w:t>
      </w:r>
      <w:r w:rsidRPr="00154E7B">
        <w:rPr>
          <w:rFonts w:ascii="Times New Roman" w:eastAsia="標楷體" w:hAnsi="Times New Roman" w:cs="Times New Roman"/>
          <w:color w:val="0070C0"/>
        </w:rPr>
        <w:t>指出，完善的內部控制系統能建立標準化的資源</w:t>
      </w:r>
      <w:r w:rsidRPr="00154E7B">
        <w:rPr>
          <w:rFonts w:ascii="Times New Roman" w:eastAsia="標楷體" w:hAnsi="Times New Roman" w:cs="Times New Roman"/>
          <w:color w:val="0070C0"/>
        </w:rPr>
        <w:lastRenderedPageBreak/>
        <w:t>審批流程與庫存預警指標，迫使經理人在營收走弱時迅速啟動成本遏止機制；同時，當企業面臨財務困境與破產危機時，極度緊縮之流動性迫使企業不得不進行斷臂求生式的資源裁撤，從而大幅削弱了成本僵固性。此一發現與劉若蘭等（</w:t>
      </w:r>
      <w:r w:rsidRPr="00154E7B">
        <w:rPr>
          <w:rFonts w:ascii="Times New Roman" w:eastAsia="標楷體" w:hAnsi="Times New Roman" w:cs="Times New Roman"/>
          <w:color w:val="0070C0"/>
        </w:rPr>
        <w:t>2024</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[3] </w:t>
      </w:r>
      <w:r w:rsidRPr="00154E7B">
        <w:rPr>
          <w:rFonts w:ascii="Times New Roman" w:eastAsia="標楷體" w:hAnsi="Times New Roman" w:cs="Times New Roman"/>
          <w:color w:val="0070C0"/>
        </w:rPr>
        <w:t>關於審計公費、董監事責任險與外部查核品質之研究相呼應，證明健全之內外部治理架構能實質矯正經理人之費用調整惰性。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劉佳熒（</w:t>
      </w:r>
      <w:r w:rsidRPr="00154E7B">
        <w:rPr>
          <w:rFonts w:ascii="Times New Roman" w:eastAsia="標楷體" w:hAnsi="Times New Roman" w:cs="Times New Roman"/>
          <w:color w:val="0070C0"/>
        </w:rPr>
        <w:t>2022</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[18] </w:t>
      </w:r>
      <w:r w:rsidRPr="00154E7B">
        <w:rPr>
          <w:rFonts w:ascii="Times New Roman" w:eastAsia="標楷體" w:hAnsi="Times New Roman" w:cs="Times New Roman"/>
          <w:color w:val="0070C0"/>
        </w:rPr>
        <w:t>則跨足供應鏈管理與產業組織面向，探討客戶集中度與關係專用性資產（</w:t>
      </w:r>
      <w:r w:rsidRPr="00154E7B">
        <w:rPr>
          <w:rFonts w:ascii="Times New Roman" w:eastAsia="標楷體" w:hAnsi="Times New Roman" w:cs="Times New Roman"/>
          <w:color w:val="0070C0"/>
        </w:rPr>
        <w:t>Relationship-specific Assets</w:t>
      </w:r>
      <w:r w:rsidRPr="00154E7B">
        <w:rPr>
          <w:rFonts w:ascii="Times New Roman" w:eastAsia="標楷體" w:hAnsi="Times New Roman" w:cs="Times New Roman"/>
          <w:color w:val="0070C0"/>
        </w:rPr>
        <w:t>）對供應商成本行為之深層影響。實證表明，當供應商高度依賴少數大型核心客戶，並為此建立專屬生產線與專門服務團隊時，若客戶端訂單遭遇波動衰退，供應商基於維繫長期合作關係之考量，極難即時遣散專門團隊或轉售專用模具，導致下行調整成本呈現幾何級數放大，顯著提升了供應商之費用黏性。此外，邱圓雅（</w:t>
      </w:r>
      <w:r w:rsidRPr="00154E7B">
        <w:rPr>
          <w:rFonts w:ascii="Times New Roman" w:eastAsia="標楷體" w:hAnsi="Times New Roman" w:cs="Times New Roman"/>
          <w:color w:val="0070C0"/>
        </w:rPr>
        <w:t>2020</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[19] </w:t>
      </w:r>
      <w:r w:rsidRPr="00154E7B">
        <w:rPr>
          <w:rFonts w:ascii="Times New Roman" w:eastAsia="標楷體" w:hAnsi="Times New Roman" w:cs="Times New Roman"/>
          <w:color w:val="0070C0"/>
        </w:rPr>
        <w:t>檢證了經理人薪酬結構中的「內部債」（</w:t>
      </w:r>
      <w:r w:rsidRPr="00154E7B">
        <w:rPr>
          <w:rFonts w:ascii="Times New Roman" w:eastAsia="標楷體" w:hAnsi="Times New Roman" w:cs="Times New Roman"/>
          <w:color w:val="0070C0"/>
        </w:rPr>
        <w:t>Inside Debt</w:t>
      </w:r>
      <w:r w:rsidRPr="00154E7B">
        <w:rPr>
          <w:rFonts w:ascii="Times New Roman" w:eastAsia="標楷體" w:hAnsi="Times New Roman" w:cs="Times New Roman"/>
          <w:color w:val="0070C0"/>
        </w:rPr>
        <w:t>，如退休金與延期給付）對成本僵固性之影響，發現高內部債促使高階主管追求保守穩健之營運目標，降低了盲目擴張帝國之衝動；張芳瑜（</w:t>
      </w:r>
      <w:r w:rsidRPr="00154E7B">
        <w:rPr>
          <w:rFonts w:ascii="Times New Roman" w:eastAsia="標楷體" w:hAnsi="Times New Roman" w:cs="Times New Roman"/>
          <w:color w:val="0070C0"/>
        </w:rPr>
        <w:t>2023</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[16] </w:t>
      </w:r>
      <w:r w:rsidRPr="00154E7B">
        <w:rPr>
          <w:rFonts w:ascii="Times New Roman" w:eastAsia="標楷體" w:hAnsi="Times New Roman" w:cs="Times New Roman"/>
          <w:color w:val="0070C0"/>
        </w:rPr>
        <w:t>則進一步將總體經濟變數納為調節變數，實證證實成本僵固性在經濟衰退期會大幅侵蝕企業後續之營業利潤率與資產報酬率，確認了成本黏性對企業長期競爭力具有實質性之後續危害。</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總結上述經典與本土實證文獻，調整成本理論與經理人代理假說已成為解構成本性態之核心框架。然而，綜觀既有研究之自變數選擇，學者們大多聚焦於傳統實體資本（</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）、員工密集度（</w:t>
      </w:r>
      <w:r w:rsidRPr="00154E7B">
        <w:rPr>
          <w:rFonts w:ascii="Times New Roman" w:eastAsia="標楷體" w:hAnsi="Times New Roman" w:cs="Times New Roman"/>
          <w:color w:val="0070C0"/>
        </w:rPr>
        <w:t>EI</w:t>
      </w:r>
      <w:r w:rsidRPr="00154E7B">
        <w:rPr>
          <w:rFonts w:ascii="Times New Roman" w:eastAsia="標楷體" w:hAnsi="Times New Roman" w:cs="Times New Roman"/>
          <w:color w:val="0070C0"/>
        </w:rPr>
        <w:t>）、公司治理機制或經理人心理變數。在當前製造業全面迎向綠色轉型、投入巨額專用性環保資產之全新時代背景下，傳統文獻顯然遺漏了當代最為剛性、最受法律制度嚴厲規範之關鍵構面</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實質環境資源密集度。</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第二節</w:t>
      </w:r>
      <w:r w:rsidRPr="00154E7B">
        <w:rPr>
          <w:rFonts w:ascii="Times New Roman" w:eastAsia="標楷體" w:hAnsi="Times New Roman" w:cs="Times New Roman"/>
          <w:b/>
          <w:color w:val="0070C0"/>
          <w:sz w:val="28"/>
        </w:rPr>
        <w:t xml:space="preserve"> ESG</w:t>
      </w:r>
      <w:r w:rsidRPr="00154E7B">
        <w:rPr>
          <w:rFonts w:ascii="Times New Roman" w:eastAsia="標楷體" w:hAnsi="Times New Roman" w:cs="Times New Roman"/>
          <w:b/>
          <w:color w:val="0070C0"/>
          <w:sz w:val="28"/>
        </w:rPr>
        <w:t>、環境投入與企業成本行為</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隨著全球氣候治理與聯合國永續發展目標（</w:t>
      </w:r>
      <w:r w:rsidRPr="00154E7B">
        <w:rPr>
          <w:rFonts w:ascii="Times New Roman" w:eastAsia="標楷體" w:hAnsi="Times New Roman" w:cs="Times New Roman"/>
          <w:color w:val="0070C0"/>
        </w:rPr>
        <w:t>SDGs</w:t>
      </w:r>
      <w:r w:rsidRPr="00154E7B">
        <w:rPr>
          <w:rFonts w:ascii="Times New Roman" w:eastAsia="標楷體" w:hAnsi="Times New Roman" w:cs="Times New Roman"/>
          <w:color w:val="0070C0"/>
        </w:rPr>
        <w:t>）之推進，探討企業環境責任、</w:t>
      </w:r>
      <w:r w:rsidRPr="00154E7B">
        <w:rPr>
          <w:rFonts w:ascii="Times New Roman" w:eastAsia="標楷體" w:hAnsi="Times New Roman" w:cs="Times New Roman"/>
          <w:color w:val="0070C0"/>
        </w:rPr>
        <w:t xml:space="preserve">ESG </w:t>
      </w:r>
      <w:r w:rsidRPr="00154E7B">
        <w:rPr>
          <w:rFonts w:ascii="Times New Roman" w:eastAsia="標楷體" w:hAnsi="Times New Roman" w:cs="Times New Roman"/>
          <w:color w:val="0070C0"/>
        </w:rPr>
        <w:t>績效與公司財務決策之互動關係，已成為近十年來公司財務與會計學界最蓬勃發展之領域之一。然而，環境永續投入究竟是為企業帶來營運彈性與財務韌性，抑或是構成沉重之財務約束與操作剛性？國際與國內文獻從多元視角提出了精采紛呈之論點與實證證據。</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在國際頂尖學術期刊中，</w:t>
      </w:r>
      <w:r w:rsidRPr="00154E7B">
        <w:rPr>
          <w:rFonts w:ascii="Times New Roman" w:eastAsia="標楷體" w:hAnsi="Times New Roman" w:cs="Times New Roman"/>
          <w:color w:val="0070C0"/>
        </w:rPr>
        <w:t xml:space="preserve">Zeng, Peng, and Chan (2024) [1] </w:t>
      </w:r>
      <w:r w:rsidRPr="00154E7B">
        <w:rPr>
          <w:rFonts w:ascii="Times New Roman" w:eastAsia="標楷體" w:hAnsi="Times New Roman" w:cs="Times New Roman"/>
          <w:color w:val="0070C0"/>
        </w:rPr>
        <w:t>於《</w:t>
      </w:r>
      <w:r w:rsidRPr="00154E7B">
        <w:rPr>
          <w:rFonts w:ascii="Times New Roman" w:eastAsia="標楷體" w:hAnsi="Times New Roman" w:cs="Times New Roman"/>
          <w:color w:val="0070C0"/>
        </w:rPr>
        <w:t>Journal of Corporate Finance</w:t>
      </w:r>
      <w:r w:rsidRPr="00154E7B">
        <w:rPr>
          <w:rFonts w:ascii="Times New Roman" w:eastAsia="標楷體" w:hAnsi="Times New Roman" w:cs="Times New Roman"/>
          <w:color w:val="0070C0"/>
        </w:rPr>
        <w:t>》發表之重量級研究，首度將外生環境政策衝擊與個體企業成本僵固性嚴密連結。該研究以中國低碳城市試點政策（</w:t>
      </w:r>
      <w:r w:rsidRPr="00154E7B">
        <w:rPr>
          <w:rFonts w:ascii="Times New Roman" w:eastAsia="標楷體" w:hAnsi="Times New Roman" w:cs="Times New Roman"/>
          <w:color w:val="0070C0"/>
        </w:rPr>
        <w:t>Low-carbon City Policy</w:t>
      </w:r>
      <w:r w:rsidRPr="00154E7B">
        <w:rPr>
          <w:rFonts w:ascii="Times New Roman" w:eastAsia="標楷體" w:hAnsi="Times New Roman" w:cs="Times New Roman"/>
          <w:color w:val="0070C0"/>
        </w:rPr>
        <w:t>）之分批實施作為準自然實驗（</w:t>
      </w:r>
      <w:r w:rsidRPr="00154E7B">
        <w:rPr>
          <w:rFonts w:ascii="Times New Roman" w:eastAsia="標楷體" w:hAnsi="Times New Roman" w:cs="Times New Roman"/>
          <w:color w:val="0070C0"/>
        </w:rPr>
        <w:t>Quasi-natural Experiment</w:t>
      </w:r>
      <w:r w:rsidRPr="00154E7B">
        <w:rPr>
          <w:rFonts w:ascii="Times New Roman" w:eastAsia="標楷體" w:hAnsi="Times New Roman" w:cs="Times New Roman"/>
          <w:color w:val="0070C0"/>
        </w:rPr>
        <w:t>），採用雙重差分法（</w:t>
      </w:r>
      <w:r w:rsidRPr="00154E7B">
        <w:rPr>
          <w:rFonts w:ascii="Times New Roman" w:eastAsia="標楷體" w:hAnsi="Times New Roman" w:cs="Times New Roman"/>
          <w:color w:val="0070C0"/>
        </w:rPr>
        <w:t>Difference-in-Differences, DID</w:t>
      </w:r>
      <w:r w:rsidRPr="00154E7B">
        <w:rPr>
          <w:rFonts w:ascii="Times New Roman" w:eastAsia="標楷體" w:hAnsi="Times New Roman" w:cs="Times New Roman"/>
          <w:color w:val="0070C0"/>
        </w:rPr>
        <w:t>）深入檢驗政策外生約束對企業費用行為之影響。其實證結果顯示，受試點政策管轄之企業，其銷管費用之成本僵固性顯著放大。進一步機制檢驗</w:t>
      </w:r>
      <w:r w:rsidRPr="00154E7B">
        <w:rPr>
          <w:rFonts w:ascii="Times New Roman" w:eastAsia="標楷體" w:hAnsi="Times New Roman" w:cs="Times New Roman"/>
          <w:color w:val="0070C0"/>
        </w:rPr>
        <w:lastRenderedPageBreak/>
        <w:t>揭示了兩條關鍵傳導路徑：其一為「綠色技術創新與專用資本路徑」，政策強迫企業進行大規模綠色設備更新與專用環保專案投入，這些資產具備高度專用性與沉沒成本特質，大幅拉高了下行調整成本；其二為「融資約束加劇路徑」，嚴厲的綠色標準使得高污染或轉型期企業面對更高的信貸風險溢價與融資壁壘，在流動性受限情境下，管理者更不願隨意中斷已投入巨資之連續性綠色製程，最終導致費用在營收衰退時難以下降。這項研究為「環境合規投入加劇成本剛性」提供了堅實之理論基石與總體經驗證據。</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與此形成鮮明對比的是，</w:t>
      </w:r>
      <w:r w:rsidRPr="00154E7B">
        <w:rPr>
          <w:rFonts w:ascii="Times New Roman" w:eastAsia="標楷體" w:hAnsi="Times New Roman" w:cs="Times New Roman"/>
          <w:color w:val="0070C0"/>
        </w:rPr>
        <w:t xml:space="preserve">Jiang and Yang (2024) [2] </w:t>
      </w:r>
      <w:r w:rsidRPr="00154E7B">
        <w:rPr>
          <w:rFonts w:ascii="Times New Roman" w:eastAsia="標楷體" w:hAnsi="Times New Roman" w:cs="Times New Roman"/>
          <w:color w:val="0070C0"/>
        </w:rPr>
        <w:t>於《</w:t>
      </w:r>
      <w:r w:rsidRPr="00154E7B">
        <w:rPr>
          <w:rFonts w:ascii="Times New Roman" w:eastAsia="標楷體" w:hAnsi="Times New Roman" w:cs="Times New Roman"/>
          <w:color w:val="0070C0"/>
        </w:rPr>
        <w:t>Economics Letters</w:t>
      </w:r>
      <w:r w:rsidRPr="00154E7B">
        <w:rPr>
          <w:rFonts w:ascii="Times New Roman" w:eastAsia="標楷體" w:hAnsi="Times New Roman" w:cs="Times New Roman"/>
          <w:color w:val="0070C0"/>
        </w:rPr>
        <w:t>》發表之實證研究則從供應鏈資訊視角切入，探討了客戶端</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資訊揭露對供應商成本僵固性之緩解功能。其研究指出，當下游核心客戶具備透明且高品質之</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資訊揭露時，上游供應商能更即時、準確地獲取終端市場對綠色產品之真實需求資訊，從而顯著降低了供應鏈上下游之間的資訊不對稱性。更關鍵的是，透明的資訊流能有效矯正供應商經理人對未來需求前景之「盲目樂觀偏誤」（</w:t>
      </w:r>
      <w:r w:rsidRPr="00154E7B">
        <w:rPr>
          <w:rFonts w:ascii="Times New Roman" w:eastAsia="標楷體" w:hAnsi="Times New Roman" w:cs="Times New Roman"/>
          <w:color w:val="0070C0"/>
        </w:rPr>
        <w:t>Unwarranted Optimism</w:t>
      </w:r>
      <w:r w:rsidRPr="00154E7B">
        <w:rPr>
          <w:rFonts w:ascii="Times New Roman" w:eastAsia="標楷體" w:hAnsi="Times New Roman" w:cs="Times New Roman"/>
          <w:color w:val="0070C0"/>
        </w:rPr>
        <w:t>），促使供應商在下游訂單下滑時，能夠果斷採取資源精簡與產能下調措施。</w:t>
      </w:r>
      <w:r w:rsidRPr="00154E7B">
        <w:rPr>
          <w:rFonts w:ascii="Times New Roman" w:eastAsia="標楷體" w:hAnsi="Times New Roman" w:cs="Times New Roman"/>
          <w:color w:val="0070C0"/>
        </w:rPr>
        <w:t xml:space="preserve">Jiang and Yang (2024) [2] </w:t>
      </w:r>
      <w:r w:rsidRPr="00154E7B">
        <w:rPr>
          <w:rFonts w:ascii="Times New Roman" w:eastAsia="標楷體" w:hAnsi="Times New Roman" w:cs="Times New Roman"/>
          <w:color w:val="0070C0"/>
        </w:rPr>
        <w:t>的實證結果證實，高</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資訊透明度具備緩解成本黏性之正向治理外溢價值。這兩篇國際頂尖研究共同揭示了環境構面的「雙重面貌」：實質資本性投入易轉化為剛性調整成本，而符號性資訊揭露則有助於增進監督與透明度。</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在台灣實證研究脈絡中，學者們亦逐步深化了</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與成本行為之連結。鄭紹君（</w:t>
      </w:r>
      <w:r w:rsidRPr="00154E7B">
        <w:rPr>
          <w:rFonts w:ascii="Times New Roman" w:eastAsia="標楷體" w:hAnsi="Times New Roman" w:cs="Times New Roman"/>
          <w:color w:val="0070C0"/>
        </w:rPr>
        <w:t>2018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[20] </w:t>
      </w:r>
      <w:r w:rsidRPr="00154E7B">
        <w:rPr>
          <w:rFonts w:ascii="Times New Roman" w:eastAsia="標楷體" w:hAnsi="Times New Roman" w:cs="Times New Roman"/>
          <w:color w:val="0070C0"/>
        </w:rPr>
        <w:t>率先探討了台灣上市公司之企業社會責任（</w:t>
      </w:r>
      <w:r w:rsidRPr="00154E7B">
        <w:rPr>
          <w:rFonts w:ascii="Times New Roman" w:eastAsia="標楷體" w:hAnsi="Times New Roman" w:cs="Times New Roman"/>
          <w:color w:val="0070C0"/>
        </w:rPr>
        <w:t>CSR</w:t>
      </w:r>
      <w:r w:rsidRPr="00154E7B">
        <w:rPr>
          <w:rFonts w:ascii="Times New Roman" w:eastAsia="標楷體" w:hAnsi="Times New Roman" w:cs="Times New Roman"/>
          <w:color w:val="0070C0"/>
        </w:rPr>
        <w:t>）活動與成本僵固性之關聯，並檢驗</w:t>
      </w:r>
      <w:r w:rsidRPr="00154E7B">
        <w:rPr>
          <w:rFonts w:ascii="Times New Roman" w:eastAsia="標楷體" w:hAnsi="Times New Roman" w:cs="Times New Roman"/>
          <w:color w:val="0070C0"/>
        </w:rPr>
        <w:t xml:space="preserve"> CSR </w:t>
      </w:r>
      <w:r w:rsidRPr="00154E7B">
        <w:rPr>
          <w:rFonts w:ascii="Times New Roman" w:eastAsia="標楷體" w:hAnsi="Times New Roman" w:cs="Times New Roman"/>
          <w:color w:val="0070C0"/>
        </w:rPr>
        <w:t>企業願景之調節效果。其研究發現，積極參與</w:t>
      </w:r>
      <w:r w:rsidRPr="00154E7B">
        <w:rPr>
          <w:rFonts w:ascii="Times New Roman" w:eastAsia="標楷體" w:hAnsi="Times New Roman" w:cs="Times New Roman"/>
          <w:color w:val="0070C0"/>
        </w:rPr>
        <w:t xml:space="preserve"> CSR </w:t>
      </w:r>
      <w:r w:rsidRPr="00154E7B">
        <w:rPr>
          <w:rFonts w:ascii="Times New Roman" w:eastAsia="標楷體" w:hAnsi="Times New Roman" w:cs="Times New Roman"/>
          <w:color w:val="0070C0"/>
        </w:rPr>
        <w:t>活動之企業，在營收衰退時往往基於對員工就業權益保障與社會形象之維護，不願即時遣散人力或中斷社區承諾，因而在特定產業中表現出較高之費用黏性。辛珏辰（</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[14] </w:t>
      </w:r>
      <w:r w:rsidRPr="00154E7B">
        <w:rPr>
          <w:rFonts w:ascii="Times New Roman" w:eastAsia="標楷體" w:hAnsi="Times New Roman" w:cs="Times New Roman"/>
          <w:color w:val="0070C0"/>
        </w:rPr>
        <w:t>則將時空背景延伸至</w:t>
      </w:r>
      <w:r w:rsidRPr="00154E7B">
        <w:rPr>
          <w:rFonts w:ascii="Times New Roman" w:eastAsia="標楷體" w:hAnsi="Times New Roman" w:cs="Times New Roman"/>
          <w:color w:val="0070C0"/>
        </w:rPr>
        <w:t xml:space="preserve"> 2020 </w:t>
      </w:r>
      <w:r w:rsidRPr="00154E7B">
        <w:rPr>
          <w:rFonts w:ascii="Times New Roman" w:eastAsia="標楷體" w:hAnsi="Times New Roman" w:cs="Times New Roman"/>
          <w:color w:val="0070C0"/>
        </w:rPr>
        <w:t>年全球爆發之</w:t>
      </w:r>
      <w:r w:rsidRPr="00154E7B">
        <w:rPr>
          <w:rFonts w:ascii="Times New Roman" w:eastAsia="標楷體" w:hAnsi="Times New Roman" w:cs="Times New Roman"/>
          <w:color w:val="0070C0"/>
        </w:rPr>
        <w:t xml:space="preserve"> COVID-19 </w:t>
      </w:r>
      <w:r w:rsidRPr="00154E7B">
        <w:rPr>
          <w:rFonts w:ascii="Times New Roman" w:eastAsia="標楷體" w:hAnsi="Times New Roman" w:cs="Times New Roman"/>
          <w:color w:val="0070C0"/>
        </w:rPr>
        <w:t>疫情大衝擊，檢視在面對世紀公衛危機之外部極端環境下，</w:t>
      </w:r>
      <w:r w:rsidRPr="00154E7B">
        <w:rPr>
          <w:rFonts w:ascii="Times New Roman" w:eastAsia="標楷體" w:hAnsi="Times New Roman" w:cs="Times New Roman"/>
          <w:color w:val="0070C0"/>
        </w:rPr>
        <w:t xml:space="preserve">ESG </w:t>
      </w:r>
      <w:r w:rsidRPr="00154E7B">
        <w:rPr>
          <w:rFonts w:ascii="Times New Roman" w:eastAsia="標楷體" w:hAnsi="Times New Roman" w:cs="Times New Roman"/>
          <w:color w:val="0070C0"/>
        </w:rPr>
        <w:t>活動投入對成本僵固性之調節行為。其實證發現，雖然</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在常態時期能提升企業聲譽，但在疫情封控導致營收急劇斷崖式下跌之特殊期間，積極履行</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承諾之企業面對社會責任與合約約束，費用向下調整阻力更為劇烈，進一步驗證了環境社會承諾轉化為成本剛性負擔之現實困境。</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此外，國內學者亦廣泛評估了</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表現與資訊揭露對資本市場各類風險指標之實質影響。楊宜蓁（</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[4] </w:t>
      </w:r>
      <w:r w:rsidRPr="00154E7B">
        <w:rPr>
          <w:rFonts w:ascii="Times New Roman" w:eastAsia="標楷體" w:hAnsi="Times New Roman" w:cs="Times New Roman"/>
          <w:color w:val="0070C0"/>
        </w:rPr>
        <w:t>以台灣上市電子業為樣本，深入分析</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績效與負債比率對企業信用風險之交互影響，證實良好的環境與治理表現能有效平抑財務槓桿對違約機率之衝擊；富得運（</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[5] </w:t>
      </w:r>
      <w:r w:rsidRPr="00154E7B">
        <w:rPr>
          <w:rFonts w:ascii="Times New Roman" w:eastAsia="標楷體" w:hAnsi="Times New Roman" w:cs="Times New Roman"/>
          <w:color w:val="0070C0"/>
        </w:rPr>
        <w:t>則檢驗新興市場中企業規模對</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風險管理與財務績效之調節效果，指出大型製造業因具備資源規模經濟，更能將環境風險管理轉化為市場定價優勢；毛祚祥（</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[6] </w:t>
      </w:r>
      <w:r w:rsidRPr="00154E7B">
        <w:rPr>
          <w:rFonts w:ascii="Times New Roman" w:eastAsia="標楷體" w:hAnsi="Times New Roman" w:cs="Times New Roman"/>
          <w:color w:val="0070C0"/>
        </w:rPr>
        <w:t>探討觀光餐旅與製造服務產業之</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指標對系統性風險（</w:t>
      </w:r>
      <w:r w:rsidRPr="00154E7B">
        <w:rPr>
          <w:rFonts w:ascii="Times New Roman" w:eastAsia="標楷體" w:hAnsi="Times New Roman" w:cs="Times New Roman"/>
          <w:color w:val="0070C0"/>
        </w:rPr>
        <w:t>Beta</w:t>
      </w:r>
      <w:r w:rsidRPr="00154E7B">
        <w:rPr>
          <w:rFonts w:ascii="Times New Roman" w:eastAsia="標楷體" w:hAnsi="Times New Roman" w:cs="Times New Roman"/>
          <w:color w:val="0070C0"/>
        </w:rPr>
        <w:t>）之平抑功能；楊博勝（</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[8] </w:t>
      </w:r>
      <w:r w:rsidRPr="00154E7B">
        <w:rPr>
          <w:rFonts w:ascii="Times New Roman" w:eastAsia="標楷體" w:hAnsi="Times New Roman" w:cs="Times New Roman"/>
          <w:color w:val="0070C0"/>
        </w:rPr>
        <w:t>則以嚴謹計量模型證實，高品質之</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資訊揭露能顯著降低台灣上市櫃公司之企業</w:t>
      </w:r>
      <w:r w:rsidRPr="00154E7B">
        <w:rPr>
          <w:rFonts w:ascii="Times New Roman" w:eastAsia="標楷體" w:hAnsi="Times New Roman" w:cs="Times New Roman"/>
          <w:color w:val="0070C0"/>
        </w:rPr>
        <w:lastRenderedPageBreak/>
        <w:t>特有風險（</w:t>
      </w:r>
      <w:r w:rsidRPr="00154E7B">
        <w:rPr>
          <w:rFonts w:ascii="Times New Roman" w:eastAsia="標楷體" w:hAnsi="Times New Roman" w:cs="Times New Roman"/>
          <w:color w:val="0070C0"/>
        </w:rPr>
        <w:t>Idiosyncratic Risk</w:t>
      </w:r>
      <w:r w:rsidRPr="00154E7B">
        <w:rPr>
          <w:rFonts w:ascii="Times New Roman" w:eastAsia="標楷體" w:hAnsi="Times New Roman" w:cs="Times New Roman"/>
          <w:color w:val="0070C0"/>
        </w:rPr>
        <w:t>），為資訊揭露改善外部治理提供了有力佐證。在內部治理構面上，蘇姿云（</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[9] </w:t>
      </w:r>
      <w:r w:rsidRPr="00154E7B">
        <w:rPr>
          <w:rFonts w:ascii="Times New Roman" w:eastAsia="標楷體" w:hAnsi="Times New Roman" w:cs="Times New Roman"/>
          <w:color w:val="0070C0"/>
        </w:rPr>
        <w:t>分析了</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表現對應計與真實盈餘管理之抑制作用，發現家族企業在具備良好</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承諾時更不願從事損害聲譽之會計操弄。</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然而，伴隨永續熱潮而來的另一個學術核心課題，是企業是否存在「言行不一」的漂綠（</w:t>
      </w:r>
      <w:r w:rsidRPr="00154E7B">
        <w:rPr>
          <w:rFonts w:ascii="Times New Roman" w:eastAsia="標楷體" w:hAnsi="Times New Roman" w:cs="Times New Roman"/>
          <w:color w:val="0070C0"/>
        </w:rPr>
        <w:t>Greenwashing</w:t>
      </w:r>
      <w:r w:rsidRPr="00154E7B">
        <w:rPr>
          <w:rFonts w:ascii="Times New Roman" w:eastAsia="標楷體" w:hAnsi="Times New Roman" w:cs="Times New Roman"/>
          <w:color w:val="0070C0"/>
        </w:rPr>
        <w:t>）行徑。張岑華（</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[10] </w:t>
      </w:r>
      <w:r w:rsidRPr="00154E7B">
        <w:rPr>
          <w:rFonts w:ascii="Times New Roman" w:eastAsia="標楷體" w:hAnsi="Times New Roman" w:cs="Times New Roman"/>
          <w:color w:val="0070C0"/>
        </w:rPr>
        <w:t>以台灣市場為對象，建立量化模型分離真實</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績效與表面象徵性揭露，實證檢驗漂綠行為對企業權益資金成本（</w:t>
      </w:r>
      <w:r w:rsidRPr="00154E7B">
        <w:rPr>
          <w:rFonts w:ascii="Times New Roman" w:eastAsia="標楷體" w:hAnsi="Times New Roman" w:cs="Times New Roman"/>
          <w:color w:val="0070C0"/>
        </w:rPr>
        <w:t>Cost of Equity Capital</w:t>
      </w:r>
      <w:r w:rsidRPr="00154E7B">
        <w:rPr>
          <w:rFonts w:ascii="Times New Roman" w:eastAsia="標楷體" w:hAnsi="Times New Roman" w:cs="Times New Roman"/>
          <w:color w:val="0070C0"/>
        </w:rPr>
        <w:t>）之影響。其研究發現，一旦資本市場識破企業之漂綠動機，投資人將要求更高之風險溢價，導致其權益資金成本大幅攀升；張筱婕（</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[11] </w:t>
      </w:r>
      <w:r w:rsidRPr="00154E7B">
        <w:rPr>
          <w:rFonts w:ascii="Times New Roman" w:eastAsia="標楷體" w:hAnsi="Times New Roman" w:cs="Times New Roman"/>
          <w:color w:val="0070C0"/>
        </w:rPr>
        <w:t>則進一步引進外部媒體揭露與輿論監督之視角，發現獨立客觀的媒體報導能發揮關鍵之看門狗功能，有效遏止管理階層試圖透過符號性宣傳掩蓋實質環境缺失之企圖。這些研究深刻提醒我們：在評估環境構面之經濟後果時，絕不能僅僅依賴表面的</w:t>
      </w:r>
      <w:r w:rsidRPr="00154E7B">
        <w:rPr>
          <w:rFonts w:ascii="Times New Roman" w:eastAsia="標楷體" w:hAnsi="Times New Roman" w:cs="Times New Roman"/>
          <w:color w:val="0070C0"/>
        </w:rPr>
        <w:t xml:space="preserve"> CSR/ESG </w:t>
      </w:r>
      <w:r w:rsidRPr="00154E7B">
        <w:rPr>
          <w:rFonts w:ascii="Times New Roman" w:eastAsia="標楷體" w:hAnsi="Times New Roman" w:cs="Times New Roman"/>
          <w:color w:val="0070C0"/>
        </w:rPr>
        <w:t>揭露報告或單一評分，必須將研究觸角深入至企業底層的「物理性資源消耗與實質管理績效」，方能真正捕捉環境要素對企業成本架構之實質衝擊。</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第三節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企業水資源管理之營運與成本意涵</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水資源是現代製造業生產運行之命脈。在半導體晶圓製造、薄膜電晶體液晶顯示器（</w:t>
      </w:r>
      <w:r w:rsidRPr="00154E7B">
        <w:rPr>
          <w:rFonts w:ascii="Times New Roman" w:eastAsia="標楷體" w:hAnsi="Times New Roman" w:cs="Times New Roman"/>
          <w:color w:val="0070C0"/>
        </w:rPr>
        <w:t>TFT-LCD</w:t>
      </w:r>
      <w:r w:rsidRPr="00154E7B">
        <w:rPr>
          <w:rFonts w:ascii="Times New Roman" w:eastAsia="標楷體" w:hAnsi="Times New Roman" w:cs="Times New Roman"/>
          <w:color w:val="0070C0"/>
        </w:rPr>
        <w:t>）、印刷電路板（</w:t>
      </w:r>
      <w:r w:rsidRPr="00154E7B">
        <w:rPr>
          <w:rFonts w:ascii="Times New Roman" w:eastAsia="標楷體" w:hAnsi="Times New Roman" w:cs="Times New Roman"/>
          <w:color w:val="0070C0"/>
        </w:rPr>
        <w:t>PCB</w:t>
      </w:r>
      <w:r w:rsidRPr="00154E7B">
        <w:rPr>
          <w:rFonts w:ascii="Times New Roman" w:eastAsia="標楷體" w:hAnsi="Times New Roman" w:cs="Times New Roman"/>
          <w:color w:val="0070C0"/>
        </w:rPr>
        <w:t>）及石化輕油裂解等台灣核心產業之製程中，極度潔淨之超純水（</w:t>
      </w:r>
      <w:r w:rsidRPr="00154E7B">
        <w:rPr>
          <w:rFonts w:ascii="Times New Roman" w:eastAsia="標楷體" w:hAnsi="Times New Roman" w:cs="Times New Roman"/>
          <w:color w:val="0070C0"/>
        </w:rPr>
        <w:t>Ultra-Pure Water, UPW</w:t>
      </w:r>
      <w:r w:rsidRPr="00154E7B">
        <w:rPr>
          <w:rFonts w:ascii="Times New Roman" w:eastAsia="標楷體" w:hAnsi="Times New Roman" w:cs="Times New Roman"/>
          <w:color w:val="0070C0"/>
        </w:rPr>
        <w:t>）與工業冷卻水扮演著不可或缺之角色。一片先進製程晶圓在微影曝光、化學蝕刻、化學機械研磨（</w:t>
      </w:r>
      <w:r w:rsidRPr="00154E7B">
        <w:rPr>
          <w:rFonts w:ascii="Times New Roman" w:eastAsia="標楷體" w:hAnsi="Times New Roman" w:cs="Times New Roman"/>
          <w:color w:val="0070C0"/>
        </w:rPr>
        <w:t>CMP</w:t>
      </w:r>
      <w:r w:rsidRPr="00154E7B">
        <w:rPr>
          <w:rFonts w:ascii="Times New Roman" w:eastAsia="標楷體" w:hAnsi="Times New Roman" w:cs="Times New Roman"/>
          <w:color w:val="0070C0"/>
        </w:rPr>
        <w:t>）及多道高潔淨度清洗過程中，累計需消耗數公噸之高品質用水。然而，水資源具備強烈之地域限制與氣候敏感性，無法如一般生產原物料般透過國際海運即時跨境調度。當枯水期或乾旱來襲時，政府往往針對工業用水大戶實施分階段強制節水管制，甚至祭出開徵耗水費等政策工具。為確保產線不停擺並滿足國際綠色供應鏈（如</w:t>
      </w:r>
      <w:r w:rsidRPr="00154E7B">
        <w:rPr>
          <w:rFonts w:ascii="Times New Roman" w:eastAsia="標楷體" w:hAnsi="Times New Roman" w:cs="Times New Roman"/>
          <w:color w:val="0070C0"/>
        </w:rPr>
        <w:t xml:space="preserve"> Apple Clean Water Program</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RE100/CDP Water Security</w:t>
      </w:r>
      <w:r w:rsidRPr="00154E7B">
        <w:rPr>
          <w:rFonts w:ascii="Times New Roman" w:eastAsia="標楷體" w:hAnsi="Times New Roman" w:cs="Times New Roman"/>
          <w:color w:val="0070C0"/>
        </w:rPr>
        <w:t>）之嚴格稽核要求，製造業企業必須進行深度的水資源管理轉型。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企業水資源管理的核心實質指標為「水回收率」（</w:t>
      </w:r>
      <w:r w:rsidRPr="00154E7B">
        <w:rPr>
          <w:rFonts w:ascii="Times New Roman" w:eastAsia="標楷體" w:hAnsi="Times New Roman" w:cs="Times New Roman"/>
          <w:color w:val="0070C0"/>
        </w:rPr>
        <w:t xml:space="preserve">Water Recycling Rate,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WATER_RATE</w:t>
      </w:r>
      <w:r w:rsidRPr="00154E7B">
        <w:rPr>
          <w:rFonts w:ascii="Times New Roman" w:eastAsia="標楷體" w:hAnsi="Times New Roman" w:cs="Times New Roman"/>
          <w:color w:val="0070C0"/>
        </w:rPr>
        <w:t>）。提高水回收率並非簡單之作業調整，而是仰賴極度龐大之專用資本設備支出。企業必須在廠區內規劃興建規模龐大之廢水分類回收系統，將不同製程階段產生之酸鹼廢水、氫氟酸廢水、含銅廢水及化學清洗廢水分流輸送，並配置精密之微過濾（</w:t>
      </w:r>
      <w:r w:rsidRPr="00154E7B">
        <w:rPr>
          <w:rFonts w:ascii="Times New Roman" w:eastAsia="標楷體" w:hAnsi="Times New Roman" w:cs="Times New Roman"/>
          <w:color w:val="0070C0"/>
        </w:rPr>
        <w:t>MF</w:t>
      </w:r>
      <w:r w:rsidRPr="00154E7B">
        <w:rPr>
          <w:rFonts w:ascii="Times New Roman" w:eastAsia="標楷體" w:hAnsi="Times New Roman" w:cs="Times New Roman"/>
          <w:color w:val="0070C0"/>
        </w:rPr>
        <w:t>）、超濾（</w:t>
      </w:r>
      <w:r w:rsidRPr="00154E7B">
        <w:rPr>
          <w:rFonts w:ascii="Times New Roman" w:eastAsia="標楷體" w:hAnsi="Times New Roman" w:cs="Times New Roman"/>
          <w:color w:val="0070C0"/>
        </w:rPr>
        <w:t>UF</w:t>
      </w:r>
      <w:r w:rsidRPr="00154E7B">
        <w:rPr>
          <w:rFonts w:ascii="Times New Roman" w:eastAsia="標楷體" w:hAnsi="Times New Roman" w:cs="Times New Roman"/>
          <w:color w:val="0070C0"/>
        </w:rPr>
        <w:t>）、多級逆滲透（</w:t>
      </w:r>
      <w:r w:rsidRPr="00154E7B">
        <w:rPr>
          <w:rFonts w:ascii="Times New Roman" w:eastAsia="標楷體" w:hAnsi="Times New Roman" w:cs="Times New Roman"/>
          <w:color w:val="0070C0"/>
        </w:rPr>
        <w:t>RO</w:t>
      </w:r>
      <w:r w:rsidRPr="00154E7B">
        <w:rPr>
          <w:rFonts w:ascii="Times New Roman" w:eastAsia="標楷體" w:hAnsi="Times New Roman" w:cs="Times New Roman"/>
          <w:color w:val="0070C0"/>
        </w:rPr>
        <w:t>）、電去離子（</w:t>
      </w:r>
      <w:r w:rsidRPr="00154E7B">
        <w:rPr>
          <w:rFonts w:ascii="Times New Roman" w:eastAsia="標楷體" w:hAnsi="Times New Roman" w:cs="Times New Roman"/>
          <w:color w:val="0070C0"/>
        </w:rPr>
        <w:t>EDI</w:t>
      </w:r>
      <w:r w:rsidRPr="00154E7B">
        <w:rPr>
          <w:rFonts w:ascii="Times New Roman" w:eastAsia="標楷體" w:hAnsi="Times New Roman" w:cs="Times New Roman"/>
          <w:color w:val="0070C0"/>
        </w:rPr>
        <w:t>）系統及蒸發結晶器，方能達到將放流水再淨化為次級製程用水或超純水回充之目的。依據專用性資產理論，這些深埋於廠房地板與管道間之大型水處理基礎設施，具有極強的「實質專用性」與「地點專用性」（</w:t>
      </w:r>
      <w:r w:rsidRPr="00154E7B">
        <w:rPr>
          <w:rFonts w:ascii="Times New Roman" w:eastAsia="標楷體" w:hAnsi="Times New Roman" w:cs="Times New Roman"/>
          <w:color w:val="0070C0"/>
        </w:rPr>
        <w:t>Site Specificity</w:t>
      </w:r>
      <w:r w:rsidRPr="00154E7B">
        <w:rPr>
          <w:rFonts w:ascii="Times New Roman" w:eastAsia="標楷體" w:hAnsi="Times New Roman" w:cs="Times New Roman"/>
          <w:color w:val="0070C0"/>
        </w:rPr>
        <w:t>）。此類設備無法輕易改裝或轉售移作他用，一旦建置完成，其產生之巨額固定資產折舊費用便長期沉沒於企業營運</w:t>
      </w:r>
      <w:r w:rsidRPr="00154E7B">
        <w:rPr>
          <w:rFonts w:ascii="Times New Roman" w:eastAsia="標楷體" w:hAnsi="Times New Roman" w:cs="Times New Roman"/>
          <w:color w:val="0070C0"/>
        </w:rPr>
        <w:lastRenderedPageBreak/>
        <w:t>成本之中。</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更為關鍵的是，水回收系統在日常運轉中涉及龐大且剛性之維持開銷。無論廠房之實際產能利用率高低，為維持水處理薄膜之生物活性與化學滲透效能，防止管線生物膜沉積與逆滲透膜乾裂毀損，整套水循環系統必須維持</w:t>
      </w:r>
      <w:r w:rsidRPr="00154E7B">
        <w:rPr>
          <w:rFonts w:ascii="Times New Roman" w:eastAsia="標楷體" w:hAnsi="Times New Roman" w:cs="Times New Roman"/>
          <w:color w:val="0070C0"/>
        </w:rPr>
        <w:t xml:space="preserve"> 24 </w:t>
      </w:r>
      <w:r w:rsidRPr="00154E7B">
        <w:rPr>
          <w:rFonts w:ascii="Times New Roman" w:eastAsia="標楷體" w:hAnsi="Times New Roman" w:cs="Times New Roman"/>
          <w:color w:val="0070C0"/>
        </w:rPr>
        <w:t>小時不間斷之最低循環流量。這意味著高昂的高壓泵浦電力支出、定期化學藥劑投放、昂貴濾膜耗材之例行更換，以及配置全天候輪班之專業環境工程師巡檢維護費用，均屬於不可避免之固定承諾支出。當外部市場景氣驟降、企業銷售收入出現非預期下滑時，管理者若試圖削減與水處理相關之運維費用，將立即面臨水質淨化失敗、製程良率雪崩式下滑或廢水排放超標違規之災難性後果。因此，為維持高水回收率所綁定之專用性資產折舊與剛性運轉開銷，使得企業在營收衰退時缺乏向下調整管理費用的操作空間，形成了典型的下行調整摩擦阻力。</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另一個反映實質依賴度的指標為「用水密集度」（</w:t>
      </w:r>
      <w:r w:rsidRPr="00154E7B">
        <w:rPr>
          <w:rFonts w:ascii="Times New Roman" w:eastAsia="標楷體" w:hAnsi="Times New Roman" w:cs="Times New Roman"/>
          <w:color w:val="0070C0"/>
        </w:rPr>
        <w:t xml:space="preserve">Water Intensity,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WATER_INTENSITY</w:t>
      </w:r>
      <w:r w:rsidRPr="00154E7B">
        <w:rPr>
          <w:rFonts w:ascii="Times New Roman" w:eastAsia="標楷體" w:hAnsi="Times New Roman" w:cs="Times New Roman"/>
          <w:color w:val="0070C0"/>
        </w:rPr>
        <w:t>），定義為企業每百萬元營業收入所耗用之自來水與地下水總立方公尺數。用水密集度直接衡量了企業生產製程技術對水資源的實質依賴強度。許嘉芸（</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[7] </w:t>
      </w:r>
      <w:r w:rsidRPr="00154E7B">
        <w:rPr>
          <w:rFonts w:ascii="Times New Roman" w:eastAsia="標楷體" w:hAnsi="Times New Roman" w:cs="Times New Roman"/>
          <w:color w:val="0070C0"/>
        </w:rPr>
        <w:t>在探討企業資源密集度管理對財務績效與</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效率之影響時特別指出，資源消耗密集度反映了企業將環境要素轉化為經濟產出之深層技術結構。高用水密集度之企業，其整體生產流程本質上屬於資本與水資源高度綑綁之重化工藝。在此類企業中，水資源費用並非微不足道之邊際零星開銷，而是滲透於水電動力費、設備保養費與公用廠務維護費等廣泛之銷管費用科目之中。當營收衰退時，此類重型工藝設施之固定運轉底限，必然構成壓制費用調降之強大剛性力量。</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相對地，水資源管理的第三個構面則體現在「水資源資訊揭露」（</w:t>
      </w:r>
      <w:r w:rsidRPr="00154E7B">
        <w:rPr>
          <w:rFonts w:ascii="Times New Roman" w:eastAsia="標楷體" w:hAnsi="Times New Roman" w:cs="Times New Roman"/>
          <w:color w:val="0070C0"/>
        </w:rPr>
        <w:t xml:space="preserve">Water Disclosure,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WATER_DISC</w:t>
      </w:r>
      <w:r w:rsidRPr="00154E7B">
        <w:rPr>
          <w:rFonts w:ascii="Times New Roman" w:eastAsia="標楷體" w:hAnsi="Times New Roman" w:cs="Times New Roman"/>
          <w:color w:val="0070C0"/>
        </w:rPr>
        <w:t>）。企業是否主動在永續報告書或年報中量化揭露用水量、取水來源、水循環績效及減水目標，反映了企業內部治理透明度與外部當責態度。依據資訊透明度理論與</w:t>
      </w:r>
      <w:r w:rsidRPr="00154E7B">
        <w:rPr>
          <w:rFonts w:ascii="Times New Roman" w:eastAsia="標楷體" w:hAnsi="Times New Roman" w:cs="Times New Roman"/>
          <w:color w:val="0070C0"/>
        </w:rPr>
        <w:t xml:space="preserve"> Jiang and Yang (2024) [2] </w:t>
      </w:r>
      <w:r w:rsidRPr="00154E7B">
        <w:rPr>
          <w:rFonts w:ascii="Times New Roman" w:eastAsia="標楷體" w:hAnsi="Times New Roman" w:cs="Times New Roman"/>
          <w:color w:val="0070C0"/>
        </w:rPr>
        <w:t>的實證啟示，主動揭露水資源資料有助於外部利害關係人、機構投資人及分析師精確掌握企業之環境曝險，進而強化對內部管理階層資源調度行為之監督力度。此外，能維持高品質水資源揭露之企業，通常具備更完善之廠務資源監控儀表板與能源管理系統（</w:t>
      </w:r>
      <w:r w:rsidRPr="00154E7B">
        <w:rPr>
          <w:rFonts w:ascii="Times New Roman" w:eastAsia="標楷體" w:hAnsi="Times New Roman" w:cs="Times New Roman"/>
          <w:color w:val="0070C0"/>
        </w:rPr>
        <w:t>EMS</w:t>
      </w:r>
      <w:r w:rsidRPr="00154E7B">
        <w:rPr>
          <w:rFonts w:ascii="Times New Roman" w:eastAsia="標楷體" w:hAnsi="Times New Roman" w:cs="Times New Roman"/>
          <w:color w:val="0070C0"/>
        </w:rPr>
        <w:t>），能即時提供管理者精確之資源閒置資訊，有效抑制經理人基於盲目樂觀偏誤而延宕資源調整之傾向。因此，相較於實質水回收率所帶來之硬性調整阻力，水資源資訊揭露更傾向扮演「潤滑劑」角色，發揮緩解成本黏性之正向治理功能。</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第四節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廢棄物處置、違規裁罰與剛性法遵成本</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如果說水資源管理代表著企業生產要素之「輸入端」（</w:t>
      </w:r>
      <w:r w:rsidRPr="00154E7B">
        <w:rPr>
          <w:rFonts w:ascii="Times New Roman" w:eastAsia="標楷體" w:hAnsi="Times New Roman" w:cs="Times New Roman"/>
          <w:color w:val="0070C0"/>
        </w:rPr>
        <w:t>Input Side</w:t>
      </w:r>
      <w:r w:rsidRPr="00154E7B">
        <w:rPr>
          <w:rFonts w:ascii="Times New Roman" w:eastAsia="標楷體" w:hAnsi="Times New Roman" w:cs="Times New Roman"/>
          <w:color w:val="0070C0"/>
        </w:rPr>
        <w:t>）剛性，則事業廢棄物之處理與法遵監管則代表著生產要素之「輸出端」（</w:t>
      </w:r>
      <w:r w:rsidRPr="00154E7B">
        <w:rPr>
          <w:rFonts w:ascii="Times New Roman" w:eastAsia="標楷體" w:hAnsi="Times New Roman" w:cs="Times New Roman"/>
          <w:color w:val="0070C0"/>
        </w:rPr>
        <w:t>Output Side</w:t>
      </w:r>
      <w:r w:rsidRPr="00154E7B">
        <w:rPr>
          <w:rFonts w:ascii="Times New Roman" w:eastAsia="標楷體" w:hAnsi="Times New Roman" w:cs="Times New Roman"/>
          <w:color w:val="0070C0"/>
        </w:rPr>
        <w:t>）剛性。在現代工業體系中，任何物理產品之製造與化學反應轉換，必然伴隨副產物與廢棄</w:t>
      </w:r>
      <w:r w:rsidRPr="00154E7B">
        <w:rPr>
          <w:rFonts w:ascii="Times New Roman" w:eastAsia="標楷體" w:hAnsi="Times New Roman" w:cs="Times New Roman"/>
          <w:color w:val="0070C0"/>
        </w:rPr>
        <w:lastRenderedPageBreak/>
        <w:t>物之產生。依據我國《廢棄物清理法》與相關環保法規之嚴格規範，事業廢棄物被嚴格劃分為有害事業廢棄物（如腐蝕性廢酸鹼、易燃性溶劑、重金屬毒性廢污泥）與一般事業廢棄物（如廢塑膠、無害爐渣、一般包裝垃圾）。法規明文規定，事業機構對其生產所產生之廢棄物負有終身實質清理責任，產源機構必須透過行政院環境部之「事業廢棄物申報及管理資訊系統」（</w:t>
      </w:r>
      <w:r w:rsidRPr="00154E7B">
        <w:rPr>
          <w:rFonts w:ascii="Times New Roman" w:eastAsia="標楷體" w:hAnsi="Times New Roman" w:cs="Times New Roman"/>
          <w:color w:val="0070C0"/>
        </w:rPr>
        <w:t>EMS</w:t>
      </w:r>
      <w:r w:rsidRPr="00154E7B">
        <w:rPr>
          <w:rFonts w:ascii="Times New Roman" w:eastAsia="標楷體" w:hAnsi="Times New Roman" w:cs="Times New Roman"/>
          <w:color w:val="0070C0"/>
        </w:rPr>
        <w:t>）進行電子聯單申報，嚴密監控廢棄物自出廠、運送至最終處置場之全生命週期流向。</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本研究以「廢棄物密集度」（</w:t>
      </w:r>
      <w:r w:rsidRPr="00154E7B">
        <w:rPr>
          <w:rFonts w:ascii="Times New Roman" w:eastAsia="標楷體" w:hAnsi="Times New Roman" w:cs="Times New Roman"/>
          <w:color w:val="0070C0"/>
        </w:rPr>
        <w:t xml:space="preserve">Waste Intensity,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WASTE_INTENSITY</w:t>
      </w:r>
      <w:r w:rsidRPr="00154E7B">
        <w:rPr>
          <w:rFonts w:ascii="Times New Roman" w:eastAsia="標楷體" w:hAnsi="Times New Roman" w:cs="Times New Roman"/>
          <w:color w:val="0070C0"/>
        </w:rPr>
        <w:t>，每百萬營收產出之公噸數）衡量企業實質廢棄物產生強度。製造業企業為妥善消化龐大之廢棄物產量，必須建立高度體系化之處置管道。然而，近年來國內合法掩埋場容量逼近飽和，公民營大型焚化爐亦面臨老舊除役或歲修降載，導致廢棄物終端處置費用呈現剛性飆漲。在此背景下，大型製造業為確保產線每日產出之大量廢棄物不致發生無處可去、廠區堆置爆滿導致被迫停工之營運風險，唯一的解方即是與具備合格甲級處理執照之專業清理機構簽署長期清運委託契約。此類合約通常具備跨年度（</w:t>
      </w:r>
      <w:r w:rsidRPr="00154E7B">
        <w:rPr>
          <w:rFonts w:ascii="Times New Roman" w:eastAsia="標楷體" w:hAnsi="Times New Roman" w:cs="Times New Roman"/>
          <w:color w:val="0070C0"/>
        </w:rPr>
        <w:t>2</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3</w:t>
      </w:r>
      <w:r w:rsidRPr="00154E7B">
        <w:rPr>
          <w:rFonts w:ascii="Times New Roman" w:eastAsia="標楷體" w:hAnsi="Times New Roman" w:cs="Times New Roman"/>
          <w:color w:val="0070C0"/>
        </w:rPr>
        <w:t>年）之法律約束力，且清運業者為鎖定專用車輛與處理量能，合約條款中普遍訂有「保底處理費用」（</w:t>
      </w:r>
      <w:r w:rsidRPr="00154E7B">
        <w:rPr>
          <w:rFonts w:ascii="Times New Roman" w:eastAsia="標楷體" w:hAnsi="Times New Roman" w:cs="Times New Roman"/>
          <w:color w:val="0070C0"/>
        </w:rPr>
        <w:t>Take-or-pay Provisions</w:t>
      </w:r>
      <w:r w:rsidRPr="00154E7B">
        <w:rPr>
          <w:rFonts w:ascii="Times New Roman" w:eastAsia="標楷體" w:hAnsi="Times New Roman" w:cs="Times New Roman"/>
          <w:color w:val="0070C0"/>
        </w:rPr>
        <w:t>），即無論企業當月實際產出多少廢棄物，皆必須支付約定之基本契約容量費用。</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此種長期保底清運契約，本質上將原本應屬變動性質之處置費用，轉化為高度剛性之固定承諾支出。當總體經濟走弱、企業面臨銷售訂單與營業收入衰退時，廠房雖然可隨產能調降減少部分原料投入，但既已簽訂之廢棄物長期合約、保底運費以及廠區廢棄物暫存庫之專用抽氣防爆系統與巡檢費用，根本無法在短期內隨營收下降而同比例削減。若企業單方面毀約或要求終止清運合約，除將面臨巨額民事違約損害賠償外，更將立即面臨廠區廢棄物無人清運而觸犯環保法規之致命風險。因此，高廢棄物密集度必然對企業之費用下行調整構成沉重之制度性阻力，在營收衰退時顯著推升成本黏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更為極端之環境剛性衝擊，則體現在企業之「環境違規裁罰」（</w:t>
      </w:r>
      <w:r w:rsidRPr="00154E7B">
        <w:rPr>
          <w:rFonts w:ascii="Times New Roman" w:eastAsia="標楷體" w:hAnsi="Times New Roman" w:cs="Times New Roman"/>
          <w:color w:val="0070C0"/>
        </w:rPr>
        <w:t>Environmental Sanctions and Fines</w:t>
      </w:r>
      <w:r w:rsidRPr="00154E7B">
        <w:rPr>
          <w:rFonts w:ascii="Times New Roman" w:eastAsia="標楷體" w:hAnsi="Times New Roman" w:cs="Times New Roman"/>
          <w:color w:val="0070C0"/>
        </w:rPr>
        <w:t>）。依據</w:t>
      </w:r>
      <w:r w:rsidRPr="00154E7B">
        <w:rPr>
          <w:rFonts w:ascii="Times New Roman" w:eastAsia="標楷體" w:hAnsi="Times New Roman" w:cs="Times New Roman"/>
          <w:color w:val="0070C0"/>
        </w:rPr>
        <w:t xml:space="preserve"> TEJ </w:t>
      </w:r>
      <w:r w:rsidRPr="00154E7B">
        <w:rPr>
          <w:rFonts w:ascii="Times New Roman" w:eastAsia="標楷體" w:hAnsi="Times New Roman" w:cs="Times New Roman"/>
          <w:color w:val="0070C0"/>
        </w:rPr>
        <w:t>列管事業污染源環境裁處資料庫之紀錄，製造業若因廢水放流水質超標、事業廢棄物申報不實、未依許可證內容儲存、廢棄物外包遭非法棄置，或是製程廢氣排放違規，主管機關（各縣市環保局與環境部）將依《水污染防治法》、《廢棄物清理法》及《空氣污染防制法》祭出連續性巨額行政罰鍰。本研究以「環境裁罰金額比率」（</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，環保裁罰總金額除以期末總資產）作為法遵衝擊之代理變數。相較於過往文獻僅單純計算裁罰次數，裁罰金額大小更能直接反映違規情節之嚴重程度與實質經濟衝擊深度。</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環境違規裁罰對成本黏性之加劇機制極具特殊性。首先，環保行政處分屬於國家公權力行使，裁處罰鍰具有法定執行之強制性，企業依法必須於限期內繳納，絕無任何經理人酌情裁減或延後認列之空間，其本質為最極端之「非意願性剛性支出」。其次，更為嚴重的是隨裁罰而來之「強制性限期改善處分」。當企業遭受重大</w:t>
      </w:r>
      <w:r w:rsidRPr="00154E7B">
        <w:rPr>
          <w:rFonts w:ascii="Times New Roman" w:eastAsia="標楷體" w:hAnsi="Times New Roman" w:cs="Times New Roman"/>
          <w:color w:val="0070C0"/>
        </w:rPr>
        <w:lastRenderedPageBreak/>
        <w:t>環保處分時，主管機關通常強制要求企業在三十至九十日內提送污染改善計畫書，斥資聘請外部環境工程顧問機構進行製程清查，並強制增購緊急除污設施、更換失效設備與重新送審環評許可。在某些嚴峻案例中，企業甚至面臨局部停工或限制產量之勒令處分。當企業面臨銷售衰退時，原本利潤空間已被大幅壓縮，若此時又遭逢環境違規裁罰，企業非但無法縮減管理與營運費用，反而必須額外追加大量法律諮詢費、緊急整改工程款與專業檢測費用。此種「禍不單行」的法遵剛性衝擊，實質上徹底鎖死了企業在衰退期間下調營運費用的空間，必然極度加劇費用調整之非對稱成本黏性。</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第五節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研究假說推論</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綜合前述調整成本理論、經理人代理假說，以及對企業水資源管理與事業廢棄物處置實務運作機理之深入剖析，本研究提出環境構面影響企業成本黏性之「雙路徑整合概念架構」（見圖</w:t>
      </w:r>
      <w:r w:rsidRPr="00154E7B">
        <w:rPr>
          <w:rFonts w:ascii="Times New Roman" w:eastAsia="標楷體" w:hAnsi="Times New Roman" w:cs="Times New Roman"/>
          <w:color w:val="0070C0"/>
        </w:rPr>
        <w:t xml:space="preserve"> 2-1</w:t>
      </w:r>
      <w:r w:rsidRPr="00154E7B">
        <w:rPr>
          <w:rFonts w:ascii="Times New Roman" w:eastAsia="標楷體" w:hAnsi="Times New Roman" w:cs="Times New Roman"/>
          <w:color w:val="0070C0"/>
        </w:rPr>
        <w:t>）。雙路徑模型包含：（</w:t>
      </w:r>
      <w:r w:rsidRPr="00154E7B">
        <w:rPr>
          <w:rFonts w:ascii="Times New Roman" w:eastAsia="標楷體" w:hAnsi="Times New Roman" w:cs="Times New Roman"/>
          <w:color w:val="0070C0"/>
        </w:rPr>
        <w:t>1</w:t>
      </w:r>
      <w:r w:rsidRPr="00154E7B">
        <w:rPr>
          <w:rFonts w:ascii="Times New Roman" w:eastAsia="標楷體" w:hAnsi="Times New Roman" w:cs="Times New Roman"/>
          <w:color w:val="0070C0"/>
        </w:rPr>
        <w:t>）「實質專用投入與法遵剛性路徑」：高水回收率之專用設施折舊、高廢棄物密集度之長期保底契約，以及違規裁罰之強制支出，大幅推升了下行調整成本，在營收衰退時阻礙費用削減，進而加劇成本黏性；（</w:t>
      </w:r>
      <w:r w:rsidRPr="00154E7B">
        <w:rPr>
          <w:rFonts w:ascii="Times New Roman" w:eastAsia="標楷體" w:hAnsi="Times New Roman" w:cs="Times New Roman"/>
          <w:color w:val="0070C0"/>
        </w:rPr>
        <w:t>2</w:t>
      </w:r>
      <w:r w:rsidRPr="00154E7B">
        <w:rPr>
          <w:rFonts w:ascii="Times New Roman" w:eastAsia="標楷體" w:hAnsi="Times New Roman" w:cs="Times New Roman"/>
          <w:color w:val="0070C0"/>
        </w:rPr>
        <w:t>）「資訊透明度與監督治理路徑」：主動進行環境資訊揭露強化了外部市場監督，增進內部資源能見度，矯正經理人之樂觀偏誤，進而緩解成本黏性。基於此理論藍圖，本研究依序推導提出六項具體實證研究假說。</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【水資源管理與成本黏性之假說推導】</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首先探討水資源管理構面。如前所述，提升製程水回收率（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是製造業實踐水資源循環的核心體現，但其背後依賴的是高額資本支出所建立的專用性廢水分流處理、超濾、多級逆滲透及蒸發結晶零排放系統。此類專用性設施無法隨意變賣處置，其產生的龐大折舊攤提屬於沉沒固定成本；且水處理系統為維持管線與薄膜效能，必須維持</w:t>
      </w:r>
      <w:r w:rsidRPr="00154E7B">
        <w:rPr>
          <w:rFonts w:ascii="Times New Roman" w:eastAsia="標楷體" w:hAnsi="Times New Roman" w:cs="Times New Roman"/>
          <w:color w:val="0070C0"/>
        </w:rPr>
        <w:t xml:space="preserve"> 24 </w:t>
      </w:r>
      <w:r w:rsidRPr="00154E7B">
        <w:rPr>
          <w:rFonts w:ascii="Times New Roman" w:eastAsia="標楷體" w:hAnsi="Times New Roman" w:cs="Times New Roman"/>
          <w:color w:val="0070C0"/>
        </w:rPr>
        <w:t>小時不間斷運轉，需要固定投入高額動力電費、化學藥劑與專業環工巡檢人力。當企業面臨市場需求與營業收入衰退時，管理者無法輕易停用或裁撤這些攸關生產合規與製程良率的水處理設施，導致銷管費用下行調降受限。依據調整成本理論，專用性水回收設施推高了下行處置成本，阻礙了費用隨營收等比例縮減。據此，提出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：在其他條件不變下，企業水回收率（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）越高，其銷管費用之成本黏性越大（迴歸係數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預期顯著為負）。</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相對地，主動揭露水資源管理資訊（</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）反映了企業內部環境資訊系統之完備性與對外治理透明度。依據</w:t>
      </w:r>
      <w:r w:rsidRPr="00154E7B">
        <w:rPr>
          <w:rFonts w:ascii="Times New Roman" w:eastAsia="標楷體" w:hAnsi="Times New Roman" w:cs="Times New Roman"/>
          <w:color w:val="0070C0"/>
        </w:rPr>
        <w:t xml:space="preserve"> Jiang and Yang (2024) [2] </w:t>
      </w:r>
      <w:r w:rsidRPr="00154E7B">
        <w:rPr>
          <w:rFonts w:ascii="Times New Roman" w:eastAsia="標楷體" w:hAnsi="Times New Roman" w:cs="Times New Roman"/>
          <w:color w:val="0070C0"/>
        </w:rPr>
        <w:t>之實證結論，高品質的環境資訊揭露能有效降低企業與外部投資人、債權人之間的資訊不對稱性，發揮外部治理與監督效應，抑制經理人基於帝國建造私利而盲目保留閒置資源之動機。此外，透明的水資源資料管理使得內部管理階層能即時精確掌握各製程單位</w:t>
      </w:r>
      <w:r w:rsidRPr="00154E7B">
        <w:rPr>
          <w:rFonts w:ascii="Times New Roman" w:eastAsia="標楷體" w:hAnsi="Times New Roman" w:cs="Times New Roman"/>
          <w:color w:val="0070C0"/>
        </w:rPr>
        <w:lastRenderedPageBreak/>
        <w:t>之用水效率與閒置容量，破除管理者對未來市場反轉之「過度樂觀認知偏誤」，促使其在營收衰退時更果斷地啟動資源精簡與成本控制。因此，水資源資訊揭露應能降低下行調整之決策摩擦。據此，提出假說</w:t>
      </w:r>
      <w:r w:rsidRPr="00154E7B">
        <w:rPr>
          <w:rFonts w:ascii="Times New Roman" w:eastAsia="標楷體" w:hAnsi="Times New Roman" w:cs="Times New Roman"/>
          <w:color w:val="0070C0"/>
        </w:rPr>
        <w:t xml:space="preserve"> H1b</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假說</w:t>
      </w:r>
      <w:r w:rsidRPr="00154E7B">
        <w:rPr>
          <w:rFonts w:ascii="Times New Roman" w:eastAsia="標楷體" w:hAnsi="Times New Roman" w:cs="Times New Roman"/>
          <w:color w:val="0070C0"/>
        </w:rPr>
        <w:t xml:space="preserve"> H1b</w:t>
      </w:r>
      <w:r w:rsidRPr="00154E7B">
        <w:rPr>
          <w:rFonts w:ascii="Times New Roman" w:eastAsia="標楷體" w:hAnsi="Times New Roman" w:cs="Times New Roman"/>
          <w:color w:val="0070C0"/>
        </w:rPr>
        <w:t>：在其他條件不變下，主動進行水資源資訊揭露之企業（</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），其銷管費用之成本黏性較低（迴歸係數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預期顯著為正）。</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【事業廢棄物處置與成本黏性之假說推導】</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其次探討事業廢棄物處置構面。高廢棄物密集度（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意味著企業生產流程對物質轉化之深度依賴，且伴隨產生龐大的合規處置負擔。鑑於國內廢棄物終端處置量能緊縮與法規嚴格追蹤，大型製造業為規避產線垃圾爆滿停工之災難性營運中斷風險，普遍與具備合格執照之專業清理機構簽署跨年度之長期清運委託契約，合約中通常訂有「保底處理量」條款。在長約與保底機制約束下，廢棄物委託處理費用本質上已被固定化。當企業面臨營收衰退時，廠房雖然可隨減產減少部分採購，但廢棄物清運長約保底支出、暫存設施固定巡檢與專用安全防護費用均屬法定剛性承諾，無法在短期內隨營收等額下調，形成巨大的下行調整阻力。據此，提出假說</w:t>
      </w:r>
      <w:r w:rsidRPr="00154E7B">
        <w:rPr>
          <w:rFonts w:ascii="Times New Roman" w:eastAsia="標楷體" w:hAnsi="Times New Roman" w:cs="Times New Roman"/>
          <w:color w:val="0070C0"/>
        </w:rPr>
        <w:t xml:space="preserve"> H2a</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假說</w:t>
      </w:r>
      <w:r w:rsidRPr="00154E7B">
        <w:rPr>
          <w:rFonts w:ascii="Times New Roman" w:eastAsia="標楷體" w:hAnsi="Times New Roman" w:cs="Times New Roman"/>
          <w:color w:val="0070C0"/>
        </w:rPr>
        <w:t xml:space="preserve"> H2a</w:t>
      </w:r>
      <w:r w:rsidRPr="00154E7B">
        <w:rPr>
          <w:rFonts w:ascii="Times New Roman" w:eastAsia="標楷體" w:hAnsi="Times New Roman" w:cs="Times New Roman"/>
          <w:color w:val="0070C0"/>
        </w:rPr>
        <w:t>：在其他條件不變下，企業廢棄物密集度（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）越高，其銷管費用之成本黏性越大（迴歸係數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預期顯著為負）。</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進一步探討環境違規裁罰之衝擊。當企業因廢水偷排、廢棄物申報不實或外包違法棄置而遭受主管機關行政裁罰時（</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企業面臨強制性公權力之法遵制裁。行政罰鍰必須依法繳納，屬於完全缺乏調整彈性之剛性支出。更重要的是，遭受裁罰之企業依法必須提報緊急改善計畫、委聘外部工程顧問清查製程漏洞，並強制增設監控與防污設施，甚至可能面臨產線停工整改。在營收下滑之艱難時期，此類強制性環境合規與整改支出進一步剝奪了企業裁減營運費用的空間，形同在衰退期額外追加剛性開銷，極度惡化了費用下行調整之非對稱性。據此，提出假說</w:t>
      </w:r>
      <w:r w:rsidRPr="00154E7B">
        <w:rPr>
          <w:rFonts w:ascii="Times New Roman" w:eastAsia="標楷體" w:hAnsi="Times New Roman" w:cs="Times New Roman"/>
          <w:color w:val="0070C0"/>
        </w:rPr>
        <w:t xml:space="preserve"> H2b</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假說</w:t>
      </w:r>
      <w:r w:rsidRPr="00154E7B">
        <w:rPr>
          <w:rFonts w:ascii="Times New Roman" w:eastAsia="標楷體" w:hAnsi="Times New Roman" w:cs="Times New Roman"/>
          <w:color w:val="0070C0"/>
        </w:rPr>
        <w:t xml:space="preserve"> H2b</w:t>
      </w:r>
      <w:r w:rsidRPr="00154E7B">
        <w:rPr>
          <w:rFonts w:ascii="Times New Roman" w:eastAsia="標楷體" w:hAnsi="Times New Roman" w:cs="Times New Roman"/>
          <w:color w:val="0070C0"/>
        </w:rPr>
        <w:t>：在其他條件不變下，企業環境違規裁罰金額（</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）越高，其銷管費用之成本黏性越大（迴歸係數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預期顯著為負）。</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【動態時間遞延性與產業異質性之假說推導】</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除了當期之靜態影響外，環境資源投入與合約拘束具備顯著之時間遞延性（</w:t>
      </w:r>
      <w:r w:rsidRPr="00154E7B">
        <w:rPr>
          <w:rFonts w:ascii="Times New Roman" w:eastAsia="標楷體" w:hAnsi="Times New Roman" w:cs="Times New Roman"/>
          <w:color w:val="0070C0"/>
        </w:rPr>
        <w:t>Lagged Effects</w:t>
      </w:r>
      <w:r w:rsidRPr="00154E7B">
        <w:rPr>
          <w:rFonts w:ascii="Times New Roman" w:eastAsia="標楷體" w:hAnsi="Times New Roman" w:cs="Times New Roman"/>
          <w:color w:val="0070C0"/>
        </w:rPr>
        <w:t>）。企業購置大型廢水過濾設施或簽署跨年度廢棄物保底長約，其固定資產折舊與合約拘束往往跨越數個會計年度。在設施建置初期（</w:t>
      </w:r>
      <w:r w:rsidRPr="00154E7B">
        <w:rPr>
          <w:rFonts w:ascii="Times New Roman" w:eastAsia="標楷體" w:hAnsi="Times New Roman" w:cs="Times New Roman"/>
          <w:color w:val="0070C0"/>
        </w:rPr>
        <w:t>t-0</w:t>
      </w:r>
      <w:r w:rsidRPr="00154E7B">
        <w:rPr>
          <w:rFonts w:ascii="Times New Roman" w:eastAsia="標楷體" w:hAnsi="Times New Roman" w:cs="Times New Roman"/>
          <w:color w:val="0070C0"/>
        </w:rPr>
        <w:t>），各項試車運轉與保固條款可能尚未全面發酵；但隨著設施全面竣工啟用並進入正式商業運轉（</w:t>
      </w:r>
      <w:r w:rsidRPr="00154E7B">
        <w:rPr>
          <w:rFonts w:ascii="Times New Roman" w:eastAsia="標楷體" w:hAnsi="Times New Roman" w:cs="Times New Roman"/>
          <w:color w:val="0070C0"/>
        </w:rPr>
        <w:t>t-1, t-2</w:t>
      </w:r>
      <w:r w:rsidRPr="00154E7B">
        <w:rPr>
          <w:rFonts w:ascii="Times New Roman" w:eastAsia="標楷體" w:hAnsi="Times New Roman" w:cs="Times New Roman"/>
          <w:color w:val="0070C0"/>
        </w:rPr>
        <w:t>），巨額折舊開始全額攤提，長期清運合約之剛性條款亦進入執行高峰期。因此，環境專用性資產與合約所造成之下行調整阻力，其效應理應隨著時間推進而呈現遞延累積放大之態勢。據此，提出假說</w:t>
      </w:r>
      <w:r w:rsidRPr="00154E7B">
        <w:rPr>
          <w:rFonts w:ascii="Times New Roman" w:eastAsia="標楷體" w:hAnsi="Times New Roman" w:cs="Times New Roman"/>
          <w:color w:val="0070C0"/>
        </w:rPr>
        <w:t xml:space="preserve"> H3a</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lastRenderedPageBreak/>
        <w:t>假說</w:t>
      </w:r>
      <w:r w:rsidRPr="00154E7B">
        <w:rPr>
          <w:rFonts w:ascii="Times New Roman" w:eastAsia="標楷體" w:hAnsi="Times New Roman" w:cs="Times New Roman"/>
          <w:color w:val="0070C0"/>
        </w:rPr>
        <w:t xml:space="preserve"> H3a</w:t>
      </w:r>
      <w:r w:rsidRPr="00154E7B">
        <w:rPr>
          <w:rFonts w:ascii="Times New Roman" w:eastAsia="標楷體" w:hAnsi="Times New Roman" w:cs="Times New Roman"/>
          <w:color w:val="0070C0"/>
        </w:rPr>
        <w:t>：水資源與廢棄物實質使用密集度對成本黏性之加劇效果具有動態時間遞延性，遞延一期（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）與兩期（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）之加劇效果顯著持續存在且更為強烈。</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最後，探討產業污染特徵對上述關係之調節作用（</w:t>
      </w:r>
      <w:r w:rsidRPr="00154E7B">
        <w:rPr>
          <w:rFonts w:ascii="Times New Roman" w:eastAsia="標楷體" w:hAnsi="Times New Roman" w:cs="Times New Roman"/>
          <w:color w:val="0070C0"/>
        </w:rPr>
        <w:t>Industry Heterogeneity</w:t>
      </w:r>
      <w:r w:rsidRPr="00154E7B">
        <w:rPr>
          <w:rFonts w:ascii="Times New Roman" w:eastAsia="標楷體" w:hAnsi="Times New Roman" w:cs="Times New Roman"/>
          <w:color w:val="0070C0"/>
        </w:rPr>
        <w:t>）。不同製造業行業之製程物理特性與環境管制暴露度存在根本性之分野。依據我國環境部列管事業標準，半導體製造業、光電液晶顯示業、化學基本原料製造業及鋼鐵金屬冶煉業，屬於標準之「高耗水與高污染密集型產業」；相對地，食品加工、紡織成衣、機械設備組裝及電子組裝等行業，則屬於「低污染或一般製造業」。高污染產業之製程環境資產專用性極強、違規裁罰標準嚴苛且廢棄物清運長約門檻極高，其下行調整成本顯著超越一般輕工業。相對地，低污染製造業用水量微小，水費用與垃圾清理費用佔總營業費用之比例微乎其微，其資源調配不致對整體費用調整構成實質阻力。據此，提出假說</w:t>
      </w:r>
      <w:r w:rsidRPr="00154E7B">
        <w:rPr>
          <w:rFonts w:ascii="Times New Roman" w:eastAsia="標楷體" w:hAnsi="Times New Roman" w:cs="Times New Roman"/>
          <w:color w:val="0070C0"/>
        </w:rPr>
        <w:t xml:space="preserve"> H4</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假說</w:t>
      </w:r>
      <w:r w:rsidRPr="00154E7B">
        <w:rPr>
          <w:rFonts w:ascii="Times New Roman" w:eastAsia="標楷體" w:hAnsi="Times New Roman" w:cs="Times New Roman"/>
          <w:color w:val="0070C0"/>
        </w:rPr>
        <w:t xml:space="preserve"> H4</w:t>
      </w:r>
      <w:r w:rsidRPr="00154E7B">
        <w:rPr>
          <w:rFonts w:ascii="Times New Roman" w:eastAsia="標楷體" w:hAnsi="Times New Roman" w:cs="Times New Roman"/>
          <w:color w:val="0070C0"/>
        </w:rPr>
        <w:t>：產業污染屬性具備調節作用，水資源與廢棄物使用密集度對成本黏性之加劇效果，顯著集中於高耗水與高污染製造業，在低污染製造業中則不顯著。</w:t>
      </w:r>
    </w:p>
    <w:p w:rsidR="00AE2003" w:rsidRPr="00154E7B" w:rsidRDefault="007265F6">
      <w:pPr>
        <w:spacing w:before="280" w:after="280" w:line="288" w:lineRule="auto"/>
        <w:jc w:val="center"/>
        <w:rPr>
          <w:color w:val="0070C0"/>
        </w:rPr>
      </w:pPr>
      <w:r w:rsidRPr="00154E7B">
        <w:rPr>
          <w:rFonts w:ascii="Times New Roman" w:eastAsia="標楷體" w:hAnsi="Times New Roman" w:cs="Times New Roman"/>
          <w:b/>
          <w:color w:val="0070C0"/>
          <w:sz w:val="20"/>
        </w:rPr>
        <w:t>【圖</w:t>
      </w:r>
      <w:r w:rsidRPr="00154E7B">
        <w:rPr>
          <w:rFonts w:ascii="Times New Roman" w:eastAsia="標楷體" w:hAnsi="Times New Roman" w:cs="Times New Roman"/>
          <w:b/>
          <w:color w:val="0070C0"/>
          <w:sz w:val="20"/>
        </w:rPr>
        <w:t xml:space="preserve"> 2-1 </w:t>
      </w:r>
      <w:r w:rsidRPr="00154E7B">
        <w:rPr>
          <w:rFonts w:ascii="Times New Roman" w:eastAsia="標楷體" w:hAnsi="Times New Roman" w:cs="Times New Roman"/>
          <w:b/>
          <w:color w:val="0070C0"/>
          <w:sz w:val="20"/>
        </w:rPr>
        <w:t>企業環境資源管理對成本黏性影響之雙路徑概念模型圖】</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t>路徑一（實質專用投入與合約剛性）：高水回收率</w:t>
      </w:r>
      <w:r w:rsidRPr="00154E7B">
        <w:rPr>
          <w:rFonts w:ascii="Times New Roman" w:eastAsia="標楷體" w:hAnsi="Times New Roman" w:cs="Times New Roman"/>
          <w:b/>
          <w:color w:val="0070C0"/>
          <w:sz w:val="20"/>
        </w:rPr>
        <w:t xml:space="preserve"> (H1a)</w:t>
      </w:r>
      <w:r w:rsidRPr="00154E7B">
        <w:rPr>
          <w:rFonts w:ascii="Times New Roman" w:eastAsia="標楷體" w:hAnsi="Times New Roman" w:cs="Times New Roman"/>
          <w:b/>
          <w:color w:val="0070C0"/>
          <w:sz w:val="20"/>
        </w:rPr>
        <w:t>、高廢棄物密集度</w:t>
      </w:r>
      <w:r w:rsidRPr="00154E7B">
        <w:rPr>
          <w:rFonts w:ascii="Times New Roman" w:eastAsia="標楷體" w:hAnsi="Times New Roman" w:cs="Times New Roman"/>
          <w:b/>
          <w:color w:val="0070C0"/>
          <w:sz w:val="20"/>
        </w:rPr>
        <w:t xml:space="preserve"> (H2a)</w:t>
      </w:r>
      <w:r w:rsidRPr="00154E7B">
        <w:rPr>
          <w:rFonts w:ascii="Times New Roman" w:eastAsia="標楷體" w:hAnsi="Times New Roman" w:cs="Times New Roman"/>
          <w:b/>
          <w:color w:val="0070C0"/>
          <w:sz w:val="20"/>
        </w:rPr>
        <w:t>、環保違規裁罰</w:t>
      </w:r>
      <w:r w:rsidRPr="00154E7B">
        <w:rPr>
          <w:rFonts w:ascii="Times New Roman" w:eastAsia="標楷體" w:hAnsi="Times New Roman" w:cs="Times New Roman"/>
          <w:b/>
          <w:color w:val="0070C0"/>
          <w:sz w:val="20"/>
        </w:rPr>
        <w:t xml:space="preserve"> (H2b) ──[</w:t>
      </w:r>
      <w:r w:rsidRPr="00154E7B">
        <w:rPr>
          <w:rFonts w:ascii="Times New Roman" w:eastAsia="標楷體" w:hAnsi="Times New Roman" w:cs="Times New Roman"/>
          <w:b/>
          <w:color w:val="0070C0"/>
          <w:sz w:val="20"/>
        </w:rPr>
        <w:t>推升下行調整成本</w:t>
      </w:r>
      <w:r w:rsidRPr="00154E7B">
        <w:rPr>
          <w:rFonts w:ascii="Times New Roman" w:eastAsia="標楷體" w:hAnsi="Times New Roman" w:cs="Times New Roman"/>
          <w:b/>
          <w:color w:val="0070C0"/>
          <w:sz w:val="20"/>
        </w:rPr>
        <w:t xml:space="preserve">]──&gt; </w:t>
      </w:r>
      <w:r w:rsidRPr="00154E7B">
        <w:rPr>
          <w:rFonts w:ascii="Times New Roman" w:eastAsia="標楷體" w:hAnsi="Times New Roman" w:cs="Times New Roman"/>
          <w:b/>
          <w:color w:val="0070C0"/>
          <w:sz w:val="20"/>
        </w:rPr>
        <w:t>加劇成本黏性</w:t>
      </w:r>
      <w:r w:rsidRPr="00154E7B">
        <w:rPr>
          <w:rFonts w:ascii="Times New Roman" w:eastAsia="標楷體" w:hAnsi="Times New Roman" w:cs="Times New Roman"/>
          <w:b/>
          <w:color w:val="0070C0"/>
          <w:sz w:val="20"/>
        </w:rPr>
        <w:t xml:space="preserve"> (β3 &lt; 0)</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t>路徑二（資訊透明度與市場監督）：水資源主動揭露</w:t>
      </w:r>
      <w:r w:rsidRPr="00154E7B">
        <w:rPr>
          <w:rFonts w:ascii="Times New Roman" w:eastAsia="標楷體" w:hAnsi="Times New Roman" w:cs="Times New Roman"/>
          <w:b/>
          <w:color w:val="0070C0"/>
          <w:sz w:val="20"/>
        </w:rPr>
        <w:t xml:space="preserve"> (H1b) ──[</w:t>
      </w:r>
      <w:r w:rsidRPr="00154E7B">
        <w:rPr>
          <w:rFonts w:ascii="Times New Roman" w:eastAsia="標楷體" w:hAnsi="Times New Roman" w:cs="Times New Roman"/>
          <w:b/>
          <w:color w:val="0070C0"/>
          <w:sz w:val="20"/>
        </w:rPr>
        <w:t>降低資訊不對稱、抑制代理偏誤</w:t>
      </w:r>
      <w:r w:rsidRPr="00154E7B">
        <w:rPr>
          <w:rFonts w:ascii="Times New Roman" w:eastAsia="標楷體" w:hAnsi="Times New Roman" w:cs="Times New Roman"/>
          <w:b/>
          <w:color w:val="0070C0"/>
          <w:sz w:val="20"/>
        </w:rPr>
        <w:t xml:space="preserve">]──&gt; </w:t>
      </w:r>
      <w:r w:rsidRPr="00154E7B">
        <w:rPr>
          <w:rFonts w:ascii="Times New Roman" w:eastAsia="標楷體" w:hAnsi="Times New Roman" w:cs="Times New Roman"/>
          <w:b/>
          <w:color w:val="0070C0"/>
          <w:sz w:val="20"/>
        </w:rPr>
        <w:t>緩解成本黏性</w:t>
      </w:r>
      <w:r w:rsidRPr="00154E7B">
        <w:rPr>
          <w:rFonts w:ascii="Times New Roman" w:eastAsia="標楷體" w:hAnsi="Times New Roman" w:cs="Times New Roman"/>
          <w:b/>
          <w:color w:val="0070C0"/>
          <w:sz w:val="20"/>
        </w:rPr>
        <w:t xml:space="preserve"> (β3 &gt; 0)</w:t>
      </w:r>
      <w:r w:rsidRPr="00154E7B">
        <w:rPr>
          <w:rFonts w:ascii="Times New Roman" w:eastAsia="標楷體" w:hAnsi="Times New Roman" w:cs="Times New Roman"/>
          <w:b/>
          <w:color w:val="0070C0"/>
          <w:sz w:val="20"/>
        </w:rPr>
        <w:br/>
      </w:r>
      <w:r w:rsidRPr="00154E7B">
        <w:rPr>
          <w:rFonts w:ascii="Times New Roman" w:eastAsia="標楷體" w:hAnsi="Times New Roman" w:cs="Times New Roman"/>
          <w:b/>
          <w:color w:val="0070C0"/>
          <w:sz w:val="20"/>
        </w:rPr>
        <w:t>時間構面：動態時間遞延累積效應</w:t>
      </w:r>
      <w:r w:rsidRPr="00154E7B">
        <w:rPr>
          <w:rFonts w:ascii="Times New Roman" w:eastAsia="標楷體" w:hAnsi="Times New Roman" w:cs="Times New Roman"/>
          <w:b/>
          <w:color w:val="0070C0"/>
          <w:sz w:val="20"/>
        </w:rPr>
        <w:t xml:space="preserve"> (H3a, t-1/t-2 </w:t>
      </w:r>
      <w:r w:rsidRPr="00154E7B">
        <w:rPr>
          <w:rFonts w:ascii="Times New Roman" w:eastAsia="標楷體" w:hAnsi="Times New Roman" w:cs="Times New Roman"/>
          <w:b/>
          <w:color w:val="0070C0"/>
          <w:sz w:val="20"/>
        </w:rPr>
        <w:t>加劇</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w:t>
      </w:r>
      <w:r w:rsidRPr="00154E7B">
        <w:rPr>
          <w:rFonts w:ascii="Times New Roman" w:eastAsia="標楷體" w:hAnsi="Times New Roman" w:cs="Times New Roman"/>
          <w:b/>
          <w:color w:val="0070C0"/>
          <w:sz w:val="20"/>
        </w:rPr>
        <w:t xml:space="preserve"> </w:t>
      </w:r>
      <w:r w:rsidRPr="00154E7B">
        <w:rPr>
          <w:rFonts w:ascii="Times New Roman" w:eastAsia="標楷體" w:hAnsi="Times New Roman" w:cs="Times New Roman"/>
          <w:b/>
          <w:color w:val="0070C0"/>
          <w:sz w:val="20"/>
        </w:rPr>
        <w:t>產業構面：高污染與高耗水製造業顯著集中</w:t>
      </w:r>
      <w:r w:rsidRPr="00154E7B">
        <w:rPr>
          <w:rFonts w:ascii="Times New Roman" w:eastAsia="標楷體" w:hAnsi="Times New Roman" w:cs="Times New Roman"/>
          <w:b/>
          <w:color w:val="0070C0"/>
          <w:sz w:val="20"/>
        </w:rPr>
        <w:t xml:space="preserve"> (H4)</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第三章</w:t>
      </w:r>
      <w:r w:rsidRPr="00154E7B">
        <w:rPr>
          <w:rFonts w:ascii="Times New Roman" w:eastAsia="標楷體" w:hAnsi="Times New Roman" w:cs="Times New Roman"/>
          <w:b/>
          <w:color w:val="0070C0"/>
          <w:sz w:val="36"/>
        </w:rPr>
        <w:t xml:space="preserve"> </w:t>
      </w:r>
      <w:r w:rsidRPr="00154E7B">
        <w:rPr>
          <w:rFonts w:ascii="Times New Roman" w:eastAsia="標楷體" w:hAnsi="Times New Roman" w:cs="Times New Roman"/>
          <w:b/>
          <w:color w:val="0070C0"/>
          <w:sz w:val="36"/>
        </w:rPr>
        <w:t>研究方法與資料</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第一節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資料來源與樣本篩選</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本研究旨在深入檢驗企業水資源管理與事業廢棄物處置對成本黏性之影響。為確保實證資料之權威性、代表性與全面性，本研究之經驗資料全數擷取自國內最具公信力與歷史深度之「台灣經濟新報」（</w:t>
      </w:r>
      <w:r w:rsidRPr="00154E7B">
        <w:rPr>
          <w:rFonts w:ascii="Times New Roman" w:eastAsia="標楷體" w:hAnsi="Times New Roman" w:cs="Times New Roman"/>
          <w:color w:val="0070C0"/>
        </w:rPr>
        <w:t xml:space="preserve">Taiwan Economic Journal,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TEJ</w:t>
      </w:r>
      <w:r w:rsidRPr="00154E7B">
        <w:rPr>
          <w:rFonts w:ascii="Times New Roman" w:eastAsia="標楷體" w:hAnsi="Times New Roman" w:cs="Times New Roman"/>
          <w:color w:val="0070C0"/>
        </w:rPr>
        <w:t>）資料庫。具體整合之資料庫子模組涵蓋三大範疇：第一，</w:t>
      </w:r>
      <w:r w:rsidRPr="00154E7B">
        <w:rPr>
          <w:rFonts w:ascii="Times New Roman" w:eastAsia="標楷體" w:hAnsi="Times New Roman" w:cs="Times New Roman"/>
          <w:color w:val="0070C0"/>
        </w:rPr>
        <w:t xml:space="preserve">TEJ IFRS </w:t>
      </w:r>
      <w:r w:rsidRPr="00154E7B">
        <w:rPr>
          <w:rFonts w:ascii="Times New Roman" w:eastAsia="標楷體" w:hAnsi="Times New Roman" w:cs="Times New Roman"/>
          <w:color w:val="0070C0"/>
        </w:rPr>
        <w:t>企業財務單季合併資料庫，用於擷取台灣上市與證券櫃檯買賣中心（櫃買中心）掛牌企業之各期營業收入、銷售及管理費用、營業成本、資產總額、員工人數、負債比率及獲利能力指標；第二，</w:t>
      </w:r>
      <w:r w:rsidRPr="00154E7B">
        <w:rPr>
          <w:rFonts w:ascii="Times New Roman" w:eastAsia="標楷體" w:hAnsi="Times New Roman" w:cs="Times New Roman"/>
          <w:color w:val="0070C0"/>
        </w:rPr>
        <w:t xml:space="preserve">TEJ </w:t>
      </w:r>
      <w:r w:rsidRPr="00154E7B">
        <w:rPr>
          <w:rFonts w:ascii="Times New Roman" w:eastAsia="標楷體" w:hAnsi="Times New Roman" w:cs="Times New Roman"/>
          <w:color w:val="0070C0"/>
        </w:rPr>
        <w:t>企業社會責任與永續發展「</w:t>
      </w:r>
      <w:r w:rsidRPr="00154E7B">
        <w:rPr>
          <w:rFonts w:ascii="Times New Roman" w:eastAsia="標楷體" w:hAnsi="Times New Roman" w:cs="Times New Roman"/>
          <w:color w:val="0070C0"/>
        </w:rPr>
        <w:t xml:space="preserve">TESG </w:t>
      </w:r>
      <w:r w:rsidRPr="00154E7B">
        <w:rPr>
          <w:rFonts w:ascii="Times New Roman" w:eastAsia="標楷體" w:hAnsi="Times New Roman" w:cs="Times New Roman"/>
          <w:color w:val="0070C0"/>
        </w:rPr>
        <w:t>永續環境數量模組」，該模組詳細彙整企業依據全球報告倡議組織（</w:t>
      </w:r>
      <w:r w:rsidRPr="00154E7B">
        <w:rPr>
          <w:rFonts w:ascii="Times New Roman" w:eastAsia="標楷體" w:hAnsi="Times New Roman" w:cs="Times New Roman"/>
          <w:color w:val="0070C0"/>
        </w:rPr>
        <w:t>GRI Standards</w:t>
      </w:r>
      <w:r w:rsidRPr="00154E7B">
        <w:rPr>
          <w:rFonts w:ascii="Times New Roman" w:eastAsia="標楷體" w:hAnsi="Times New Roman" w:cs="Times New Roman"/>
          <w:color w:val="0070C0"/>
        </w:rPr>
        <w:t>）準則與金管會規範所揭露之物理性實體環境資料，具體包含企業自來水取水量、地下水取水量、製程水回收率、事業廢棄物總產出量、有害事業廢棄物量及廢棄物申報等級；第三，</w:t>
      </w:r>
      <w:r w:rsidRPr="00154E7B">
        <w:rPr>
          <w:rFonts w:ascii="Times New Roman" w:eastAsia="標楷體" w:hAnsi="Times New Roman" w:cs="Times New Roman"/>
          <w:color w:val="0070C0"/>
        </w:rPr>
        <w:t>TEJ</w:t>
      </w:r>
      <w:r w:rsidRPr="00154E7B">
        <w:rPr>
          <w:rFonts w:ascii="Times New Roman" w:eastAsia="標楷體" w:hAnsi="Times New Roman" w:cs="Times New Roman"/>
          <w:color w:val="0070C0"/>
        </w:rPr>
        <w:t>「列管事業污染源環境裁處明細資料庫」，該資料庫即時追蹤行政院環境部及各地方政府環保局依據《水污染防治法》、《廢棄物清理法》及《空氣污染防制法》對列管企業所作成之行政裁罰紀錄，包含具體處分日期、違規法條、處分事由及裁罰罰鍰金額。</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本研究之實證樣本期間設定為</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2024 </w:t>
      </w:r>
      <w:r w:rsidRPr="00154E7B">
        <w:rPr>
          <w:rFonts w:ascii="Times New Roman" w:eastAsia="標楷體" w:hAnsi="Times New Roman" w:cs="Times New Roman"/>
          <w:color w:val="0070C0"/>
        </w:rPr>
        <w:t>年，共計涵蓋</w:t>
      </w:r>
      <w:r w:rsidRPr="00154E7B">
        <w:rPr>
          <w:rFonts w:ascii="Times New Roman" w:eastAsia="標楷體" w:hAnsi="Times New Roman" w:cs="Times New Roman"/>
          <w:color w:val="0070C0"/>
        </w:rPr>
        <w:t xml:space="preserve"> 11 </w:t>
      </w:r>
      <w:r w:rsidRPr="00154E7B">
        <w:rPr>
          <w:rFonts w:ascii="Times New Roman" w:eastAsia="標楷體" w:hAnsi="Times New Roman" w:cs="Times New Roman"/>
          <w:color w:val="0070C0"/>
        </w:rPr>
        <w:t>個完整會計年度。選擇</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年作為研究起點，主要考量金管會自</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底正式發布《上市公司編製與申報企業社會責任報告書作業辦法》，強制要求資本額較大及特定高污染製造業編製並申報永續報告書，自此年度起，台灣企業之水資源與廢棄物實質資料始具備規模化與制度化之連續揭露；研究終點截至</w:t>
      </w:r>
      <w:r w:rsidRPr="00154E7B">
        <w:rPr>
          <w:rFonts w:ascii="Times New Roman" w:eastAsia="標楷體" w:hAnsi="Times New Roman" w:cs="Times New Roman"/>
          <w:color w:val="0070C0"/>
        </w:rPr>
        <w:t xml:space="preserve"> 2024 </w:t>
      </w:r>
      <w:r w:rsidRPr="00154E7B">
        <w:rPr>
          <w:rFonts w:ascii="Times New Roman" w:eastAsia="標楷體" w:hAnsi="Times New Roman" w:cs="Times New Roman"/>
          <w:color w:val="0070C0"/>
        </w:rPr>
        <w:t>年底，得以完整捕捉近年國際供應鏈淨零碳排與嚴格綠色供應鏈稽核對台灣製造業費用調整行為之最新衝擊。</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樣本篩選歷程方面，為排除極端特殊行業與資料缺失之干擾，本研究嚴格依循國際會計實證準則實施四步驟之樣本篩選程序：首先，選取台灣全體上市與上櫃之製造業公司，完全排除金融保險業與公用事業機構。排除金融業係因其財務報表結構、營收定義及成本科目與一般實體產業存在根本差異，且其營運幾乎不涉及工業製程用水與有害事業廢棄物；排除公用事業（如水電瓦斯供應業）則因其本身即為環境資源之供應者，受政府公用費率法規高度管制，其費用行為無法反映市場機制之資源配置摩擦。第二，剔除主要營運變數（當期營業收入</w:t>
      </w:r>
      <w:r w:rsidRPr="00154E7B">
        <w:rPr>
          <w:rFonts w:ascii="Times New Roman" w:eastAsia="標楷體" w:hAnsi="Times New Roman" w:cs="Times New Roman"/>
          <w:color w:val="0070C0"/>
        </w:rPr>
        <w:t xml:space="preserve"> REV </w:t>
      </w:r>
      <w:r w:rsidRPr="00154E7B">
        <w:rPr>
          <w:rFonts w:ascii="Times New Roman" w:eastAsia="標楷體" w:hAnsi="Times New Roman" w:cs="Times New Roman"/>
          <w:color w:val="0070C0"/>
        </w:rPr>
        <w:t>與銷管費用</w:t>
      </w:r>
      <w:r w:rsidRPr="00154E7B">
        <w:rPr>
          <w:rFonts w:ascii="Times New Roman" w:eastAsia="標楷體" w:hAnsi="Times New Roman" w:cs="Times New Roman"/>
          <w:color w:val="0070C0"/>
        </w:rPr>
        <w:t xml:space="preserve"> SGA</w:t>
      </w:r>
      <w:r w:rsidRPr="00154E7B">
        <w:rPr>
          <w:rFonts w:ascii="Times New Roman" w:eastAsia="標楷體" w:hAnsi="Times New Roman" w:cs="Times New Roman"/>
          <w:color w:val="0070C0"/>
        </w:rPr>
        <w:t>）為負數、零值或資料遺漏之公司</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年度觀測值。第三，由於成本僵固性模型之構建高度依賴前後兩期之對數成長率計算（</w:t>
      </w:r>
      <w:r w:rsidRPr="00154E7B">
        <w:rPr>
          <w:rFonts w:ascii="Times New Roman" w:eastAsia="標楷體" w:hAnsi="Times New Roman" w:cs="Times New Roman"/>
          <w:color w:val="0070C0"/>
        </w:rPr>
        <w:t xml:space="preserve">ΔLNREV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ΔLNSGA</w:t>
      </w:r>
      <w:r w:rsidRPr="00154E7B">
        <w:rPr>
          <w:rFonts w:ascii="Times New Roman" w:eastAsia="標楷體" w:hAnsi="Times New Roman" w:cs="Times New Roman"/>
          <w:color w:val="0070C0"/>
        </w:rPr>
        <w:t>），因此剔除計算對數差分所需的前一期財務資料缺失之樣本。第四，將財務資料與</w:t>
      </w:r>
      <w:r w:rsidRPr="00154E7B">
        <w:rPr>
          <w:rFonts w:ascii="Times New Roman" w:eastAsia="標楷體" w:hAnsi="Times New Roman" w:cs="Times New Roman"/>
          <w:color w:val="0070C0"/>
        </w:rPr>
        <w:t xml:space="preserve"> TESG </w:t>
      </w:r>
      <w:r w:rsidRPr="00154E7B">
        <w:rPr>
          <w:rFonts w:ascii="Times New Roman" w:eastAsia="標楷體" w:hAnsi="Times New Roman" w:cs="Times New Roman"/>
          <w:color w:val="0070C0"/>
        </w:rPr>
        <w:t>水資源、廢棄物及環保裁罰資料庫依據公司統一編號（</w:t>
      </w:r>
      <w:r w:rsidRPr="00154E7B">
        <w:rPr>
          <w:rFonts w:ascii="Times New Roman" w:eastAsia="標楷體" w:hAnsi="Times New Roman" w:cs="Times New Roman"/>
          <w:color w:val="0070C0"/>
        </w:rPr>
        <w:t>Security Code</w:t>
      </w:r>
      <w:r w:rsidRPr="00154E7B">
        <w:rPr>
          <w:rFonts w:ascii="Times New Roman" w:eastAsia="標楷體" w:hAnsi="Times New Roman" w:cs="Times New Roman"/>
          <w:color w:val="0070C0"/>
        </w:rPr>
        <w:t>）與會計年度進行精確配對，對於連續型財務變數與實質環境密集度變數，於第</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及第</w:t>
      </w:r>
      <w:r w:rsidRPr="00154E7B">
        <w:rPr>
          <w:rFonts w:ascii="Times New Roman" w:eastAsia="標楷體" w:hAnsi="Times New Roman" w:cs="Times New Roman"/>
          <w:color w:val="0070C0"/>
        </w:rPr>
        <w:t xml:space="preserve"> 99 </w:t>
      </w:r>
      <w:r w:rsidRPr="00154E7B">
        <w:rPr>
          <w:rFonts w:ascii="Times New Roman" w:eastAsia="標楷體" w:hAnsi="Times New Roman" w:cs="Times New Roman"/>
          <w:color w:val="0070C0"/>
        </w:rPr>
        <w:t>百分</w:t>
      </w:r>
      <w:r w:rsidRPr="00154E7B">
        <w:rPr>
          <w:rFonts w:ascii="Times New Roman" w:eastAsia="標楷體" w:hAnsi="Times New Roman" w:cs="Times New Roman"/>
          <w:color w:val="0070C0"/>
        </w:rPr>
        <w:lastRenderedPageBreak/>
        <w:t>位數實施雙邊縮尾處理（</w:t>
      </w:r>
      <w:r w:rsidRPr="00154E7B">
        <w:rPr>
          <w:rFonts w:ascii="Times New Roman" w:eastAsia="標楷體" w:hAnsi="Times New Roman" w:cs="Times New Roman"/>
          <w:color w:val="0070C0"/>
        </w:rPr>
        <w:t>Winsorization</w:t>
      </w:r>
      <w:r w:rsidRPr="00154E7B">
        <w:rPr>
          <w:rFonts w:ascii="Times New Roman" w:eastAsia="標楷體" w:hAnsi="Times New Roman" w:cs="Times New Roman"/>
          <w:color w:val="0070C0"/>
        </w:rPr>
        <w:t>），以有效消除極端異常值對多元迴歸參數估計之潛在干擾。</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3-1 </w:t>
      </w:r>
      <w:r w:rsidRPr="00154E7B">
        <w:rPr>
          <w:rFonts w:ascii="Times New Roman" w:eastAsia="標楷體" w:hAnsi="Times New Roman" w:cs="Times New Roman"/>
          <w:color w:val="0070C0"/>
        </w:rPr>
        <w:t>詳盡展示了本研究之樣本篩選流程與各步驟剔除之觀測值筆數。經由嚴格之程序篩選後，本研究之全樣本共計取得</w:t>
      </w:r>
      <w:r w:rsidRPr="00154E7B">
        <w:rPr>
          <w:rFonts w:ascii="Times New Roman" w:eastAsia="標楷體" w:hAnsi="Times New Roman" w:cs="Times New Roman"/>
          <w:color w:val="0070C0"/>
        </w:rPr>
        <w:t xml:space="preserve"> 18,137 </w:t>
      </w:r>
      <w:r w:rsidRPr="00154E7B">
        <w:rPr>
          <w:rFonts w:ascii="Times New Roman" w:eastAsia="標楷體" w:hAnsi="Times New Roman" w:cs="Times New Roman"/>
          <w:color w:val="0070C0"/>
        </w:rPr>
        <w:t>筆有效之公司</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年度（</w:t>
      </w:r>
      <w:r w:rsidRPr="00154E7B">
        <w:rPr>
          <w:rFonts w:ascii="Times New Roman" w:eastAsia="標楷體" w:hAnsi="Times New Roman" w:cs="Times New Roman"/>
          <w:color w:val="0070C0"/>
        </w:rPr>
        <w:t>Firm-Year</w:t>
      </w:r>
      <w:r w:rsidRPr="00154E7B">
        <w:rPr>
          <w:rFonts w:ascii="Times New Roman" w:eastAsia="標楷體" w:hAnsi="Times New Roman" w:cs="Times New Roman"/>
          <w:color w:val="0070C0"/>
        </w:rPr>
        <w:t>）面板觀測值。需特別說明的是，由於水資源回收率與廢棄物實質產出量在早年（</w:t>
      </w:r>
      <w:r w:rsidRPr="00154E7B">
        <w:rPr>
          <w:rFonts w:ascii="Times New Roman" w:eastAsia="標楷體" w:hAnsi="Times New Roman" w:cs="Times New Roman"/>
          <w:color w:val="0070C0"/>
        </w:rPr>
        <w:t xml:space="preserve">2014-2016 </w:t>
      </w:r>
      <w:r w:rsidRPr="00154E7B">
        <w:rPr>
          <w:rFonts w:ascii="Times New Roman" w:eastAsia="標楷體" w:hAnsi="Times New Roman" w:cs="Times New Roman"/>
          <w:color w:val="0070C0"/>
        </w:rPr>
        <w:t>年）僅有特定大型跨國企業或高污染敏感性產業率先揭露，隨主管機關逐步調降報告書編製資本額門檻，揭露家數隨年份穩步擴張，因此本研究所構建之實證資料庫呈現非平衡面板（</w:t>
      </w:r>
      <w:r w:rsidRPr="00154E7B">
        <w:rPr>
          <w:rFonts w:ascii="Times New Roman" w:eastAsia="標楷體" w:hAnsi="Times New Roman" w:cs="Times New Roman"/>
          <w:color w:val="0070C0"/>
        </w:rPr>
        <w:t>Unbalanced Panel</w:t>
      </w:r>
      <w:r w:rsidRPr="00154E7B">
        <w:rPr>
          <w:rFonts w:ascii="Times New Roman" w:eastAsia="標楷體" w:hAnsi="Times New Roman" w:cs="Times New Roman"/>
          <w:color w:val="0070C0"/>
        </w:rPr>
        <w:t>）結構。為妥善因應非平衡面板可能引發之計量偏誤，本研究在後續所有迴歸估計中，均嚴格控制年度固定效果（</w:t>
      </w:r>
      <w:r w:rsidRPr="00154E7B">
        <w:rPr>
          <w:rFonts w:ascii="Times New Roman" w:eastAsia="標楷體" w:hAnsi="Times New Roman" w:cs="Times New Roman"/>
          <w:color w:val="0070C0"/>
        </w:rPr>
        <w:t>Year Fixed Effects</w:t>
      </w:r>
      <w:r w:rsidRPr="00154E7B">
        <w:rPr>
          <w:rFonts w:ascii="Times New Roman" w:eastAsia="標楷體" w:hAnsi="Times New Roman" w:cs="Times New Roman"/>
          <w:color w:val="0070C0"/>
        </w:rPr>
        <w:t>）與產業固定效果（</w:t>
      </w:r>
      <w:r w:rsidRPr="00154E7B">
        <w:rPr>
          <w:rFonts w:ascii="Times New Roman" w:eastAsia="標楷體" w:hAnsi="Times New Roman" w:cs="Times New Roman"/>
          <w:color w:val="0070C0"/>
        </w:rPr>
        <w:t>Industry Fixed Effects</w:t>
      </w:r>
      <w:r w:rsidRPr="00154E7B">
        <w:rPr>
          <w:rFonts w:ascii="Times New Roman" w:eastAsia="標楷體" w:hAnsi="Times New Roman" w:cs="Times New Roman"/>
          <w:color w:val="0070C0"/>
        </w:rPr>
        <w:t>），並全面採行公司層級（</w:t>
      </w:r>
      <w:r w:rsidRPr="00154E7B">
        <w:rPr>
          <w:rFonts w:ascii="Times New Roman" w:eastAsia="標楷體" w:hAnsi="Times New Roman" w:cs="Times New Roman"/>
          <w:color w:val="0070C0"/>
        </w:rPr>
        <w:t>Firm-level</w:t>
      </w:r>
      <w:r w:rsidRPr="00154E7B">
        <w:rPr>
          <w:rFonts w:ascii="Times New Roman" w:eastAsia="標楷體" w:hAnsi="Times New Roman" w:cs="Times New Roman"/>
          <w:color w:val="0070C0"/>
        </w:rPr>
        <w:t>）叢集穩健標準誤（</w:t>
      </w:r>
      <w:r w:rsidRPr="00154E7B">
        <w:rPr>
          <w:rFonts w:ascii="Times New Roman" w:eastAsia="標楷體" w:hAnsi="Times New Roman" w:cs="Times New Roman"/>
          <w:color w:val="0070C0"/>
        </w:rPr>
        <w:t>Clustered Standard Errors</w:t>
      </w:r>
      <w:r w:rsidRPr="00154E7B">
        <w:rPr>
          <w:rFonts w:ascii="Times New Roman" w:eastAsia="標楷體" w:hAnsi="Times New Roman" w:cs="Times New Roman"/>
          <w:color w:val="0070C0"/>
        </w:rPr>
        <w:t>），以有效控制潛在之異質變異數與組內時間序列自我相關問題。</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3-2 </w:t>
      </w:r>
      <w:r w:rsidRPr="00154E7B">
        <w:rPr>
          <w:rFonts w:ascii="Times New Roman" w:eastAsia="標楷體" w:hAnsi="Times New Roman" w:cs="Times New Roman"/>
          <w:color w:val="0070C0"/>
        </w:rPr>
        <w:t>呈現了本研究最終有效樣本依據國際永續會計準則委員會（</w:t>
      </w:r>
      <w:r w:rsidRPr="00154E7B">
        <w:rPr>
          <w:rFonts w:ascii="Times New Roman" w:eastAsia="標楷體" w:hAnsi="Times New Roman" w:cs="Times New Roman"/>
          <w:color w:val="0070C0"/>
        </w:rPr>
        <w:t>Sustainability Accounting Standards Board, SASB</w:t>
      </w:r>
      <w:r w:rsidRPr="00154E7B">
        <w:rPr>
          <w:rFonts w:ascii="Times New Roman" w:eastAsia="標楷體" w:hAnsi="Times New Roman" w:cs="Times New Roman"/>
          <w:color w:val="0070C0"/>
        </w:rPr>
        <w:t>）主產業分類標準下之分佈態樣。由表</w:t>
      </w:r>
      <w:r w:rsidRPr="00154E7B">
        <w:rPr>
          <w:rFonts w:ascii="Times New Roman" w:eastAsia="標楷體" w:hAnsi="Times New Roman" w:cs="Times New Roman"/>
          <w:color w:val="0070C0"/>
        </w:rPr>
        <w:t xml:space="preserve"> 3-2 </w:t>
      </w:r>
      <w:r w:rsidRPr="00154E7B">
        <w:rPr>
          <w:rFonts w:ascii="Times New Roman" w:eastAsia="標楷體" w:hAnsi="Times New Roman" w:cs="Times New Roman"/>
          <w:color w:val="0070C0"/>
        </w:rPr>
        <w:t>可知，樣本廣泛涵蓋科技與通訊（</w:t>
      </w:r>
      <w:r w:rsidRPr="00154E7B">
        <w:rPr>
          <w:rFonts w:ascii="Times New Roman" w:eastAsia="標楷體" w:hAnsi="Times New Roman" w:cs="Times New Roman"/>
          <w:color w:val="0070C0"/>
        </w:rPr>
        <w:t>40.28%</w:t>
      </w:r>
      <w:r w:rsidRPr="00154E7B">
        <w:rPr>
          <w:rFonts w:ascii="Times New Roman" w:eastAsia="標楷體" w:hAnsi="Times New Roman" w:cs="Times New Roman"/>
          <w:color w:val="0070C0"/>
        </w:rPr>
        <w:t>）、資源轉化（</w:t>
      </w:r>
      <w:r w:rsidRPr="00154E7B">
        <w:rPr>
          <w:rFonts w:ascii="Times New Roman" w:eastAsia="標楷體" w:hAnsi="Times New Roman" w:cs="Times New Roman"/>
          <w:color w:val="0070C0"/>
        </w:rPr>
        <w:t>20.10%</w:t>
      </w:r>
      <w:r w:rsidRPr="00154E7B">
        <w:rPr>
          <w:rFonts w:ascii="Times New Roman" w:eastAsia="標楷體" w:hAnsi="Times New Roman" w:cs="Times New Roman"/>
          <w:color w:val="0070C0"/>
        </w:rPr>
        <w:t>）、消費品（</w:t>
      </w:r>
      <w:r w:rsidRPr="00154E7B">
        <w:rPr>
          <w:rFonts w:ascii="Times New Roman" w:eastAsia="標楷體" w:hAnsi="Times New Roman" w:cs="Times New Roman"/>
          <w:color w:val="0070C0"/>
        </w:rPr>
        <w:t>10.43%</w:t>
      </w:r>
      <w:r w:rsidRPr="00154E7B">
        <w:rPr>
          <w:rFonts w:ascii="Times New Roman" w:eastAsia="標楷體" w:hAnsi="Times New Roman" w:cs="Times New Roman"/>
          <w:color w:val="0070C0"/>
        </w:rPr>
        <w:t>）、公共建設（</w:t>
      </w:r>
      <w:r w:rsidRPr="00154E7B">
        <w:rPr>
          <w:rFonts w:ascii="Times New Roman" w:eastAsia="標楷體" w:hAnsi="Times New Roman" w:cs="Times New Roman"/>
          <w:color w:val="0070C0"/>
        </w:rPr>
        <w:t>7.94%</w:t>
      </w:r>
      <w:r w:rsidRPr="00154E7B">
        <w:rPr>
          <w:rFonts w:ascii="Times New Roman" w:eastAsia="標楷體" w:hAnsi="Times New Roman" w:cs="Times New Roman"/>
          <w:color w:val="0070C0"/>
        </w:rPr>
        <w:t>）、醫療保健（</w:t>
      </w:r>
      <w:r w:rsidRPr="00154E7B">
        <w:rPr>
          <w:rFonts w:ascii="Times New Roman" w:eastAsia="標楷體" w:hAnsi="Times New Roman" w:cs="Times New Roman"/>
          <w:color w:val="0070C0"/>
        </w:rPr>
        <w:t>6.54%</w:t>
      </w:r>
      <w:r w:rsidRPr="00154E7B">
        <w:rPr>
          <w:rFonts w:ascii="Times New Roman" w:eastAsia="標楷體" w:hAnsi="Times New Roman" w:cs="Times New Roman"/>
          <w:color w:val="0070C0"/>
        </w:rPr>
        <w:t>）、運輸（</w:t>
      </w:r>
      <w:r w:rsidRPr="00154E7B">
        <w:rPr>
          <w:rFonts w:ascii="Times New Roman" w:eastAsia="標楷體" w:hAnsi="Times New Roman" w:cs="Times New Roman"/>
          <w:color w:val="0070C0"/>
        </w:rPr>
        <w:t>5.13%</w:t>
      </w:r>
      <w:r w:rsidRPr="00154E7B">
        <w:rPr>
          <w:rFonts w:ascii="Times New Roman" w:eastAsia="標楷體" w:hAnsi="Times New Roman" w:cs="Times New Roman"/>
          <w:color w:val="0070C0"/>
        </w:rPr>
        <w:t>）等產業。此一產業分類直接對應國際永續揭露架構與實質環境敏感度，為後續之實證模型控制產業固定效果提供了最切合實質環境議題之經驗基礎。</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3-1</w:t>
      </w:r>
      <w:r w:rsidRPr="00154E7B">
        <w:rPr>
          <w:rFonts w:ascii="Times New Roman" w:eastAsia="標楷體" w:hAnsi="Times New Roman" w:cs="Times New Roman"/>
          <w:b/>
          <w:color w:val="0070C0"/>
          <w:sz w:val="22"/>
        </w:rPr>
        <w:t xml:space="preserve">　樣本選取與篩選歷程表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26"/>
        <w:gridCol w:w="2126"/>
        <w:gridCol w:w="2126"/>
        <w:gridCol w:w="2126"/>
      </w:tblGrid>
      <w:tr w:rsidR="00154E7B" w:rsidRPr="00154E7B">
        <w:trPr>
          <w:jc w:val="center"/>
        </w:trPr>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樣本篩選步驟</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剔除觀測值筆數</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剩餘觀測值筆數</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篩選原則與依據說明</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2014-2024 </w:t>
            </w:r>
            <w:r w:rsidRPr="00154E7B">
              <w:rPr>
                <w:rFonts w:ascii="Times New Roman" w:eastAsia="標楷體" w:hAnsi="Times New Roman" w:cs="Times New Roman"/>
                <w:color w:val="0070C0"/>
                <w:sz w:val="16"/>
              </w:rPr>
              <w:t>年台灣上市與櫃買中心製造業初始樣本</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23,450</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排除金融保險業與公用事業機構</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剔除當期營業收入（</w:t>
            </w:r>
            <w:r w:rsidRPr="00154E7B">
              <w:rPr>
                <w:rFonts w:ascii="Times New Roman" w:eastAsia="標楷體" w:hAnsi="Times New Roman" w:cs="Times New Roman"/>
                <w:color w:val="0070C0"/>
                <w:sz w:val="16"/>
              </w:rPr>
              <w:t>REV</w:t>
            </w:r>
            <w:r w:rsidRPr="00154E7B">
              <w:rPr>
                <w:rFonts w:ascii="Times New Roman" w:eastAsia="標楷體" w:hAnsi="Times New Roman" w:cs="Times New Roman"/>
                <w:color w:val="0070C0"/>
                <w:sz w:val="16"/>
              </w:rPr>
              <w:t>）小於或等於零之觀測值</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412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23,038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營收為零或負數無法計算對數變動率</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剔除銷管費用（</w:t>
            </w:r>
            <w:r w:rsidRPr="00154E7B">
              <w:rPr>
                <w:rFonts w:ascii="Times New Roman" w:eastAsia="標楷體" w:hAnsi="Times New Roman" w:cs="Times New Roman"/>
                <w:color w:val="0070C0"/>
                <w:sz w:val="16"/>
              </w:rPr>
              <w:t>SGA</w:t>
            </w:r>
            <w:r w:rsidRPr="00154E7B">
              <w:rPr>
                <w:rFonts w:ascii="Times New Roman" w:eastAsia="標楷體" w:hAnsi="Times New Roman" w:cs="Times New Roman"/>
                <w:color w:val="0070C0"/>
                <w:sz w:val="16"/>
              </w:rPr>
              <w:t>）小於或等於零之觀測值</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358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22,680</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確保營業費用科目記錄之合理真實性</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剔除計算前後期對數變動率所需前一期資料缺失樣本</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2,145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20,535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滿足差分模型</w:t>
            </w:r>
            <w:r w:rsidRPr="00154E7B">
              <w:rPr>
                <w:rFonts w:ascii="Times New Roman" w:eastAsia="標楷體" w:hAnsi="Times New Roman" w:cs="Times New Roman"/>
                <w:color w:val="0070C0"/>
                <w:sz w:val="16"/>
              </w:rPr>
              <w:t xml:space="preserve"> ΔLNREV </w:t>
            </w:r>
            <w:r w:rsidRPr="00154E7B">
              <w:rPr>
                <w:rFonts w:ascii="Times New Roman" w:eastAsia="標楷體" w:hAnsi="Times New Roman" w:cs="Times New Roman"/>
                <w:color w:val="0070C0"/>
                <w:sz w:val="16"/>
              </w:rPr>
              <w:t>與</w:t>
            </w:r>
            <w:r w:rsidRPr="00154E7B">
              <w:rPr>
                <w:rFonts w:ascii="Times New Roman" w:eastAsia="標楷體" w:hAnsi="Times New Roman" w:cs="Times New Roman"/>
                <w:color w:val="0070C0"/>
                <w:sz w:val="16"/>
              </w:rPr>
              <w:t xml:space="preserve"> ΔLNSGA </w:t>
            </w:r>
            <w:r w:rsidRPr="00154E7B">
              <w:rPr>
                <w:rFonts w:ascii="Times New Roman" w:eastAsia="標楷體" w:hAnsi="Times New Roman" w:cs="Times New Roman"/>
                <w:color w:val="0070C0"/>
                <w:sz w:val="16"/>
              </w:rPr>
              <w:t>構建要求</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剔除主要財務控制變數（</w:t>
            </w:r>
            <w:r w:rsidRPr="00154E7B">
              <w:rPr>
                <w:rFonts w:ascii="Times New Roman" w:eastAsia="標楷體" w:hAnsi="Times New Roman" w:cs="Times New Roman"/>
                <w:color w:val="0070C0"/>
                <w:sz w:val="16"/>
              </w:rPr>
              <w:t>SIZE, AI, EI, ROA, LEV</w:t>
            </w:r>
            <w:r w:rsidRPr="00154E7B">
              <w:rPr>
                <w:rFonts w:ascii="Times New Roman" w:eastAsia="標楷體" w:hAnsi="Times New Roman" w:cs="Times New Roman"/>
                <w:color w:val="0070C0"/>
                <w:sz w:val="16"/>
              </w:rPr>
              <w:t>）缺失值</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1,826</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18,709</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確保多元迴歸控制組之完整性</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連續型財務與環境密集度變數</w:t>
            </w:r>
            <w:r w:rsidRPr="00154E7B">
              <w:rPr>
                <w:rFonts w:ascii="Times New Roman" w:eastAsia="標楷體" w:hAnsi="Times New Roman" w:cs="Times New Roman"/>
                <w:color w:val="0070C0"/>
                <w:sz w:val="16"/>
              </w:rPr>
              <w:t xml:space="preserve"> 1% </w:t>
            </w:r>
            <w:r w:rsidRPr="00154E7B">
              <w:rPr>
                <w:rFonts w:ascii="Times New Roman" w:eastAsia="標楷體" w:hAnsi="Times New Roman" w:cs="Times New Roman"/>
                <w:color w:val="0070C0"/>
                <w:sz w:val="16"/>
              </w:rPr>
              <w:t>雙向縮尾處理（</w:t>
            </w:r>
            <w:r w:rsidRPr="00154E7B">
              <w:rPr>
                <w:rFonts w:ascii="Times New Roman" w:eastAsia="標楷體" w:hAnsi="Times New Roman" w:cs="Times New Roman"/>
                <w:color w:val="0070C0"/>
                <w:sz w:val="16"/>
              </w:rPr>
              <w:t>Winsorization</w:t>
            </w:r>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572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消除第</w:t>
            </w:r>
            <w:r w:rsidRPr="00154E7B">
              <w:rPr>
                <w:rFonts w:ascii="Times New Roman" w:eastAsia="標楷體" w:hAnsi="Times New Roman" w:cs="Times New Roman"/>
                <w:color w:val="0070C0"/>
                <w:sz w:val="16"/>
              </w:rPr>
              <w:t xml:space="preserve"> 1 </w:t>
            </w:r>
            <w:r w:rsidRPr="00154E7B">
              <w:rPr>
                <w:rFonts w:ascii="Times New Roman" w:eastAsia="標楷體" w:hAnsi="Times New Roman" w:cs="Times New Roman"/>
                <w:color w:val="0070C0"/>
                <w:sz w:val="16"/>
              </w:rPr>
              <w:t>及第</w:t>
            </w:r>
            <w:r w:rsidRPr="00154E7B">
              <w:rPr>
                <w:rFonts w:ascii="Times New Roman" w:eastAsia="標楷體" w:hAnsi="Times New Roman" w:cs="Times New Roman"/>
                <w:color w:val="0070C0"/>
                <w:sz w:val="16"/>
              </w:rPr>
              <w:t xml:space="preserve"> 99 </w:t>
            </w:r>
            <w:r w:rsidRPr="00154E7B">
              <w:rPr>
                <w:rFonts w:ascii="Times New Roman" w:eastAsia="標楷體" w:hAnsi="Times New Roman" w:cs="Times New Roman"/>
                <w:color w:val="0070C0"/>
                <w:sz w:val="16"/>
              </w:rPr>
              <w:t>百分位極端異常值之干擾</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lastRenderedPageBreak/>
              <w:t>最終全樣本公司</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年度有效面板觀測值（</w:t>
            </w:r>
            <w:r w:rsidRPr="00154E7B">
              <w:rPr>
                <w:rFonts w:ascii="Times New Roman" w:eastAsia="標楷體" w:hAnsi="Times New Roman" w:cs="Times New Roman"/>
                <w:color w:val="0070C0"/>
                <w:sz w:val="16"/>
              </w:rPr>
              <w:t>Firm-Year Panel</w:t>
            </w:r>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涵蓋</w:t>
            </w:r>
            <w:r w:rsidRPr="00154E7B">
              <w:rPr>
                <w:rFonts w:ascii="Times New Roman" w:eastAsia="標楷體" w:hAnsi="Times New Roman" w:cs="Times New Roman"/>
                <w:color w:val="0070C0"/>
                <w:sz w:val="16"/>
              </w:rPr>
              <w:t xml:space="preserve"> 1,485 </w:t>
            </w:r>
            <w:r w:rsidRPr="00154E7B">
              <w:rPr>
                <w:rFonts w:ascii="Times New Roman" w:eastAsia="標楷體" w:hAnsi="Times New Roman" w:cs="Times New Roman"/>
                <w:color w:val="0070C0"/>
                <w:sz w:val="16"/>
              </w:rPr>
              <w:t>家上市櫃製造業公司，歷時</w:t>
            </w:r>
            <w:r w:rsidRPr="00154E7B">
              <w:rPr>
                <w:rFonts w:ascii="Times New Roman" w:eastAsia="標楷體" w:hAnsi="Times New Roman" w:cs="Times New Roman"/>
                <w:color w:val="0070C0"/>
                <w:sz w:val="16"/>
              </w:rPr>
              <w:t xml:space="preserve"> 11 </w:t>
            </w:r>
            <w:r w:rsidRPr="00154E7B">
              <w:rPr>
                <w:rFonts w:ascii="Times New Roman" w:eastAsia="標楷體" w:hAnsi="Times New Roman" w:cs="Times New Roman"/>
                <w:color w:val="0070C0"/>
                <w:sz w:val="16"/>
              </w:rPr>
              <w:t>年</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註：資料來源：本研究整理自台灣經濟新報（</w:t>
      </w:r>
      <w:r w:rsidRPr="00154E7B">
        <w:rPr>
          <w:rFonts w:ascii="Times New Roman" w:eastAsia="標楷體" w:hAnsi="Times New Roman" w:cs="Times New Roman"/>
          <w:color w:val="0070C0"/>
          <w:sz w:val="17"/>
        </w:rPr>
        <w:t>TEJ</w:t>
      </w:r>
      <w:r w:rsidRPr="00154E7B">
        <w:rPr>
          <w:rFonts w:ascii="Times New Roman" w:eastAsia="標楷體" w:hAnsi="Times New Roman" w:cs="Times New Roman"/>
          <w:color w:val="0070C0"/>
          <w:sz w:val="17"/>
        </w:rPr>
        <w:t>）資料庫。</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3-2</w:t>
      </w:r>
      <w:r w:rsidRPr="00154E7B">
        <w:rPr>
          <w:rFonts w:ascii="Times New Roman" w:eastAsia="標楷體" w:hAnsi="Times New Roman" w:cs="Times New Roman"/>
          <w:b/>
          <w:color w:val="0070C0"/>
          <w:sz w:val="22"/>
        </w:rPr>
        <w:t xml:space="preserve">　</w:t>
      </w:r>
      <w:r w:rsidRPr="00154E7B">
        <w:rPr>
          <w:rFonts w:ascii="Times New Roman" w:eastAsia="標楷體" w:hAnsi="Times New Roman" w:cs="Times New Roman"/>
          <w:b/>
          <w:color w:val="0070C0"/>
          <w:sz w:val="22"/>
        </w:rPr>
        <w:t xml:space="preserve">SASB </w:t>
      </w:r>
      <w:r w:rsidRPr="00154E7B">
        <w:rPr>
          <w:rFonts w:ascii="Times New Roman" w:eastAsia="標楷體" w:hAnsi="Times New Roman" w:cs="Times New Roman"/>
          <w:b/>
          <w:color w:val="0070C0"/>
          <w:sz w:val="22"/>
        </w:rPr>
        <w:t>主產業樣本分佈與環境資料統計表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417"/>
        <w:gridCol w:w="1417"/>
        <w:gridCol w:w="1417"/>
        <w:gridCol w:w="1417"/>
        <w:gridCol w:w="1417"/>
        <w:gridCol w:w="1417"/>
      </w:tblGrid>
      <w:tr w:rsidR="00154E7B" w:rsidRPr="00154E7B">
        <w:trPr>
          <w:jc w:val="center"/>
        </w:trPr>
        <w:tc>
          <w:tcPr>
            <w:tcW w:w="1417"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 xml:space="preserve">SASB </w:t>
            </w:r>
            <w:r w:rsidRPr="00154E7B">
              <w:rPr>
                <w:rFonts w:ascii="Times New Roman" w:eastAsia="標楷體" w:hAnsi="Times New Roman" w:cs="Times New Roman"/>
                <w:b/>
                <w:color w:val="0070C0"/>
                <w:sz w:val="17"/>
              </w:rPr>
              <w:t>主產業名稱</w:t>
            </w:r>
          </w:p>
        </w:tc>
        <w:tc>
          <w:tcPr>
            <w:tcW w:w="1417"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公司數</w:t>
            </w:r>
          </w:p>
        </w:tc>
        <w:tc>
          <w:tcPr>
            <w:tcW w:w="1417"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觀測值數</w:t>
            </w:r>
          </w:p>
        </w:tc>
        <w:tc>
          <w:tcPr>
            <w:tcW w:w="1417"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樣本佔比</w:t>
            </w:r>
            <w:r w:rsidRPr="00154E7B">
              <w:rPr>
                <w:rFonts w:ascii="Times New Roman" w:eastAsia="標楷體" w:hAnsi="Times New Roman" w:cs="Times New Roman"/>
                <w:b/>
                <w:color w:val="0070C0"/>
                <w:sz w:val="17"/>
              </w:rPr>
              <w:t xml:space="preserve"> (%)</w:t>
            </w:r>
          </w:p>
        </w:tc>
        <w:tc>
          <w:tcPr>
            <w:tcW w:w="1417"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迴歸可用筆數</w:t>
            </w:r>
          </w:p>
        </w:tc>
        <w:tc>
          <w:tcPr>
            <w:tcW w:w="1417"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有水資料筆數</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科技與通訊</w:t>
            </w:r>
            <w:r w:rsidRPr="00154E7B">
              <w:rPr>
                <w:rFonts w:ascii="Times New Roman" w:eastAsia="標楷體" w:hAnsi="Times New Roman" w:cs="Times New Roman"/>
                <w:color w:val="0070C0"/>
                <w:sz w:val="16"/>
              </w:rPr>
              <w:t xml:space="preserve"> (Technology &amp; Communications)</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788</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7,306</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40.28%</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6,845</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453</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資源轉化</w:t>
            </w:r>
            <w:r w:rsidRPr="00154E7B">
              <w:rPr>
                <w:rFonts w:ascii="Times New Roman" w:eastAsia="標楷體" w:hAnsi="Times New Roman" w:cs="Times New Roman"/>
                <w:color w:val="0070C0"/>
                <w:sz w:val="16"/>
              </w:rPr>
              <w:t xml:space="preserve"> (Resource Transformation)</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379</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3,645</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20.10%</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3,390</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255</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消費品</w:t>
            </w:r>
            <w:r w:rsidRPr="00154E7B">
              <w:rPr>
                <w:rFonts w:ascii="Times New Roman" w:eastAsia="標楷體" w:hAnsi="Times New Roman" w:cs="Times New Roman"/>
                <w:color w:val="0070C0"/>
                <w:sz w:val="16"/>
              </w:rPr>
              <w:t xml:space="preserve"> (Consumer Goods)</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197</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1,892</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10.43%</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1,581</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85</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公共建設</w:t>
            </w:r>
            <w:r w:rsidRPr="00154E7B">
              <w:rPr>
                <w:rFonts w:ascii="Times New Roman" w:eastAsia="標楷體" w:hAnsi="Times New Roman" w:cs="Times New Roman"/>
                <w:color w:val="0070C0"/>
                <w:sz w:val="16"/>
              </w:rPr>
              <w:t xml:space="preserve"> (Infrastructure)</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146</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1,440</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7.94%</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1,381</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33</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醫療保健</w:t>
            </w:r>
            <w:r w:rsidRPr="00154E7B">
              <w:rPr>
                <w:rFonts w:ascii="Times New Roman" w:eastAsia="標楷體" w:hAnsi="Times New Roman" w:cs="Times New Roman"/>
                <w:color w:val="0070C0"/>
                <w:sz w:val="16"/>
              </w:rPr>
              <w:t xml:space="preserve"> (Health Care)</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149</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1,187</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6.54%</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1,072</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運輸</w:t>
            </w:r>
            <w:r w:rsidRPr="00154E7B">
              <w:rPr>
                <w:rFonts w:ascii="Times New Roman" w:eastAsia="標楷體" w:hAnsi="Times New Roman" w:cs="Times New Roman"/>
                <w:color w:val="0070C0"/>
                <w:sz w:val="16"/>
              </w:rPr>
              <w:t xml:space="preserve"> (Transportation)</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98</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931</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5.13%</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805</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51</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服務</w:t>
            </w:r>
            <w:r w:rsidRPr="00154E7B">
              <w:rPr>
                <w:rFonts w:ascii="Times New Roman" w:eastAsia="標楷體" w:hAnsi="Times New Roman" w:cs="Times New Roman"/>
                <w:color w:val="0070C0"/>
                <w:sz w:val="16"/>
              </w:rPr>
              <w:t xml:space="preserve"> (Services)</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61</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567</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3.13%</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521</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6</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食品與飲料</w:t>
            </w:r>
            <w:r w:rsidRPr="00154E7B">
              <w:rPr>
                <w:rFonts w:ascii="Times New Roman" w:eastAsia="標楷體" w:hAnsi="Times New Roman" w:cs="Times New Roman"/>
                <w:color w:val="0070C0"/>
                <w:sz w:val="16"/>
              </w:rPr>
              <w:t xml:space="preserve"> (Food &amp; Beverage)</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58</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536</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2.96%</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483</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50</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提煉與礦產加工</w:t>
            </w:r>
            <w:r w:rsidRPr="00154E7B">
              <w:rPr>
                <w:rFonts w:ascii="Times New Roman" w:eastAsia="標楷體" w:hAnsi="Times New Roman" w:cs="Times New Roman"/>
                <w:color w:val="0070C0"/>
                <w:sz w:val="16"/>
              </w:rPr>
              <w:t xml:space="preserve"> (Extractives &amp; Minerals)</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33</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344</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1.90%</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325</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57</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可再生資源與替代能源</w:t>
            </w:r>
            <w:r w:rsidRPr="00154E7B">
              <w:rPr>
                <w:rFonts w:ascii="Times New Roman" w:eastAsia="標楷體" w:hAnsi="Times New Roman" w:cs="Times New Roman"/>
                <w:color w:val="0070C0"/>
                <w:sz w:val="16"/>
              </w:rPr>
              <w:t xml:space="preserve"> (Renewables &amp; Energy)</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36</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289</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1.59%</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258</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27</w:t>
            </w:r>
          </w:p>
        </w:tc>
      </w:tr>
      <w:tr w:rsidR="00154E7B" w:rsidRPr="00154E7B">
        <w:trPr>
          <w:jc w:val="center"/>
        </w:trPr>
        <w:tc>
          <w:tcPr>
            <w:tcW w:w="1417"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全體製造業樣本總計</w:t>
            </w:r>
            <w:r w:rsidRPr="00154E7B">
              <w:rPr>
                <w:rFonts w:ascii="Times New Roman" w:eastAsia="標楷體" w:hAnsi="Times New Roman" w:cs="Times New Roman"/>
                <w:color w:val="0070C0"/>
                <w:sz w:val="16"/>
              </w:rPr>
              <w:t xml:space="preserve"> (Total </w:t>
            </w:r>
            <w:r w:rsidRPr="00154E7B">
              <w:rPr>
                <w:rFonts w:ascii="Times New Roman" w:eastAsia="標楷體" w:hAnsi="Times New Roman" w:cs="Times New Roman"/>
                <w:color w:val="0070C0"/>
                <w:sz w:val="16"/>
              </w:rPr>
              <w:lastRenderedPageBreak/>
              <w:t>Sample)</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lastRenderedPageBreak/>
              <w:t>1,485*</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100.00%</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16,661</w:t>
            </w:r>
          </w:p>
        </w:tc>
        <w:tc>
          <w:tcPr>
            <w:tcW w:w="1417"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1,039</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註：資料來源：整理自</w:t>
      </w:r>
      <w:r w:rsidRPr="00154E7B">
        <w:rPr>
          <w:rFonts w:ascii="Times New Roman" w:eastAsia="標楷體" w:hAnsi="Times New Roman" w:cs="Times New Roman"/>
          <w:color w:val="0070C0"/>
          <w:sz w:val="17"/>
        </w:rPr>
        <w:t xml:space="preserve"> TEJ </w:t>
      </w:r>
      <w:r w:rsidRPr="00154E7B">
        <w:rPr>
          <w:rFonts w:ascii="Times New Roman" w:eastAsia="標楷體" w:hAnsi="Times New Roman" w:cs="Times New Roman"/>
          <w:color w:val="0070C0"/>
          <w:sz w:val="17"/>
        </w:rPr>
        <w:t>與實證資料分析</w:t>
      </w:r>
      <w:r w:rsidRPr="00154E7B">
        <w:rPr>
          <w:rFonts w:ascii="Times New Roman" w:eastAsia="標楷體" w:hAnsi="Times New Roman" w:cs="Times New Roman"/>
          <w:color w:val="0070C0"/>
          <w:sz w:val="17"/>
        </w:rPr>
        <w:t xml:space="preserve"> 03_industry_stats.csv</w:t>
      </w:r>
      <w:r w:rsidRPr="00154E7B">
        <w:rPr>
          <w:rFonts w:ascii="Times New Roman" w:eastAsia="標楷體" w:hAnsi="Times New Roman" w:cs="Times New Roman"/>
          <w:color w:val="0070C0"/>
          <w:sz w:val="17"/>
        </w:rPr>
        <w:t>。</w:t>
      </w:r>
      <w:r w:rsidRPr="00154E7B">
        <w:rPr>
          <w:rFonts w:ascii="Times New Roman" w:eastAsia="標楷體" w:hAnsi="Times New Roman" w:cs="Times New Roman"/>
          <w:color w:val="0070C0"/>
          <w:sz w:val="17"/>
        </w:rPr>
        <w:t>*</w:t>
      </w:r>
      <w:r w:rsidRPr="00154E7B">
        <w:rPr>
          <w:rFonts w:ascii="Times New Roman" w:eastAsia="標楷體" w:hAnsi="Times New Roman" w:cs="Times New Roman"/>
          <w:color w:val="0070C0"/>
          <w:sz w:val="17"/>
        </w:rPr>
        <w:t>全體不重複上市櫃公司數為</w:t>
      </w:r>
      <w:r w:rsidRPr="00154E7B">
        <w:rPr>
          <w:rFonts w:ascii="Times New Roman" w:eastAsia="標楷體" w:hAnsi="Times New Roman" w:cs="Times New Roman"/>
          <w:color w:val="0070C0"/>
          <w:sz w:val="17"/>
        </w:rPr>
        <w:t xml:space="preserve"> 1,485 </w:t>
      </w:r>
      <w:r w:rsidRPr="00154E7B">
        <w:rPr>
          <w:rFonts w:ascii="Times New Roman" w:eastAsia="標楷體" w:hAnsi="Times New Roman" w:cs="Times New Roman"/>
          <w:color w:val="0070C0"/>
          <w:sz w:val="17"/>
        </w:rPr>
        <w:t>家。</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第二節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變數定義與衡量說明</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嚴謹檢驗各項研究假說，本研究依據管理會計與環境經濟學文獻，將所有實證變數精確劃分為四大類別：被解釋變數、主要解釋變數與成本黏性交乘項、環境管理測試變數，以及一系列公司層級之財務控制變數。表</w:t>
      </w:r>
      <w:r w:rsidRPr="00154E7B">
        <w:rPr>
          <w:rFonts w:ascii="Times New Roman" w:eastAsia="標楷體" w:hAnsi="Times New Roman" w:cs="Times New Roman"/>
          <w:color w:val="0070C0"/>
        </w:rPr>
        <w:t xml:space="preserve"> 3-3 </w:t>
      </w:r>
      <w:r w:rsidRPr="00154E7B">
        <w:rPr>
          <w:rFonts w:ascii="Times New Roman" w:eastAsia="標楷體" w:hAnsi="Times New Roman" w:cs="Times New Roman"/>
          <w:color w:val="0070C0"/>
        </w:rPr>
        <w:t>系統性彙總了各變數之代號、操作型定義、衡量公式、資料來源及預期符號。</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【被解釋變數：銷管費用對數變動率】</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本研究之被解釋變數為企業銷管費用（</w:t>
      </w:r>
      <w:r w:rsidRPr="00154E7B">
        <w:rPr>
          <w:rFonts w:ascii="Times New Roman" w:eastAsia="標楷體" w:hAnsi="Times New Roman" w:cs="Times New Roman"/>
          <w:color w:val="0070C0"/>
        </w:rPr>
        <w:t>Selling, General, and Administrative expenses</w:t>
      </w:r>
      <w:r w:rsidRPr="00154E7B">
        <w:rPr>
          <w:rFonts w:ascii="Times New Roman" w:eastAsia="標楷體" w:hAnsi="Times New Roman" w:cs="Times New Roman"/>
          <w:color w:val="0070C0"/>
        </w:rPr>
        <w:t>）之對數變動率，代號為</w:t>
      </w:r>
      <w:r w:rsidRPr="00154E7B">
        <w:rPr>
          <w:rFonts w:ascii="Times New Roman" w:eastAsia="標楷體" w:hAnsi="Times New Roman" w:cs="Times New Roman"/>
          <w:color w:val="0070C0"/>
        </w:rPr>
        <w:t xml:space="preserve"> Y_dLNSGA</w:t>
      </w:r>
      <w:r w:rsidRPr="00154E7B">
        <w:rPr>
          <w:rFonts w:ascii="Times New Roman" w:eastAsia="標楷體" w:hAnsi="Times New Roman" w:cs="Times New Roman"/>
          <w:color w:val="0070C0"/>
        </w:rPr>
        <w:t>（即</w:t>
      </w:r>
      <w:r w:rsidRPr="00154E7B">
        <w:rPr>
          <w:rFonts w:ascii="Times New Roman" w:eastAsia="標楷體" w:hAnsi="Times New Roman" w:cs="Times New Roman"/>
          <w:color w:val="0070C0"/>
        </w:rPr>
        <w:t xml:space="preserve"> </w:t>
      </w:r>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(SGA)</m:t>
        </m:r>
      </m:oMath>
      <w:r w:rsidRPr="00154E7B">
        <w:rPr>
          <w:rFonts w:ascii="Times New Roman" w:eastAsia="標楷體" w:hAnsi="Times New Roman" w:cs="Times New Roman"/>
          <w:color w:val="0070C0"/>
        </w:rPr>
        <w:t>）。依據</w:t>
      </w:r>
      <w:r w:rsidRPr="00154E7B">
        <w:rPr>
          <w:rFonts w:ascii="Times New Roman" w:eastAsia="標楷體" w:hAnsi="Times New Roman" w:cs="Times New Roman"/>
          <w:color w:val="0070C0"/>
        </w:rPr>
        <w:t xml:space="preserve"> ABJ (2003) </w:t>
      </w:r>
      <w:r w:rsidRPr="00154E7B">
        <w:rPr>
          <w:rFonts w:ascii="Times New Roman" w:eastAsia="標楷體" w:hAnsi="Times New Roman" w:cs="Times New Roman"/>
          <w:color w:val="0070C0"/>
        </w:rPr>
        <w:t>之標準定義，其衡量公式如式</w:t>
      </w:r>
      <w:r w:rsidRPr="00154E7B">
        <w:rPr>
          <w:rFonts w:ascii="Times New Roman" w:eastAsia="標楷體" w:hAnsi="Times New Roman" w:cs="Times New Roman"/>
          <w:color w:val="0070C0"/>
        </w:rPr>
        <w:t xml:space="preserve"> (3-1) </w:t>
      </w:r>
      <w:r w:rsidRPr="00154E7B">
        <w:rPr>
          <w:rFonts w:ascii="Times New Roman" w:eastAsia="標楷體" w:hAnsi="Times New Roman" w:cs="Times New Roman"/>
          <w:color w:val="0070C0"/>
        </w:rPr>
        <w:t>所示，其中</w:t>
      </w:r>
      <w:r w:rsidRPr="00154E7B">
        <w:rPr>
          <w:rFonts w:ascii="Times New Roman" w:eastAsia="標楷體" w:hAnsi="Times New Roman" w:cs="Times New Roman"/>
          <w:color w:val="0070C0"/>
        </w:rPr>
        <w:t xml:space="preserve"> </w:t>
      </w:r>
      <m:oMath>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為公司</w:t>
      </w:r>
      <w:r w:rsidRPr="00154E7B">
        <w:rPr>
          <w:rFonts w:ascii="Times New Roman" w:eastAsia="標楷體" w:hAnsi="Times New Roman" w:cs="Times New Roman"/>
          <w:color w:val="0070C0"/>
        </w:rPr>
        <w:t xml:space="preserve"> i </w:t>
      </w:r>
      <w:r w:rsidRPr="00154E7B">
        <w:rPr>
          <w:rFonts w:ascii="Times New Roman" w:eastAsia="標楷體" w:hAnsi="Times New Roman" w:cs="Times New Roman"/>
          <w:color w:val="0070C0"/>
        </w:rPr>
        <w:t>在第</w:t>
      </w:r>
      <w:r w:rsidRPr="00154E7B">
        <w:rPr>
          <w:rFonts w:ascii="Times New Roman" w:eastAsia="標楷體" w:hAnsi="Times New Roman" w:cs="Times New Roman"/>
          <w:color w:val="0070C0"/>
        </w:rPr>
        <w:t xml:space="preserve"> t </w:t>
      </w:r>
      <w:r w:rsidRPr="00154E7B">
        <w:rPr>
          <w:rFonts w:ascii="Times New Roman" w:eastAsia="標楷體" w:hAnsi="Times New Roman" w:cs="Times New Roman"/>
          <w:color w:val="0070C0"/>
        </w:rPr>
        <w:t>會計年度之銷管費用總額。銷管費用涵蓋了行銷推廣費、研發管理費、管理階層薪資、廠房辦公室租金、固定資產折舊及水電公用事業等廣泛營業費用科目，最能敏銳反映高階經理人面對外部環境變動時所進行之主觀資源配置與裁撤調整決策：</w:t>
      </w:r>
    </w:p>
    <w:tbl>
      <w:tblPr>
        <w:tblW w:w="0" w:type="auto"/>
        <w:jc w:val="center"/>
        <w:tblLayout w:type="fixed"/>
        <w:tblLook w:val="04A0" w:firstRow="1" w:lastRow="0" w:firstColumn="1" w:lastColumn="0" w:noHBand="0" w:noVBand="1"/>
      </w:tblPr>
      <w:tblGrid>
        <w:gridCol w:w="7483"/>
        <w:gridCol w:w="1020"/>
      </w:tblGrid>
      <w:tr w:rsidR="00154E7B" w:rsidRPr="00154E7B">
        <w:trPr>
          <w:jc w:val="center"/>
        </w:trPr>
        <w:tc>
          <w:tcPr>
            <w:tcW w:w="7483" w:type="dxa"/>
            <w:vAlign w:val="center"/>
          </w:tcPr>
          <w:p w:rsidR="00AE2003" w:rsidRPr="00154E7B" w:rsidRDefault="007265F6">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r>
                  <w:rPr>
                    <w:rFonts w:ascii="Cambria Math" w:hAnsi="Cambria Math"/>
                    <w:color w:val="0070C0"/>
                  </w:rPr>
                  <m:t>)=</m:t>
                </m:r>
                <m:r>
                  <m:rPr>
                    <m:sty m:val="p"/>
                  </m:rPr>
                  <w:rPr>
                    <w:rFonts w:ascii="Cambria Math" w:hAnsi="Cambria Math"/>
                    <w:color w:val="0070C0"/>
                  </w:rPr>
                  <m:t>ln</m:t>
                </m:r>
                <m:r>
                  <w:rPr>
                    <w:rFonts w:ascii="Cambria Math" w:hAnsi="Cambria Math"/>
                    <w:color w:val="0070C0"/>
                  </w:rPr>
                  <m:t>(</m:t>
                </m:r>
                <m:f>
                  <m:fPr>
                    <m:ctrlPr>
                      <w:rPr>
                        <w:rFonts w:ascii="Cambria Math" w:hAnsi="Cambria Math"/>
                        <w:color w:val="0070C0"/>
                      </w:rPr>
                    </m:ctrlPr>
                  </m:fPr>
                  <m:num>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num>
                  <m:den>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i,t-1</m:t>
                        </m:r>
                      </m:sub>
                    </m:sSub>
                  </m:den>
                </m:f>
                <m:r>
                  <w:rPr>
                    <w:rFonts w:ascii="Cambria Math" w:hAnsi="Cambria Math"/>
                    <w:color w:val="0070C0"/>
                  </w:rPr>
                  <m:t>)</m:t>
                </m:r>
              </m:oMath>
            </m:oMathPara>
          </w:p>
        </w:tc>
        <w:tc>
          <w:tcPr>
            <w:tcW w:w="1020" w:type="dxa"/>
            <w:vAlign w:val="center"/>
          </w:tcPr>
          <w:p w:rsidR="00AE2003" w:rsidRPr="00154E7B" w:rsidRDefault="007265F6">
            <w:pPr>
              <w:spacing w:before="80" w:after="80"/>
              <w:jc w:val="right"/>
              <w:rPr>
                <w:color w:val="0070C0"/>
              </w:rPr>
            </w:pPr>
            <w:r w:rsidRPr="00154E7B">
              <w:rPr>
                <w:rFonts w:ascii="Times New Roman" w:hAnsi="Times New Roman"/>
                <w:color w:val="0070C0"/>
                <w:sz w:val="22"/>
              </w:rPr>
              <w:t>(3-1)</w:t>
            </w:r>
          </w:p>
        </w:tc>
      </w:tr>
    </w:tbl>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【主要解釋變數與基準成本黏性交乘項】</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主要解釋變數包含營收對數變動率與營收衰退虛擬變數。營收對數變動率代號為</w:t>
      </w:r>
      <w:r w:rsidRPr="00154E7B">
        <w:rPr>
          <w:rFonts w:ascii="Times New Roman" w:eastAsia="標楷體" w:hAnsi="Times New Roman" w:cs="Times New Roman"/>
          <w:color w:val="0070C0"/>
        </w:rPr>
        <w:t xml:space="preserve"> dLNREV</w:t>
      </w:r>
      <w:r w:rsidRPr="00154E7B">
        <w:rPr>
          <w:rFonts w:ascii="Times New Roman" w:eastAsia="標楷體" w:hAnsi="Times New Roman" w:cs="Times New Roman"/>
          <w:color w:val="0070C0"/>
        </w:rPr>
        <w:t>（即</w:t>
      </w:r>
      <w:r w:rsidRPr="00154E7B">
        <w:rPr>
          <w:rFonts w:ascii="Times New Roman" w:eastAsia="標楷體" w:hAnsi="Times New Roman" w:cs="Times New Roman"/>
          <w:color w:val="0070C0"/>
        </w:rPr>
        <w:t xml:space="preserve"> </w:t>
      </w:r>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(REV)</m:t>
        </m:r>
      </m:oMath>
      <w:r w:rsidRPr="00154E7B">
        <w:rPr>
          <w:rFonts w:ascii="Times New Roman" w:eastAsia="標楷體" w:hAnsi="Times New Roman" w:cs="Times New Roman"/>
          <w:color w:val="0070C0"/>
        </w:rPr>
        <w:t>），其衡量公式如式</w:t>
      </w:r>
      <w:r w:rsidRPr="00154E7B">
        <w:rPr>
          <w:rFonts w:ascii="Times New Roman" w:eastAsia="標楷體" w:hAnsi="Times New Roman" w:cs="Times New Roman"/>
          <w:color w:val="0070C0"/>
        </w:rPr>
        <w:t xml:space="preserve"> (3-2) </w:t>
      </w:r>
      <w:r w:rsidRPr="00154E7B">
        <w:rPr>
          <w:rFonts w:ascii="Times New Roman" w:eastAsia="標楷體" w:hAnsi="Times New Roman" w:cs="Times New Roman"/>
          <w:color w:val="0070C0"/>
        </w:rPr>
        <w:t>所示，代表公司</w:t>
      </w:r>
      <w:r w:rsidRPr="00154E7B">
        <w:rPr>
          <w:rFonts w:ascii="Times New Roman" w:eastAsia="標楷體" w:hAnsi="Times New Roman" w:cs="Times New Roman"/>
          <w:color w:val="0070C0"/>
        </w:rPr>
        <w:t xml:space="preserve"> i </w:t>
      </w:r>
      <w:r w:rsidRPr="00154E7B">
        <w:rPr>
          <w:rFonts w:ascii="Times New Roman" w:eastAsia="標楷體" w:hAnsi="Times New Roman" w:cs="Times New Roman"/>
          <w:color w:val="0070C0"/>
        </w:rPr>
        <w:t>在第</w:t>
      </w:r>
      <w:r w:rsidRPr="00154E7B">
        <w:rPr>
          <w:rFonts w:ascii="Times New Roman" w:eastAsia="標楷體" w:hAnsi="Times New Roman" w:cs="Times New Roman"/>
          <w:color w:val="0070C0"/>
        </w:rPr>
        <w:t xml:space="preserve"> t </w:t>
      </w:r>
      <w:r w:rsidRPr="00154E7B">
        <w:rPr>
          <w:rFonts w:ascii="Times New Roman" w:eastAsia="標楷體" w:hAnsi="Times New Roman" w:cs="Times New Roman"/>
          <w:color w:val="0070C0"/>
        </w:rPr>
        <w:t>年度營業收入之增長率。營收衰退虛擬變數代號為</w:t>
      </w:r>
      <w:r w:rsidRPr="00154E7B">
        <w:rPr>
          <w:rFonts w:ascii="Times New Roman" w:eastAsia="標楷體" w:hAnsi="Times New Roman" w:cs="Times New Roman"/>
          <w:color w:val="0070C0"/>
        </w:rPr>
        <w:t xml:space="preserve"> DEC</w:t>
      </w:r>
      <w:r w:rsidRPr="00154E7B">
        <w:rPr>
          <w:rFonts w:ascii="Times New Roman" w:eastAsia="標楷體" w:hAnsi="Times New Roman" w:cs="Times New Roman"/>
          <w:color w:val="0070C0"/>
        </w:rPr>
        <w:t>（或</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D</m:t>
            </m:r>
          </m:e>
          <m:sub>
            <m:r>
              <w:rPr>
                <w:rFonts w:ascii="Cambria Math" w:hAnsi="Cambria Math"/>
                <w:color w:val="0070C0"/>
              </w:rPr>
              <m:t>i,t</m:t>
            </m:r>
          </m:sub>
        </m:sSub>
      </m:oMath>
      <w:r w:rsidRPr="00154E7B">
        <w:rPr>
          <w:rFonts w:ascii="Times New Roman" w:eastAsia="標楷體" w:hAnsi="Times New Roman" w:cs="Times New Roman"/>
          <w:color w:val="0070C0"/>
        </w:rPr>
        <w:t>），當公司當期營業收入小於前一期營業收入時（</w:t>
      </w:r>
      <m:oMath>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&lt;RE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i,t-1</m:t>
            </m:r>
          </m:sub>
        </m:sSub>
      </m:oMath>
      <w:r w:rsidRPr="00154E7B">
        <w:rPr>
          <w:rFonts w:ascii="Times New Roman" w:eastAsia="標楷體" w:hAnsi="Times New Roman" w:cs="Times New Roman"/>
          <w:color w:val="0070C0"/>
        </w:rPr>
        <w:t>），取值為</w:t>
      </w:r>
      <w:r w:rsidRPr="00154E7B">
        <w:rPr>
          <w:rFonts w:ascii="Times New Roman" w:eastAsia="標楷體" w:hAnsi="Times New Roman" w:cs="Times New Roman"/>
          <w:color w:val="0070C0"/>
        </w:rPr>
        <w:t xml:space="preserve"> 1</w:t>
      </w:r>
      <w:r w:rsidRPr="00154E7B">
        <w:rPr>
          <w:rFonts w:ascii="Times New Roman" w:eastAsia="標楷體" w:hAnsi="Times New Roman" w:cs="Times New Roman"/>
          <w:color w:val="0070C0"/>
        </w:rPr>
        <w:t>，代表營收下滑之情境；若營收大於或等於前一期，則取值為</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。基準成本黏性交乘項為</w:t>
      </w:r>
      <w:r w:rsidRPr="00154E7B">
        <w:rPr>
          <w:rFonts w:ascii="Times New Roman" w:eastAsia="標楷體" w:hAnsi="Times New Roman" w:cs="Times New Roman"/>
          <w:color w:val="0070C0"/>
        </w:rPr>
        <w:t xml:space="preserve"> </w:t>
      </w:r>
      <m:oMath>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×dLNRE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oMath>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DEC_x_dREV</w:t>
      </w:r>
      <w:r w:rsidRPr="00154E7B">
        <w:rPr>
          <w:rFonts w:ascii="Times New Roman" w:eastAsia="標楷體" w:hAnsi="Times New Roman" w:cs="Times New Roman"/>
          <w:color w:val="0070C0"/>
        </w:rPr>
        <w:t>）。在基準</w:t>
      </w:r>
      <w:r w:rsidRPr="00154E7B">
        <w:rPr>
          <w:rFonts w:ascii="Times New Roman" w:eastAsia="標楷體" w:hAnsi="Times New Roman" w:cs="Times New Roman"/>
          <w:color w:val="0070C0"/>
        </w:rPr>
        <w:t xml:space="preserve"> ABJ </w:t>
      </w:r>
      <w:r w:rsidRPr="00154E7B">
        <w:rPr>
          <w:rFonts w:ascii="Times New Roman" w:eastAsia="標楷體" w:hAnsi="Times New Roman" w:cs="Times New Roman"/>
          <w:color w:val="0070C0"/>
        </w:rPr>
        <w:t>模型中，</w:t>
      </w:r>
      <w:r w:rsidRPr="00154E7B">
        <w:rPr>
          <w:rFonts w:ascii="Times New Roman" w:eastAsia="標楷體" w:hAnsi="Times New Roman" w:cs="Times New Roman"/>
          <w:color w:val="0070C0"/>
        </w:rPr>
        <w:t xml:space="preserve">dLNREV </w:t>
      </w:r>
      <w:r w:rsidRPr="00154E7B">
        <w:rPr>
          <w:rFonts w:ascii="Times New Roman" w:eastAsia="標楷體" w:hAnsi="Times New Roman" w:cs="Times New Roman"/>
          <w:color w:val="0070C0"/>
        </w:rPr>
        <w:t>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捕捉營收上升</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時費用之同向增長百分比（預期</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r>
          <w:rPr>
            <w:rFonts w:ascii="Cambria Math" w:hAnsi="Cambria Math"/>
            <w:color w:val="0070C0"/>
          </w:rPr>
          <m:t>&gt;0</m:t>
        </m:r>
      </m:oMath>
      <w:r w:rsidRPr="00154E7B">
        <w:rPr>
          <w:rFonts w:ascii="Times New Roman" w:eastAsia="標楷體" w:hAnsi="Times New Roman" w:cs="Times New Roman"/>
          <w:color w:val="0070C0"/>
        </w:rPr>
        <w:t>）；而交乘項</w:t>
      </w:r>
      <w:r w:rsidRPr="00154E7B">
        <w:rPr>
          <w:rFonts w:ascii="Times New Roman" w:eastAsia="標楷體" w:hAnsi="Times New Roman" w:cs="Times New Roman"/>
          <w:color w:val="0070C0"/>
        </w:rPr>
        <w:t xml:space="preserve"> DEC_x_dREV </w:t>
      </w:r>
      <w:r w:rsidRPr="00154E7B">
        <w:rPr>
          <w:rFonts w:ascii="Times New Roman" w:eastAsia="標楷體" w:hAnsi="Times New Roman" w:cs="Times New Roman"/>
          <w:color w:val="0070C0"/>
        </w:rPr>
        <w:t>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則衡量營收衰退時費用下行調整之非對稱差異。若企業存在顯著之成本僵固性，則</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應顯著小於</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r>
          <w:rPr>
            <w:rFonts w:ascii="Cambria Math" w:hAnsi="Cambria Math"/>
            <w:color w:val="0070C0"/>
          </w:rPr>
          <m:t>&lt;0</m:t>
        </m:r>
      </m:oMath>
      <w:r w:rsidRPr="00154E7B">
        <w:rPr>
          <w:rFonts w:ascii="Times New Roman" w:eastAsia="標楷體" w:hAnsi="Times New Roman" w:cs="Times New Roman"/>
          <w:color w:val="0070C0"/>
        </w:rPr>
        <w:t>），代表當營收衰退</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時，銷管費用僅下降</w:t>
      </w:r>
      <w:r w:rsidRPr="00154E7B">
        <w:rPr>
          <w:rFonts w:ascii="Times New Roman" w:eastAsia="標楷體" w:hAnsi="Times New Roman" w:cs="Times New Roman"/>
          <w:color w:val="0070C0"/>
        </w:rPr>
        <w:t xml:space="preserve"> </w:t>
      </w:r>
      <m:oMath>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r>
          <w:rPr>
            <w:rFonts w:ascii="Cambria Math" w:hAnsi="Cambria Math"/>
            <w:color w:val="0070C0"/>
          </w:rPr>
          <m:t>)%</m:t>
        </m:r>
      </m:oMath>
      <w:r w:rsidRPr="00154E7B">
        <w:rPr>
          <w:rFonts w:ascii="Times New Roman" w:eastAsia="標楷體" w:hAnsi="Times New Roman" w:cs="Times New Roman"/>
          <w:color w:val="0070C0"/>
        </w:rPr>
        <w:t>，呈現扣減不足之剛性性態：</w:t>
      </w:r>
    </w:p>
    <w:tbl>
      <w:tblPr>
        <w:tblW w:w="0" w:type="auto"/>
        <w:jc w:val="center"/>
        <w:tblLayout w:type="fixed"/>
        <w:tblLook w:val="04A0" w:firstRow="1" w:lastRow="0" w:firstColumn="1" w:lastColumn="0" w:noHBand="0" w:noVBand="1"/>
      </w:tblPr>
      <w:tblGrid>
        <w:gridCol w:w="7483"/>
        <w:gridCol w:w="1020"/>
      </w:tblGrid>
      <w:tr w:rsidR="00154E7B" w:rsidRPr="00154E7B">
        <w:trPr>
          <w:jc w:val="center"/>
        </w:trPr>
        <w:tc>
          <w:tcPr>
            <w:tcW w:w="7483" w:type="dxa"/>
            <w:vAlign w:val="center"/>
          </w:tcPr>
          <w:p w:rsidR="00AE2003" w:rsidRPr="00154E7B" w:rsidRDefault="007265F6">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r>
                  <m:rPr>
                    <m:sty m:val="p"/>
                  </m:rPr>
                  <w:rPr>
                    <w:rFonts w:ascii="Cambria Math" w:hAnsi="Cambria Math"/>
                    <w:color w:val="0070C0"/>
                  </w:rPr>
                  <m:t>ln</m:t>
                </m:r>
                <m:r>
                  <w:rPr>
                    <w:rFonts w:ascii="Cambria Math" w:hAnsi="Cambria Math"/>
                    <w:color w:val="0070C0"/>
                  </w:rPr>
                  <m:t>(</m:t>
                </m:r>
                <m:f>
                  <m:fPr>
                    <m:ctrlPr>
                      <w:rPr>
                        <w:rFonts w:ascii="Cambria Math" w:hAnsi="Cambria Math"/>
                        <w:color w:val="0070C0"/>
                      </w:rPr>
                    </m:ctrlPr>
                  </m:fPr>
                  <m:num>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num>
                  <m:den>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i,t-1</m:t>
                        </m:r>
                      </m:sub>
                    </m:sSub>
                  </m:den>
                </m:f>
                <m:r>
                  <w:rPr>
                    <w:rFonts w:ascii="Cambria Math" w:hAnsi="Cambria Math"/>
                    <w:color w:val="0070C0"/>
                  </w:rPr>
                  <m:t>)</m:t>
                </m:r>
              </m:oMath>
            </m:oMathPara>
          </w:p>
        </w:tc>
        <w:tc>
          <w:tcPr>
            <w:tcW w:w="1020" w:type="dxa"/>
            <w:vAlign w:val="center"/>
          </w:tcPr>
          <w:p w:rsidR="00AE2003" w:rsidRPr="00154E7B" w:rsidRDefault="007265F6">
            <w:pPr>
              <w:spacing w:before="80" w:after="80"/>
              <w:jc w:val="right"/>
              <w:rPr>
                <w:color w:val="0070C0"/>
              </w:rPr>
            </w:pPr>
            <w:r w:rsidRPr="00154E7B">
              <w:rPr>
                <w:rFonts w:ascii="Times New Roman" w:hAnsi="Times New Roman"/>
                <w:color w:val="0070C0"/>
                <w:sz w:val="22"/>
              </w:rPr>
              <w:t>(3-2)</w:t>
            </w:r>
          </w:p>
        </w:tc>
      </w:tr>
    </w:tbl>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【環境管理測試變數：水資源與廢棄物構面】</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為多元構面刻劃企業之環境資源管理行為，本研究建立包含實質使用密集度、治理資訊揭露及法遵違規裁罰等六大環境測試指標（</w:t>
      </w:r>
      <w:r w:rsidRPr="00154E7B">
        <w:rPr>
          <w:rFonts w:ascii="Times New Roman" w:eastAsia="標楷體" w:hAnsi="Times New Roman" w:cs="Times New Roman"/>
          <w:color w:val="0070C0"/>
        </w:rPr>
        <w:t>Env_Var</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1. </w:t>
      </w:r>
      <w:r w:rsidRPr="00154E7B">
        <w:rPr>
          <w:rFonts w:ascii="Times New Roman" w:eastAsia="標楷體" w:hAnsi="Times New Roman" w:cs="Times New Roman"/>
          <w:color w:val="0070C0"/>
        </w:rPr>
        <w:t>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）：連續型變數，衡量企業在特定會計年度內，廠</w:t>
      </w:r>
      <w:r w:rsidRPr="00154E7B">
        <w:rPr>
          <w:rFonts w:ascii="Times New Roman" w:eastAsia="標楷體" w:hAnsi="Times New Roman" w:cs="Times New Roman"/>
          <w:color w:val="0070C0"/>
        </w:rPr>
        <w:lastRenderedPageBreak/>
        <w:t>區製程回收水總量除以全廠總用水量之百分比率（</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）。該變數直接反映企業在水資源循環再利用上之資本專用性投入深度。</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2. </w:t>
      </w:r>
      <w:r w:rsidRPr="00154E7B">
        <w:rPr>
          <w:rFonts w:ascii="Times New Roman" w:eastAsia="標楷體" w:hAnsi="Times New Roman" w:cs="Times New Roman"/>
          <w:color w:val="0070C0"/>
        </w:rPr>
        <w:t>水資源揭露（</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）：虛擬變數，依據</w:t>
      </w:r>
      <w:r w:rsidRPr="00154E7B">
        <w:rPr>
          <w:rFonts w:ascii="Times New Roman" w:eastAsia="標楷體" w:hAnsi="Times New Roman" w:cs="Times New Roman"/>
          <w:color w:val="0070C0"/>
        </w:rPr>
        <w:t xml:space="preserve"> TEJ </w:t>
      </w:r>
      <w:r w:rsidRPr="00154E7B">
        <w:rPr>
          <w:rFonts w:ascii="Times New Roman" w:eastAsia="標楷體" w:hAnsi="Times New Roman" w:cs="Times New Roman"/>
          <w:color w:val="0070C0"/>
        </w:rPr>
        <w:t>永續模組紀錄，若企業於該年度在永續報告書、年報或官方網站中主動量化揭露取水量與用水量資料，則取值為</w:t>
      </w:r>
      <w:r w:rsidRPr="00154E7B">
        <w:rPr>
          <w:rFonts w:ascii="Times New Roman" w:eastAsia="標楷體" w:hAnsi="Times New Roman" w:cs="Times New Roman"/>
          <w:color w:val="0070C0"/>
        </w:rPr>
        <w:t xml:space="preserve"> 1</w:t>
      </w:r>
      <w:r w:rsidRPr="00154E7B">
        <w:rPr>
          <w:rFonts w:ascii="Times New Roman" w:eastAsia="標楷體" w:hAnsi="Times New Roman" w:cs="Times New Roman"/>
          <w:color w:val="0070C0"/>
        </w:rPr>
        <w:t>，否則取值為</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。此指標用以捕捉外部資訊透明度與市場監督效應。</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3. </w:t>
      </w:r>
      <w:r w:rsidRPr="00154E7B">
        <w:rPr>
          <w:rFonts w:ascii="Times New Roman" w:eastAsia="標楷體" w:hAnsi="Times New Roman" w:cs="Times New Roman"/>
          <w:color w:val="0070C0"/>
        </w:rPr>
        <w:t>用水密集度（</w:t>
      </w:r>
      <w:r w:rsidRPr="00154E7B">
        <w:rPr>
          <w:rFonts w:ascii="Times New Roman" w:eastAsia="標楷體" w:hAnsi="Times New Roman" w:cs="Times New Roman"/>
          <w:color w:val="0070C0"/>
        </w:rPr>
        <w:t>WATER_INTENSITY</w:t>
      </w:r>
      <w:r w:rsidRPr="00154E7B">
        <w:rPr>
          <w:rFonts w:ascii="Times New Roman" w:eastAsia="標楷體" w:hAnsi="Times New Roman" w:cs="Times New Roman"/>
          <w:color w:val="0070C0"/>
        </w:rPr>
        <w:t>）：連續型變數，定義為企業年度總用水量（立方公尺）除以當期營業收入總額（百萬元新台幣），衡量企業單位產出對水資源之實質物理依賴度。</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4. </w:t>
      </w:r>
      <w:r w:rsidRPr="00154E7B">
        <w:rPr>
          <w:rFonts w:ascii="Times New Roman" w:eastAsia="標楷體" w:hAnsi="Times New Roman" w:cs="Times New Roman"/>
          <w:color w:val="0070C0"/>
        </w:rPr>
        <w:t>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）：連續型變數，定義為企業年度產出之一般與有害事業廢棄物總重量（公噸）除以當期營業收入總額（百萬元新台幣），直接反映製造工藝所伴隨之剛性廢棄物處置負擔。</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5. </w:t>
      </w:r>
      <w:r w:rsidRPr="00154E7B">
        <w:rPr>
          <w:rFonts w:ascii="Times New Roman" w:eastAsia="標楷體" w:hAnsi="Times New Roman" w:cs="Times New Roman"/>
          <w:color w:val="0070C0"/>
        </w:rPr>
        <w:t>廢棄物揭露品質（</w:t>
      </w:r>
      <w:r w:rsidRPr="00154E7B">
        <w:rPr>
          <w:rFonts w:ascii="Times New Roman" w:eastAsia="標楷體" w:hAnsi="Times New Roman" w:cs="Times New Roman"/>
          <w:color w:val="0070C0"/>
        </w:rPr>
        <w:t>WASTE_DISC</w:t>
      </w:r>
      <w:r w:rsidRPr="00154E7B">
        <w:rPr>
          <w:rFonts w:ascii="Times New Roman" w:eastAsia="標楷體" w:hAnsi="Times New Roman" w:cs="Times New Roman"/>
          <w:color w:val="0070C0"/>
        </w:rPr>
        <w:t>）：依據</w:t>
      </w:r>
      <w:r w:rsidRPr="00154E7B">
        <w:rPr>
          <w:rFonts w:ascii="Times New Roman" w:eastAsia="標楷體" w:hAnsi="Times New Roman" w:cs="Times New Roman"/>
          <w:color w:val="0070C0"/>
        </w:rPr>
        <w:t xml:space="preserve"> GRI </w:t>
      </w:r>
      <w:r w:rsidRPr="00154E7B">
        <w:rPr>
          <w:rFonts w:ascii="Times New Roman" w:eastAsia="標楷體" w:hAnsi="Times New Roman" w:cs="Times New Roman"/>
          <w:color w:val="0070C0"/>
        </w:rPr>
        <w:t>永續準則規範，針對企業廢棄物管理方針、減量措施及流向申報之完整度進行連續分級評分（</w:t>
      </w:r>
      <w:r w:rsidRPr="00154E7B">
        <w:rPr>
          <w:rFonts w:ascii="Times New Roman" w:eastAsia="標楷體" w:hAnsi="Times New Roman" w:cs="Times New Roman"/>
          <w:color w:val="0070C0"/>
        </w:rPr>
        <w:t xml:space="preserve">0 </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 xml:space="preserve"> 5 </w:t>
      </w:r>
      <w:r w:rsidRPr="00154E7B">
        <w:rPr>
          <w:rFonts w:ascii="Times New Roman" w:eastAsia="標楷體" w:hAnsi="Times New Roman" w:cs="Times New Roman"/>
          <w:color w:val="0070C0"/>
        </w:rPr>
        <w:t>分），分數越高代表廢棄物治理之透明度越完備。</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6. </w:t>
      </w:r>
      <w:r w:rsidRPr="00154E7B">
        <w:rPr>
          <w:rFonts w:ascii="Times New Roman" w:eastAsia="標楷體" w:hAnsi="Times New Roman" w:cs="Times New Roman"/>
          <w:color w:val="0070C0"/>
        </w:rPr>
        <w:t>環境違規裁罰金額（</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）：連續型變數，定義為企業在該年度因違反環保法規（涵蓋水污染與廢棄物違規）所遭受主管機關裁處之總罰鍰金額除以期末資產總額（以千分比計），反映法規強制性之法遵衝擊深度。</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【財務控制變數】</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依循</w:t>
      </w:r>
      <w:r w:rsidRPr="00154E7B">
        <w:rPr>
          <w:rFonts w:ascii="Times New Roman" w:eastAsia="標楷體" w:hAnsi="Times New Roman" w:cs="Times New Roman"/>
          <w:color w:val="0070C0"/>
        </w:rPr>
        <w:t xml:space="preserve"> ABJ (2003)</w:t>
      </w:r>
      <w:r w:rsidRPr="00154E7B">
        <w:rPr>
          <w:rFonts w:ascii="Times New Roman" w:eastAsia="標楷體" w:hAnsi="Times New Roman" w:cs="Times New Roman"/>
          <w:color w:val="0070C0"/>
        </w:rPr>
        <w:t>、王惠洳（</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[12]</w:t>
      </w:r>
      <w:r w:rsidRPr="00154E7B">
        <w:rPr>
          <w:rFonts w:ascii="Times New Roman" w:eastAsia="標楷體" w:hAnsi="Times New Roman" w:cs="Times New Roman"/>
          <w:color w:val="0070C0"/>
        </w:rPr>
        <w:t>、辛珏辰（</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[14] </w:t>
      </w:r>
      <w:r w:rsidRPr="00154E7B">
        <w:rPr>
          <w:rFonts w:ascii="Times New Roman" w:eastAsia="標楷體" w:hAnsi="Times New Roman" w:cs="Times New Roman"/>
          <w:color w:val="0070C0"/>
        </w:rPr>
        <w:t>及</w:t>
      </w:r>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劉佳熒（</w:t>
      </w:r>
      <w:r w:rsidRPr="00154E7B">
        <w:rPr>
          <w:rFonts w:ascii="Times New Roman" w:eastAsia="標楷體" w:hAnsi="Times New Roman" w:cs="Times New Roman"/>
          <w:color w:val="0070C0"/>
        </w:rPr>
        <w:t>2022</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[18] </w:t>
      </w:r>
      <w:r w:rsidRPr="00154E7B">
        <w:rPr>
          <w:rFonts w:ascii="Times New Roman" w:eastAsia="標楷體" w:hAnsi="Times New Roman" w:cs="Times New Roman"/>
          <w:color w:val="0070C0"/>
        </w:rPr>
        <w:t>之經典計量設定，本研究納入了一系列已被證實會顯著影響成本黏性之公司層級特徵變數，包含：公司規模（</w:t>
      </w:r>
      <w:r w:rsidRPr="00154E7B">
        <w:rPr>
          <w:rFonts w:ascii="Times New Roman" w:eastAsia="標楷體" w:hAnsi="Times New Roman" w:cs="Times New Roman"/>
          <w:color w:val="0070C0"/>
        </w:rPr>
        <w:t>SIZE</w:t>
      </w:r>
      <w:r w:rsidRPr="00154E7B">
        <w:rPr>
          <w:rFonts w:ascii="Times New Roman" w:eastAsia="標楷體" w:hAnsi="Times New Roman" w:cs="Times New Roman"/>
          <w:color w:val="0070C0"/>
        </w:rPr>
        <w:t>，期末資產總額取自然對數）、資產密集度（</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，資產總額除以營業收入）、員工密集度（</w:t>
      </w:r>
      <w:r w:rsidRPr="00154E7B">
        <w:rPr>
          <w:rFonts w:ascii="Times New Roman" w:eastAsia="標楷體" w:hAnsi="Times New Roman" w:cs="Times New Roman"/>
          <w:color w:val="0070C0"/>
        </w:rPr>
        <w:t>EI</w:t>
      </w:r>
      <w:r w:rsidRPr="00154E7B">
        <w:rPr>
          <w:rFonts w:ascii="Times New Roman" w:eastAsia="標楷體" w:hAnsi="Times New Roman" w:cs="Times New Roman"/>
          <w:color w:val="0070C0"/>
        </w:rPr>
        <w:t>，全體員工人數除以營業收入）、獲利能力指標（</w:t>
      </w:r>
      <w:r w:rsidRPr="00154E7B">
        <w:rPr>
          <w:rFonts w:ascii="Times New Roman" w:eastAsia="標楷體" w:hAnsi="Times New Roman" w:cs="Times New Roman"/>
          <w:color w:val="0070C0"/>
        </w:rPr>
        <w:t>ROA</w:t>
      </w:r>
      <w:r w:rsidRPr="00154E7B">
        <w:rPr>
          <w:rFonts w:ascii="Times New Roman" w:eastAsia="標楷體" w:hAnsi="Times New Roman" w:cs="Times New Roman"/>
          <w:color w:val="0070C0"/>
        </w:rPr>
        <w:t>，資產報酬率）、財務槓桿比率（</w:t>
      </w:r>
      <w:r w:rsidRPr="00154E7B">
        <w:rPr>
          <w:rFonts w:ascii="Times New Roman" w:eastAsia="標楷體" w:hAnsi="Times New Roman" w:cs="Times New Roman"/>
          <w:color w:val="0070C0"/>
        </w:rPr>
        <w:t>LEV</w:t>
      </w:r>
      <w:r w:rsidRPr="00154E7B">
        <w:rPr>
          <w:rFonts w:ascii="Times New Roman" w:eastAsia="標楷體" w:hAnsi="Times New Roman" w:cs="Times New Roman"/>
          <w:color w:val="0070C0"/>
        </w:rPr>
        <w:t>，負債總額除以資產總額），以及連續營收衰退虛擬變數（</w:t>
      </w:r>
      <w:r w:rsidRPr="00154E7B">
        <w:rPr>
          <w:rFonts w:ascii="Times New Roman" w:eastAsia="標楷體" w:hAnsi="Times New Roman" w:cs="Times New Roman"/>
          <w:color w:val="0070C0"/>
        </w:rPr>
        <w:t>SUCC_DEC</w:t>
      </w:r>
      <w:r w:rsidRPr="00154E7B">
        <w:rPr>
          <w:rFonts w:ascii="Times New Roman" w:eastAsia="標楷體" w:hAnsi="Times New Roman" w:cs="Times New Roman"/>
          <w:color w:val="0070C0"/>
        </w:rPr>
        <w:t>，若連續兩年營收下降則取</w:t>
      </w:r>
      <w:r w:rsidRPr="00154E7B">
        <w:rPr>
          <w:rFonts w:ascii="Times New Roman" w:eastAsia="標楷體" w:hAnsi="Times New Roman" w:cs="Times New Roman"/>
          <w:color w:val="0070C0"/>
        </w:rPr>
        <w:t xml:space="preserve"> 1</w:t>
      </w:r>
      <w:r w:rsidRPr="00154E7B">
        <w:rPr>
          <w:rFonts w:ascii="Times New Roman" w:eastAsia="標楷體" w:hAnsi="Times New Roman" w:cs="Times New Roman"/>
          <w:color w:val="0070C0"/>
        </w:rPr>
        <w:t>，否則取</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用以控制管理者悲觀預期之形成）。更關鍵的是，為避免混淆實質環境效果與控制變數之非對稱調節，本研究在所有實證迴歸方程式中，均比照測試變數，完整納入上述每一項控制變數與基準交乘項之交互作用項（例如</w:t>
      </w:r>
      <w:r w:rsidRPr="00154E7B">
        <w:rPr>
          <w:rFonts w:ascii="Times New Roman" w:eastAsia="標楷體" w:hAnsi="Times New Roman" w:cs="Times New Roman"/>
          <w:color w:val="0070C0"/>
        </w:rPr>
        <w:t xml:space="preserve"> SIZE × DEC × dLNREV</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AI × DEC × dLNREV </w:t>
      </w:r>
      <w:r w:rsidRPr="00154E7B">
        <w:rPr>
          <w:rFonts w:ascii="Times New Roman" w:eastAsia="標楷體" w:hAnsi="Times New Roman" w:cs="Times New Roman"/>
          <w:color w:val="0070C0"/>
        </w:rPr>
        <w:t>等），以確保環境三重交乘項</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能乾淨且獨立地捕捉環境指標之專屬淨效果。</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3-3</w:t>
      </w:r>
      <w:r w:rsidRPr="00154E7B">
        <w:rPr>
          <w:rFonts w:ascii="Times New Roman" w:eastAsia="標楷體" w:hAnsi="Times New Roman" w:cs="Times New Roman"/>
          <w:b/>
          <w:color w:val="0070C0"/>
          <w:sz w:val="22"/>
        </w:rPr>
        <w:t xml:space="preserve">　主要變數定義與衡量說明表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變數名稱</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英文代號</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角色</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操作型定義與衡量公式</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預期符號</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銷管費用變動率</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Y_dLNSGA</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被解釋變數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ln(</w:t>
            </w:r>
            <m:oMath>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oMath>
            <w:r w:rsidRPr="00154E7B">
              <w:rPr>
                <w:rFonts w:ascii="Times New Roman" w:eastAsia="標楷體" w:hAnsi="Times New Roman" w:cs="Times New Roman"/>
                <w:color w:val="0070C0"/>
                <w:sz w:val="16"/>
              </w:rPr>
              <w:t xml:space="preserve"> / </w:t>
            </w:r>
            <m:oMath>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i,t-1</m:t>
                  </m:r>
                </m:sub>
              </m:sSub>
            </m:oMath>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，縮尾處</w:t>
            </w:r>
            <w:r w:rsidRPr="00154E7B">
              <w:rPr>
                <w:rFonts w:ascii="Times New Roman" w:eastAsia="標楷體" w:hAnsi="Times New Roman" w:cs="Times New Roman"/>
                <w:color w:val="0070C0"/>
                <w:sz w:val="16"/>
              </w:rPr>
              <w:lastRenderedPageBreak/>
              <w:t>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lastRenderedPageBreak/>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營收變動率</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dLNREV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核心解釋變數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ln(</w:t>
            </w:r>
            <m:oMath>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oMath>
            <w:r w:rsidRPr="00154E7B">
              <w:rPr>
                <w:rFonts w:ascii="Times New Roman" w:eastAsia="標楷體" w:hAnsi="Times New Roman" w:cs="Times New Roman"/>
                <w:color w:val="0070C0"/>
                <w:sz w:val="16"/>
              </w:rPr>
              <w:t xml:space="preserve"> / </w:t>
            </w:r>
            <m:oMath>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i,t-1</m:t>
                  </m:r>
                </m:sub>
              </m:sSub>
            </m:oMath>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，縮尾處理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營收衰退虛擬</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DEC</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核心解釋變數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當</w:t>
            </w:r>
            <w:r w:rsidRPr="00154E7B">
              <w:rPr>
                <w:rFonts w:ascii="Times New Roman" w:eastAsia="標楷體" w:hAnsi="Times New Roman" w:cs="Times New Roman"/>
                <w:color w:val="0070C0"/>
                <w:sz w:val="16"/>
              </w:rPr>
              <w:t xml:space="preserve"> </w:t>
            </w:r>
            <m:oMath>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&lt;RE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i,t-1</m:t>
                  </m:r>
                </m:sub>
              </m:sSub>
            </m:oMath>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時為</w:t>
            </w:r>
            <w:r w:rsidRPr="00154E7B">
              <w:rPr>
                <w:rFonts w:ascii="Times New Roman" w:eastAsia="標楷體" w:hAnsi="Times New Roman" w:cs="Times New Roman"/>
                <w:color w:val="0070C0"/>
                <w:sz w:val="16"/>
              </w:rPr>
              <w:t xml:space="preserve"> 1</w:t>
            </w:r>
            <w:r w:rsidRPr="00154E7B">
              <w:rPr>
                <w:rFonts w:ascii="Times New Roman" w:eastAsia="標楷體" w:hAnsi="Times New Roman" w:cs="Times New Roman"/>
                <w:color w:val="0070C0"/>
                <w:sz w:val="16"/>
              </w:rPr>
              <w:t>，否則為</w:t>
            </w:r>
            <w:r w:rsidRPr="00154E7B">
              <w:rPr>
                <w:rFonts w:ascii="Times New Roman" w:eastAsia="標楷體" w:hAnsi="Times New Roman" w:cs="Times New Roman"/>
                <w:color w:val="0070C0"/>
                <w:sz w:val="16"/>
              </w:rPr>
              <w:t xml:space="preserve"> 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基準成本黏性交乘</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DEC_x_dREV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核心交乘項</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m:oMath>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×dLNRE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oMath>
            <w:r w:rsidRPr="00154E7B">
              <w:rPr>
                <w:rFonts w:ascii="Times New Roman" w:eastAsia="標楷體" w:hAnsi="Times New Roman" w:cs="Times New Roman"/>
                <w:color w:val="0070C0"/>
                <w:sz w:val="16"/>
              </w:rPr>
              <w:t>（</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sz w:val="16"/>
              </w:rPr>
              <w:t>：捕捉非對稱性）</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水回收率</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WATER_RATE</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環境測試變數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製程回收水量</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全廠總用水量</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，縮尾</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水資源揭露</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WATER_DISC</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環境測試變數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主動量化揭露水資源資料為</w:t>
            </w:r>
            <w:r w:rsidRPr="00154E7B">
              <w:rPr>
                <w:rFonts w:ascii="Times New Roman" w:eastAsia="標楷體" w:hAnsi="Times New Roman" w:cs="Times New Roman"/>
                <w:color w:val="0070C0"/>
                <w:sz w:val="16"/>
              </w:rPr>
              <w:t xml:space="preserve"> 1</w:t>
            </w:r>
            <w:r w:rsidRPr="00154E7B">
              <w:rPr>
                <w:rFonts w:ascii="Times New Roman" w:eastAsia="標楷體" w:hAnsi="Times New Roman" w:cs="Times New Roman"/>
                <w:color w:val="0070C0"/>
                <w:sz w:val="16"/>
              </w:rPr>
              <w:t>，否則為</w:t>
            </w:r>
            <w:r w:rsidRPr="00154E7B">
              <w:rPr>
                <w:rFonts w:ascii="Times New Roman" w:eastAsia="標楷體" w:hAnsi="Times New Roman" w:cs="Times New Roman"/>
                <w:color w:val="0070C0"/>
                <w:sz w:val="16"/>
              </w:rPr>
              <w:t xml:space="preserve"> 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緩解</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用水密集度</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WATER_INTENSITY</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環境測試變數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總用水量</w:t>
            </w:r>
            <w:r w:rsidRPr="00154E7B">
              <w:rPr>
                <w:rFonts w:ascii="Times New Roman" w:eastAsia="標楷體" w:hAnsi="Times New Roman" w:cs="Times New Roman"/>
                <w:color w:val="0070C0"/>
                <w:sz w:val="16"/>
              </w:rPr>
              <w:t xml:space="preserve"> (m³) / </w:t>
            </w:r>
            <w:r w:rsidRPr="00154E7B">
              <w:rPr>
                <w:rFonts w:ascii="Times New Roman" w:eastAsia="標楷體" w:hAnsi="Times New Roman" w:cs="Times New Roman"/>
                <w:color w:val="0070C0"/>
                <w:sz w:val="16"/>
              </w:rPr>
              <w:t>營業收入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百萬元</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，縮尾</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廢棄物密集度</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WASTE_INTENSITY</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環境測試變數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廢棄物總重</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公噸</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營業收入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百萬元</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，縮尾</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廢棄物揭露品質</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WASTE_DISC</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環境測試變數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xml:space="preserve">GRI </w:t>
            </w:r>
            <w:r w:rsidRPr="00154E7B">
              <w:rPr>
                <w:rFonts w:ascii="Times New Roman" w:eastAsia="標楷體" w:hAnsi="Times New Roman" w:cs="Times New Roman"/>
                <w:color w:val="0070C0"/>
                <w:sz w:val="16"/>
              </w:rPr>
              <w:t>永續指標揭露評分</w:t>
            </w:r>
            <w:r w:rsidRPr="00154E7B">
              <w:rPr>
                <w:rFonts w:ascii="Times New Roman" w:eastAsia="標楷體" w:hAnsi="Times New Roman" w:cs="Times New Roman"/>
                <w:color w:val="0070C0"/>
                <w:sz w:val="16"/>
              </w:rPr>
              <w:t xml:space="preserve"> (0 </w:t>
            </w:r>
            <w:r w:rsidRPr="00154E7B">
              <w:rPr>
                <w:rFonts w:ascii="Times New Roman" w:eastAsia="標楷體" w:hAnsi="Times New Roman" w:cs="Times New Roman"/>
                <w:color w:val="0070C0"/>
                <w:sz w:val="16"/>
              </w:rPr>
              <w:t>至</w:t>
            </w:r>
            <w:r w:rsidRPr="00154E7B">
              <w:rPr>
                <w:rFonts w:ascii="Times New Roman" w:eastAsia="標楷體" w:hAnsi="Times New Roman" w:cs="Times New Roman"/>
                <w:color w:val="0070C0"/>
                <w:sz w:val="16"/>
              </w:rPr>
              <w:t xml:space="preserve"> 5 </w:t>
            </w:r>
            <w:r w:rsidRPr="00154E7B">
              <w:rPr>
                <w:rFonts w:ascii="Times New Roman" w:eastAsia="標楷體" w:hAnsi="Times New Roman" w:cs="Times New Roman"/>
                <w:color w:val="0070C0"/>
                <w:sz w:val="16"/>
              </w:rPr>
              <w:t>分</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緩解</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環境違規裁罰</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WASTE_FINE</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環境測試變數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環保處分罰鍰總額</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期末總資產</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，縮尾</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公司規模</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SIZE</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控制變數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ln(</w:t>
            </w:r>
            <w:r w:rsidRPr="00154E7B">
              <w:rPr>
                <w:rFonts w:ascii="Times New Roman" w:eastAsia="標楷體" w:hAnsi="Times New Roman" w:cs="Times New Roman"/>
                <w:color w:val="0070C0"/>
                <w:sz w:val="16"/>
              </w:rPr>
              <w:t>期末資產總額</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，縮尾處理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資產密集度</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AI</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控制變數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資產總額</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營業收入，縮尾處理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員工密集度</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EI</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控制變數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全體員工人數</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營業收入，縮尾處理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資產報酬率</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ROA</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控制變數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稅後淨利</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平均總資產</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，縮尾處理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lastRenderedPageBreak/>
              <w:t>負債比率</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LEV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控制變數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負債總額</w:t>
            </w:r>
            <w:r w:rsidRPr="00154E7B">
              <w:rPr>
                <w:rFonts w:ascii="Times New Roman" w:eastAsia="標楷體" w:hAnsi="Times New Roman" w:cs="Times New Roman"/>
                <w:color w:val="0070C0"/>
                <w:sz w:val="16"/>
              </w:rPr>
              <w:t xml:space="preserve"> / </w:t>
            </w:r>
            <w:r w:rsidRPr="00154E7B">
              <w:rPr>
                <w:rFonts w:ascii="Times New Roman" w:eastAsia="標楷體" w:hAnsi="Times New Roman" w:cs="Times New Roman"/>
                <w:color w:val="0070C0"/>
                <w:sz w:val="16"/>
              </w:rPr>
              <w:t>資產總額</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，縮尾處理</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連續營收衰退</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SUCC_DEC</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控制變數</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連續兩年營收下降為</w:t>
            </w:r>
            <w:r w:rsidRPr="00154E7B">
              <w:rPr>
                <w:rFonts w:ascii="Times New Roman" w:eastAsia="標楷體" w:hAnsi="Times New Roman" w:cs="Times New Roman"/>
                <w:color w:val="0070C0"/>
                <w:sz w:val="16"/>
              </w:rPr>
              <w:t xml:space="preserve"> 1</w:t>
            </w:r>
            <w:r w:rsidRPr="00154E7B">
              <w:rPr>
                <w:rFonts w:ascii="Times New Roman" w:eastAsia="標楷體" w:hAnsi="Times New Roman" w:cs="Times New Roman"/>
                <w:color w:val="0070C0"/>
                <w:sz w:val="16"/>
              </w:rPr>
              <w:t>，否則為</w:t>
            </w:r>
            <w:r w:rsidRPr="00154E7B">
              <w:rPr>
                <w:rFonts w:ascii="Times New Roman" w:eastAsia="標楷體" w:hAnsi="Times New Roman" w:cs="Times New Roman"/>
                <w:color w:val="0070C0"/>
                <w:sz w:val="16"/>
              </w:rPr>
              <w:t xml:space="preserve"> 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 (</w:t>
            </w:r>
            <w:r w:rsidRPr="00154E7B">
              <w:rPr>
                <w:rFonts w:ascii="Times New Roman" w:eastAsia="標楷體" w:hAnsi="Times New Roman" w:cs="Times New Roman"/>
                <w:color w:val="0070C0"/>
                <w:sz w:val="16"/>
              </w:rPr>
              <w:t>悲觀修正</w:t>
            </w:r>
            <w:r w:rsidRPr="00154E7B">
              <w:rPr>
                <w:rFonts w:ascii="Times New Roman" w:eastAsia="標楷體" w:hAnsi="Times New Roman" w:cs="Times New Roman"/>
                <w:color w:val="0070C0"/>
                <w:sz w:val="16"/>
              </w:rPr>
              <w:t>)</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註：所有連續型變數均已實施前後</w:t>
      </w:r>
      <w:r w:rsidRPr="00154E7B">
        <w:rPr>
          <w:rFonts w:ascii="Times New Roman" w:eastAsia="標楷體" w:hAnsi="Times New Roman" w:cs="Times New Roman"/>
          <w:color w:val="0070C0"/>
          <w:sz w:val="17"/>
        </w:rPr>
        <w:t xml:space="preserve"> 1% </w:t>
      </w:r>
      <w:r w:rsidRPr="00154E7B">
        <w:rPr>
          <w:rFonts w:ascii="Times New Roman" w:eastAsia="標楷體" w:hAnsi="Times New Roman" w:cs="Times New Roman"/>
          <w:color w:val="0070C0"/>
          <w:sz w:val="17"/>
        </w:rPr>
        <w:t>雙向縮尾處理；控制變數均全數構建與</w:t>
      </w:r>
      <w:r w:rsidRPr="00154E7B">
        <w:rPr>
          <w:rFonts w:ascii="Times New Roman" w:eastAsia="標楷體" w:hAnsi="Times New Roman" w:cs="Times New Roman"/>
          <w:color w:val="0070C0"/>
          <w:sz w:val="17"/>
        </w:rPr>
        <w:t xml:space="preserve"> DEC × dLNREV </w:t>
      </w:r>
      <w:r w:rsidRPr="00154E7B">
        <w:rPr>
          <w:rFonts w:ascii="Times New Roman" w:eastAsia="標楷體" w:hAnsi="Times New Roman" w:cs="Times New Roman"/>
          <w:color w:val="0070C0"/>
          <w:sz w:val="17"/>
        </w:rPr>
        <w:t>之交互作用項。</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第三節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實證迴歸模型設計</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為實證檢驗本文所提出之六項研究假說，本研究以</w:t>
      </w:r>
      <w:r w:rsidRPr="00154E7B">
        <w:rPr>
          <w:rFonts w:ascii="Times New Roman" w:eastAsia="標楷體" w:hAnsi="Times New Roman" w:cs="Times New Roman"/>
          <w:color w:val="0070C0"/>
        </w:rPr>
        <w:t xml:space="preserve"> Anderson, Banker, and Janakiraman (2003) </w:t>
      </w:r>
      <w:r w:rsidRPr="00154E7B">
        <w:rPr>
          <w:rFonts w:ascii="Times New Roman" w:eastAsia="標楷體" w:hAnsi="Times New Roman" w:cs="Times New Roman"/>
          <w:color w:val="0070C0"/>
        </w:rPr>
        <w:t>開創之對數差分模型為基底，將其擴展為多構面環境變數之三重交乘項（</w:t>
      </w:r>
      <w:r w:rsidRPr="00154E7B">
        <w:rPr>
          <w:rFonts w:ascii="Times New Roman" w:eastAsia="標楷體" w:hAnsi="Times New Roman" w:cs="Times New Roman"/>
          <w:color w:val="0070C0"/>
        </w:rPr>
        <w:t>Triple Interaction Terms</w:t>
      </w:r>
      <w:r w:rsidRPr="00154E7B">
        <w:rPr>
          <w:rFonts w:ascii="Times New Roman" w:eastAsia="標楷體" w:hAnsi="Times New Roman" w:cs="Times New Roman"/>
          <w:color w:val="0070C0"/>
        </w:rPr>
        <w:t>）迴歸方程。具體實證計量架構依據假說內涵細分為五大模型體系：</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【模型一：</w:t>
      </w:r>
      <w:r w:rsidRPr="00154E7B">
        <w:rPr>
          <w:rFonts w:ascii="Times New Roman" w:eastAsia="標楷體" w:hAnsi="Times New Roman" w:cs="Times New Roman"/>
          <w:color w:val="0070C0"/>
        </w:rPr>
        <w:t xml:space="preserve">ABJ </w:t>
      </w:r>
      <w:r w:rsidRPr="00154E7B">
        <w:rPr>
          <w:rFonts w:ascii="Times New Roman" w:eastAsia="標楷體" w:hAnsi="Times New Roman" w:cs="Times New Roman"/>
          <w:color w:val="0070C0"/>
        </w:rPr>
        <w:t>基準成本黏性模型】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首先，為確認台灣上市櫃製造業整體樣本是否存在顯著之非對稱費用調整行為，建立基準實證模型</w:t>
      </w:r>
      <w:r w:rsidRPr="00154E7B">
        <w:rPr>
          <w:rFonts w:ascii="Times New Roman" w:eastAsia="標楷體" w:hAnsi="Times New Roman" w:cs="Times New Roman"/>
          <w:color w:val="0070C0"/>
        </w:rPr>
        <w:t xml:space="preserve"> (3-3)</w:t>
      </w:r>
      <w:r w:rsidRPr="00154E7B">
        <w:rPr>
          <w:rFonts w:ascii="Times New Roman" w:eastAsia="標楷體" w:hAnsi="Times New Roman" w:cs="Times New Roman"/>
          <w:color w:val="0070C0"/>
        </w:rPr>
        <w:t>：</w:t>
      </w:r>
    </w:p>
    <w:tbl>
      <w:tblPr>
        <w:tblW w:w="0" w:type="auto"/>
        <w:jc w:val="center"/>
        <w:tblLayout w:type="fixed"/>
        <w:tblLook w:val="04A0" w:firstRow="1" w:lastRow="0" w:firstColumn="1" w:lastColumn="0" w:noHBand="0" w:noVBand="1"/>
      </w:tblPr>
      <w:tblGrid>
        <w:gridCol w:w="7483"/>
        <w:gridCol w:w="1020"/>
      </w:tblGrid>
      <w:tr w:rsidR="00154E7B" w:rsidRPr="00154E7B">
        <w:trPr>
          <w:jc w:val="center"/>
        </w:trPr>
        <w:tc>
          <w:tcPr>
            <w:tcW w:w="7483" w:type="dxa"/>
            <w:vAlign w:val="center"/>
          </w:tcPr>
          <w:p w:rsidR="00AE2003" w:rsidRPr="00154E7B" w:rsidRDefault="007265F6">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0</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nary>
                  <m:naryPr>
                    <m:chr m:val="∑"/>
                    <m:limLoc m:val="subSup"/>
                    <m:grow m:val="1"/>
                    <m:supHide m:val="1"/>
                    <m:ctrlPr>
                      <w:rPr>
                        <w:rFonts w:ascii="Cambria Math" w:hAnsi="Cambria Math"/>
                        <w:color w:val="0070C0"/>
                      </w:rPr>
                    </m:ctrlPr>
                  </m:naryPr>
                  <m:sub>
                    <m:r>
                      <w:rPr>
                        <w:rFonts w:ascii="Cambria Math" w:hAnsi="Cambria Math"/>
                        <w:color w:val="0070C0"/>
                      </w:rPr>
                      <m:t>k</m:t>
                    </m:r>
                  </m:sub>
                  <m:sup/>
                  <m:e/>
                </m:nary>
                <m:sSub>
                  <m:sSubPr>
                    <m:ctrlPr>
                      <w:rPr>
                        <w:rFonts w:ascii="Cambria Math" w:hAnsi="Cambria Math"/>
                        <w:color w:val="0070C0"/>
                      </w:rPr>
                    </m:ctrlPr>
                  </m:sSubPr>
                  <m:e>
                    <m:r>
                      <w:rPr>
                        <w:rFonts w:ascii="Cambria Math" w:hAnsi="Cambria Math"/>
                        <w:color w:val="0070C0"/>
                      </w:rPr>
                      <m:t>γ</m:t>
                    </m:r>
                  </m:e>
                  <m:sub>
                    <m:r>
                      <w:rPr>
                        <w:rFonts w:ascii="Cambria Math" w:hAnsi="Cambria Math"/>
                        <w:color w:val="0070C0"/>
                      </w:rPr>
                      <m:t>k</m:t>
                    </m:r>
                  </m:sub>
                </m:sSub>
                <m:r>
                  <w:rPr>
                    <w:rFonts w:ascii="Cambria Math" w:hAnsi="Cambria Math"/>
                    <w:color w:val="0070C0"/>
                  </w:rPr>
                  <m:t>Contro</m:t>
                </m:r>
                <m:sSub>
                  <m:sSubPr>
                    <m:ctrlPr>
                      <w:rPr>
                        <w:rFonts w:ascii="Cambria Math" w:hAnsi="Cambria Math"/>
                        <w:color w:val="0070C0"/>
                      </w:rPr>
                    </m:ctrlPr>
                  </m:sSubPr>
                  <m:e>
                    <m:r>
                      <w:rPr>
                        <w:rFonts w:ascii="Cambria Math" w:hAnsi="Cambria Math"/>
                        <w:color w:val="0070C0"/>
                      </w:rPr>
                      <m:t>l</m:t>
                    </m:r>
                  </m:e>
                  <m:sub>
                    <m:r>
                      <w:rPr>
                        <w:rFonts w:ascii="Cambria Math" w:hAnsi="Cambria Math"/>
                        <w:color w:val="0070C0"/>
                      </w:rPr>
                      <m:t>k,i,t</m:t>
                    </m:r>
                  </m:sub>
                </m:sSub>
                <m:r>
                  <w:rPr>
                    <w:rFonts w:ascii="Cambria Math" w:hAnsi="Cambria Math"/>
                    <w:color w:val="0070C0"/>
                  </w:rPr>
                  <m:t>+</m:t>
                </m:r>
                <m:nary>
                  <m:naryPr>
                    <m:chr m:val="∑"/>
                    <m:limLoc m:val="subSup"/>
                    <m:grow m:val="1"/>
                    <m:supHide m:val="1"/>
                    <m:ctrlPr>
                      <w:rPr>
                        <w:rFonts w:ascii="Cambria Math" w:hAnsi="Cambria Math"/>
                        <w:color w:val="0070C0"/>
                      </w:rPr>
                    </m:ctrlPr>
                  </m:naryPr>
                  <m:sub>
                    <m:r>
                      <w:rPr>
                        <w:rFonts w:ascii="Cambria Math" w:hAnsi="Cambria Math"/>
                        <w:color w:val="0070C0"/>
                      </w:rPr>
                      <m:t>k</m:t>
                    </m:r>
                  </m:sub>
                  <m:sup/>
                  <m:e/>
                </m:nary>
                <m:sSub>
                  <m:sSubPr>
                    <m:ctrlPr>
                      <w:rPr>
                        <w:rFonts w:ascii="Cambria Math" w:hAnsi="Cambria Math"/>
                        <w:color w:val="0070C0"/>
                      </w:rPr>
                    </m:ctrlPr>
                  </m:sSubPr>
                  <m:e>
                    <m:r>
                      <w:rPr>
                        <w:rFonts w:ascii="Cambria Math" w:hAnsi="Cambria Math"/>
                        <w:color w:val="0070C0"/>
                      </w:rPr>
                      <m:t>δ</m:t>
                    </m:r>
                  </m:e>
                  <m:sub>
                    <m:r>
                      <w:rPr>
                        <w:rFonts w:ascii="Cambria Math" w:hAnsi="Cambria Math"/>
                        <w:color w:val="0070C0"/>
                      </w:rPr>
                      <m:t>k</m:t>
                    </m:r>
                  </m:sub>
                </m:sSub>
                <m:r>
                  <w:rPr>
                    <w:rFonts w:ascii="Cambria Math" w:hAnsi="Cambria Math"/>
                    <w:color w:val="0070C0"/>
                  </w:rPr>
                  <m:t>(Contro</m:t>
                </m:r>
                <m:sSub>
                  <m:sSubPr>
                    <m:ctrlPr>
                      <w:rPr>
                        <w:rFonts w:ascii="Cambria Math" w:hAnsi="Cambria Math"/>
                        <w:color w:val="0070C0"/>
                      </w:rPr>
                    </m:ctrlPr>
                  </m:sSubPr>
                  <m:e>
                    <m:r>
                      <w:rPr>
                        <w:rFonts w:ascii="Cambria Math" w:hAnsi="Cambria Math"/>
                        <w:color w:val="0070C0"/>
                      </w:rPr>
                      <m:t>l</m:t>
                    </m:r>
                  </m:e>
                  <m:sub>
                    <m:r>
                      <w:rPr>
                        <w:rFonts w:ascii="Cambria Math" w:hAnsi="Cambria Math"/>
                        <w:color w:val="0070C0"/>
                      </w:rPr>
                      <m:t>k,i,t</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i,t</m:t>
                    </m:r>
                  </m:sub>
                </m:sSub>
              </m:oMath>
            </m:oMathPara>
          </w:p>
        </w:tc>
        <w:tc>
          <w:tcPr>
            <w:tcW w:w="1020" w:type="dxa"/>
            <w:vAlign w:val="center"/>
          </w:tcPr>
          <w:p w:rsidR="00AE2003" w:rsidRPr="00154E7B" w:rsidRDefault="007265F6">
            <w:pPr>
              <w:spacing w:before="80" w:after="80"/>
              <w:jc w:val="right"/>
              <w:rPr>
                <w:color w:val="0070C0"/>
              </w:rPr>
            </w:pPr>
            <w:r w:rsidRPr="00154E7B">
              <w:rPr>
                <w:rFonts w:ascii="Times New Roman" w:hAnsi="Times New Roman"/>
                <w:color w:val="0070C0"/>
                <w:sz w:val="22"/>
              </w:rPr>
              <w:t>(3-3)</w:t>
            </w:r>
          </w:p>
        </w:tc>
      </w:tr>
    </w:tbl>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在模型</w:t>
      </w:r>
      <w:r w:rsidRPr="00154E7B">
        <w:rPr>
          <w:rFonts w:ascii="Times New Roman" w:eastAsia="標楷體" w:hAnsi="Times New Roman" w:cs="Times New Roman"/>
          <w:color w:val="0070C0"/>
        </w:rPr>
        <w:t xml:space="preserve"> (3-3) </w:t>
      </w:r>
      <w:r w:rsidRPr="00154E7B">
        <w:rPr>
          <w:rFonts w:ascii="Times New Roman" w:eastAsia="標楷體" w:hAnsi="Times New Roman" w:cs="Times New Roman"/>
          <w:color w:val="0070C0"/>
        </w:rPr>
        <w:t>中，若</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顯著為負，則證實基準成本黏性存在；若</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等於</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，則費用調整呈現古典線性對稱。</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【模型二與模型三：當期水資源與廢棄物調節模型】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為檢驗假說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H1b</w:t>
      </w:r>
      <w:r w:rsidRPr="00154E7B">
        <w:rPr>
          <w:rFonts w:ascii="Times New Roman" w:eastAsia="標楷體" w:hAnsi="Times New Roman" w:cs="Times New Roman"/>
          <w:color w:val="0070C0"/>
        </w:rPr>
        <w:t>（水資源構面）與假說</w:t>
      </w:r>
      <w:r w:rsidRPr="00154E7B">
        <w:rPr>
          <w:rFonts w:ascii="Times New Roman" w:eastAsia="標楷體" w:hAnsi="Times New Roman" w:cs="Times New Roman"/>
          <w:color w:val="0070C0"/>
        </w:rPr>
        <w:t xml:space="preserve"> H2a</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H2b</w:t>
      </w:r>
      <w:r w:rsidRPr="00154E7B">
        <w:rPr>
          <w:rFonts w:ascii="Times New Roman" w:eastAsia="標楷體" w:hAnsi="Times New Roman" w:cs="Times New Roman"/>
          <w:color w:val="0070C0"/>
        </w:rPr>
        <w:t>（廢棄物構面），本研究將各項環境測試變數（</w:t>
      </w:r>
      <w:r w:rsidRPr="00154E7B">
        <w:rPr>
          <w:rFonts w:ascii="Times New Roman" w:eastAsia="標楷體" w:hAnsi="Times New Roman" w:cs="Times New Roman"/>
          <w:color w:val="0070C0"/>
        </w:rPr>
        <w:t>Env_Var</w:t>
      </w:r>
      <w:r w:rsidRPr="00154E7B">
        <w:rPr>
          <w:rFonts w:ascii="Times New Roman" w:eastAsia="標楷體" w:hAnsi="Times New Roman" w:cs="Times New Roman"/>
          <w:color w:val="0070C0"/>
        </w:rPr>
        <w:t>）分別代入模型，構建核心三重交乘項迴歸方程式</w:t>
      </w:r>
      <w:r w:rsidRPr="00154E7B">
        <w:rPr>
          <w:rFonts w:ascii="Times New Roman" w:eastAsia="標楷體" w:hAnsi="Times New Roman" w:cs="Times New Roman"/>
          <w:color w:val="0070C0"/>
        </w:rPr>
        <w:t xml:space="preserve"> (3-4)</w:t>
      </w:r>
      <w:r w:rsidRPr="00154E7B">
        <w:rPr>
          <w:rFonts w:ascii="Times New Roman" w:eastAsia="標楷體" w:hAnsi="Times New Roman" w:cs="Times New Roman"/>
          <w:color w:val="0070C0"/>
        </w:rPr>
        <w:t>：</w:t>
      </w:r>
    </w:p>
    <w:tbl>
      <w:tblPr>
        <w:tblW w:w="0" w:type="auto"/>
        <w:jc w:val="center"/>
        <w:tblLayout w:type="fixed"/>
        <w:tblLook w:val="04A0" w:firstRow="1" w:lastRow="0" w:firstColumn="1" w:lastColumn="0" w:noHBand="0" w:noVBand="1"/>
      </w:tblPr>
      <w:tblGrid>
        <w:gridCol w:w="7483"/>
        <w:gridCol w:w="1020"/>
      </w:tblGrid>
      <w:tr w:rsidR="00154E7B" w:rsidRPr="00154E7B">
        <w:trPr>
          <w:jc w:val="center"/>
        </w:trPr>
        <w:tc>
          <w:tcPr>
            <w:tcW w:w="7483" w:type="dxa"/>
            <w:vAlign w:val="center"/>
          </w:tcPr>
          <w:p w:rsidR="00AE2003" w:rsidRPr="00154E7B" w:rsidRDefault="007265F6">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0</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(Env_Va</m:t>
                </m:r>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i,t</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4</m:t>
                    </m:r>
                  </m:sub>
                </m:sSub>
                <m:r>
                  <w:rPr>
                    <w:rFonts w:ascii="Cambria Math" w:hAnsi="Cambria Math"/>
                    <w:color w:val="0070C0"/>
                  </w:rPr>
                  <m:t>Env_Va</m:t>
                </m:r>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i,t</m:t>
                    </m:r>
                  </m:sub>
                </m:sSub>
                <m:r>
                  <w:rPr>
                    <w:rFonts w:ascii="Cambria Math" w:hAnsi="Cambria Math"/>
                    <w:color w:val="0070C0"/>
                  </w:rPr>
                  <m:t>+</m:t>
                </m:r>
                <m:nary>
                  <m:naryPr>
                    <m:chr m:val="∑"/>
                    <m:limLoc m:val="subSup"/>
                    <m:grow m:val="1"/>
                    <m:supHide m:val="1"/>
                    <m:ctrlPr>
                      <w:rPr>
                        <w:rFonts w:ascii="Cambria Math" w:hAnsi="Cambria Math"/>
                        <w:color w:val="0070C0"/>
                      </w:rPr>
                    </m:ctrlPr>
                  </m:naryPr>
                  <m:sub>
                    <m:r>
                      <w:rPr>
                        <w:rFonts w:ascii="Cambria Math" w:hAnsi="Cambria Math"/>
                        <w:color w:val="0070C0"/>
                      </w:rPr>
                      <m:t>k</m:t>
                    </m:r>
                  </m:sub>
                  <m:sup/>
                  <m:e/>
                </m:nary>
                <m:sSub>
                  <m:sSubPr>
                    <m:ctrlPr>
                      <w:rPr>
                        <w:rFonts w:ascii="Cambria Math" w:hAnsi="Cambria Math"/>
                        <w:color w:val="0070C0"/>
                      </w:rPr>
                    </m:ctrlPr>
                  </m:sSubPr>
                  <m:e>
                    <m:r>
                      <w:rPr>
                        <w:rFonts w:ascii="Cambria Math" w:hAnsi="Cambria Math"/>
                        <w:color w:val="0070C0"/>
                      </w:rPr>
                      <m:t>γ</m:t>
                    </m:r>
                  </m:e>
                  <m:sub>
                    <m:r>
                      <w:rPr>
                        <w:rFonts w:ascii="Cambria Math" w:hAnsi="Cambria Math"/>
                        <w:color w:val="0070C0"/>
                      </w:rPr>
                      <m:t>k</m:t>
                    </m:r>
                  </m:sub>
                </m:sSub>
                <m:r>
                  <w:rPr>
                    <w:rFonts w:ascii="Cambria Math" w:hAnsi="Cambria Math"/>
                    <w:color w:val="0070C0"/>
                  </w:rPr>
                  <m:t>Contro</m:t>
                </m:r>
                <m:sSub>
                  <m:sSubPr>
                    <m:ctrlPr>
                      <w:rPr>
                        <w:rFonts w:ascii="Cambria Math" w:hAnsi="Cambria Math"/>
                        <w:color w:val="0070C0"/>
                      </w:rPr>
                    </m:ctrlPr>
                  </m:sSubPr>
                  <m:e>
                    <m:r>
                      <w:rPr>
                        <w:rFonts w:ascii="Cambria Math" w:hAnsi="Cambria Math"/>
                        <w:color w:val="0070C0"/>
                      </w:rPr>
                      <m:t>l</m:t>
                    </m:r>
                  </m:e>
                  <m:sub>
                    <m:r>
                      <w:rPr>
                        <w:rFonts w:ascii="Cambria Math" w:hAnsi="Cambria Math"/>
                        <w:color w:val="0070C0"/>
                      </w:rPr>
                      <m:t>k,i,t</m:t>
                    </m:r>
                  </m:sub>
                </m:sSub>
                <m:r>
                  <w:rPr>
                    <w:rFonts w:ascii="Cambria Math" w:hAnsi="Cambria Math"/>
                    <w:color w:val="0070C0"/>
                  </w:rPr>
                  <m:t>+</m:t>
                </m:r>
                <m:nary>
                  <m:naryPr>
                    <m:chr m:val="∑"/>
                    <m:limLoc m:val="subSup"/>
                    <m:grow m:val="1"/>
                    <m:supHide m:val="1"/>
                    <m:ctrlPr>
                      <w:rPr>
                        <w:rFonts w:ascii="Cambria Math" w:hAnsi="Cambria Math"/>
                        <w:color w:val="0070C0"/>
                      </w:rPr>
                    </m:ctrlPr>
                  </m:naryPr>
                  <m:sub>
                    <m:r>
                      <w:rPr>
                        <w:rFonts w:ascii="Cambria Math" w:hAnsi="Cambria Math"/>
                        <w:color w:val="0070C0"/>
                      </w:rPr>
                      <m:t>k</m:t>
                    </m:r>
                  </m:sub>
                  <m:sup/>
                  <m:e/>
                </m:nary>
                <m:sSub>
                  <m:sSubPr>
                    <m:ctrlPr>
                      <w:rPr>
                        <w:rFonts w:ascii="Cambria Math" w:hAnsi="Cambria Math"/>
                        <w:color w:val="0070C0"/>
                      </w:rPr>
                    </m:ctrlPr>
                  </m:sSubPr>
                  <m:e>
                    <m:r>
                      <w:rPr>
                        <w:rFonts w:ascii="Cambria Math" w:hAnsi="Cambria Math"/>
                        <w:color w:val="0070C0"/>
                      </w:rPr>
                      <m:t>δ</m:t>
                    </m:r>
                  </m:e>
                  <m:sub>
                    <m:r>
                      <w:rPr>
                        <w:rFonts w:ascii="Cambria Math" w:hAnsi="Cambria Math"/>
                        <w:color w:val="0070C0"/>
                      </w:rPr>
                      <m:t>k</m:t>
                    </m:r>
                  </m:sub>
                </m:sSub>
                <m:r>
                  <w:rPr>
                    <w:rFonts w:ascii="Cambria Math" w:hAnsi="Cambria Math"/>
                    <w:color w:val="0070C0"/>
                  </w:rPr>
                  <m:t>(Contro</m:t>
                </m:r>
                <m:sSub>
                  <m:sSubPr>
                    <m:ctrlPr>
                      <w:rPr>
                        <w:rFonts w:ascii="Cambria Math" w:hAnsi="Cambria Math"/>
                        <w:color w:val="0070C0"/>
                      </w:rPr>
                    </m:ctrlPr>
                  </m:sSubPr>
                  <m:e>
                    <m:r>
                      <w:rPr>
                        <w:rFonts w:ascii="Cambria Math" w:hAnsi="Cambria Math"/>
                        <w:color w:val="0070C0"/>
                      </w:rPr>
                      <m:t>l</m:t>
                    </m:r>
                  </m:e>
                  <m:sub>
                    <m:r>
                      <w:rPr>
                        <w:rFonts w:ascii="Cambria Math" w:hAnsi="Cambria Math"/>
                        <w:color w:val="0070C0"/>
                      </w:rPr>
                      <m:t>k,i,t</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i,t</m:t>
                    </m:r>
                  </m:sub>
                </m:sSub>
              </m:oMath>
            </m:oMathPara>
          </w:p>
        </w:tc>
        <w:tc>
          <w:tcPr>
            <w:tcW w:w="1020" w:type="dxa"/>
            <w:vAlign w:val="center"/>
          </w:tcPr>
          <w:p w:rsidR="00AE2003" w:rsidRPr="00154E7B" w:rsidRDefault="007265F6">
            <w:pPr>
              <w:spacing w:before="80" w:after="80"/>
              <w:jc w:val="right"/>
              <w:rPr>
                <w:color w:val="0070C0"/>
              </w:rPr>
            </w:pPr>
            <w:r w:rsidRPr="00154E7B">
              <w:rPr>
                <w:rFonts w:ascii="Times New Roman" w:hAnsi="Times New Roman"/>
                <w:color w:val="0070C0"/>
                <w:sz w:val="22"/>
              </w:rPr>
              <w:t>(3-4)</w:t>
            </w:r>
          </w:p>
        </w:tc>
      </w:tr>
    </w:tbl>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在上述方程中，核心關注之估計參數為三重交乘項之係數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 xml:space="preserve">1. </w:t>
      </w:r>
      <w:r w:rsidRPr="00154E7B">
        <w:rPr>
          <w:rFonts w:ascii="Times New Roman" w:eastAsia="標楷體" w:hAnsi="Times New Roman" w:cs="Times New Roman"/>
          <w:color w:val="0070C0"/>
        </w:rPr>
        <w:t>當測試變數</w:t>
      </w:r>
      <w:r w:rsidRPr="00154E7B">
        <w:rPr>
          <w:rFonts w:ascii="Times New Roman" w:eastAsia="標楷體" w:hAnsi="Times New Roman" w:cs="Times New Roman"/>
          <w:color w:val="0070C0"/>
        </w:rPr>
        <w:t xml:space="preserve"> Env_Var </w:t>
      </w:r>
      <w:r w:rsidRPr="00154E7B">
        <w:rPr>
          <w:rFonts w:ascii="Times New Roman" w:eastAsia="標楷體" w:hAnsi="Times New Roman" w:cs="Times New Roman"/>
          <w:color w:val="0070C0"/>
        </w:rPr>
        <w:t>為實質專用投入指標（水回收率</w:t>
      </w:r>
      <w:r w:rsidRPr="00154E7B">
        <w:rPr>
          <w:rFonts w:ascii="Times New Roman" w:eastAsia="標楷體" w:hAnsi="Times New Roman" w:cs="Times New Roman"/>
          <w:color w:val="0070C0"/>
        </w:rPr>
        <w:t xml:space="preserve"> WATER_RATE</w:t>
      </w:r>
      <w:r w:rsidRPr="00154E7B">
        <w:rPr>
          <w:rFonts w:ascii="Times New Roman" w:eastAsia="標楷體" w:hAnsi="Times New Roman" w:cs="Times New Roman"/>
          <w:color w:val="0070C0"/>
        </w:rPr>
        <w:t>、廢棄物密集度</w:t>
      </w:r>
      <w:r w:rsidRPr="00154E7B">
        <w:rPr>
          <w:rFonts w:ascii="Times New Roman" w:eastAsia="標楷體" w:hAnsi="Times New Roman" w:cs="Times New Roman"/>
          <w:color w:val="0070C0"/>
        </w:rPr>
        <w:t xml:space="preserve"> WASTE_INTENSITY </w:t>
      </w:r>
      <w:r w:rsidRPr="00154E7B">
        <w:rPr>
          <w:rFonts w:ascii="Times New Roman" w:eastAsia="標楷體" w:hAnsi="Times New Roman" w:cs="Times New Roman"/>
          <w:color w:val="0070C0"/>
        </w:rPr>
        <w:t>或違規裁罰</w:t>
      </w:r>
      <w:r w:rsidRPr="00154E7B">
        <w:rPr>
          <w:rFonts w:ascii="Times New Roman" w:eastAsia="標楷體" w:hAnsi="Times New Roman" w:cs="Times New Roman"/>
          <w:color w:val="0070C0"/>
        </w:rPr>
        <w:t xml:space="preserve"> WASTE_FINE</w:t>
      </w:r>
      <w:r w:rsidRPr="00154E7B">
        <w:rPr>
          <w:rFonts w:ascii="Times New Roman" w:eastAsia="標楷體" w:hAnsi="Times New Roman" w:cs="Times New Roman"/>
          <w:color w:val="0070C0"/>
        </w:rPr>
        <w:t>）時，若</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估計值顯著小於</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&lt;0</m:t>
        </m:r>
      </m:oMath>
      <w:r w:rsidRPr="00154E7B">
        <w:rPr>
          <w:rFonts w:ascii="Times New Roman" w:eastAsia="標楷體" w:hAnsi="Times New Roman" w:cs="Times New Roman"/>
          <w:color w:val="0070C0"/>
        </w:rPr>
        <w:t>），則代表該環境要素進一步擴大了下行調整不足之幅度，即顯著加劇了成本黏性，支持假說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H2a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H2b</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lastRenderedPageBreak/>
        <w:t xml:space="preserve">2. </w:t>
      </w:r>
      <w:r w:rsidRPr="00154E7B">
        <w:rPr>
          <w:rFonts w:ascii="Times New Roman" w:eastAsia="標楷體" w:hAnsi="Times New Roman" w:cs="Times New Roman"/>
          <w:color w:val="0070C0"/>
        </w:rPr>
        <w:t>當測試變數</w:t>
      </w:r>
      <w:r w:rsidRPr="00154E7B">
        <w:rPr>
          <w:rFonts w:ascii="Times New Roman" w:eastAsia="標楷體" w:hAnsi="Times New Roman" w:cs="Times New Roman"/>
          <w:color w:val="0070C0"/>
        </w:rPr>
        <w:t xml:space="preserve"> Env_Var </w:t>
      </w:r>
      <w:r w:rsidRPr="00154E7B">
        <w:rPr>
          <w:rFonts w:ascii="Times New Roman" w:eastAsia="標楷體" w:hAnsi="Times New Roman" w:cs="Times New Roman"/>
          <w:color w:val="0070C0"/>
        </w:rPr>
        <w:t>為資訊透明度指標（水資源揭露</w:t>
      </w:r>
      <w:r w:rsidRPr="00154E7B">
        <w:rPr>
          <w:rFonts w:ascii="Times New Roman" w:eastAsia="標楷體" w:hAnsi="Times New Roman" w:cs="Times New Roman"/>
          <w:color w:val="0070C0"/>
        </w:rPr>
        <w:t xml:space="preserve"> WATER_DISC </w:t>
      </w:r>
      <w:r w:rsidRPr="00154E7B">
        <w:rPr>
          <w:rFonts w:ascii="Times New Roman" w:eastAsia="標楷體" w:hAnsi="Times New Roman" w:cs="Times New Roman"/>
          <w:color w:val="0070C0"/>
        </w:rPr>
        <w:t>或廢棄物揭露品質</w:t>
      </w:r>
      <w:r w:rsidRPr="00154E7B">
        <w:rPr>
          <w:rFonts w:ascii="Times New Roman" w:eastAsia="標楷體" w:hAnsi="Times New Roman" w:cs="Times New Roman"/>
          <w:color w:val="0070C0"/>
        </w:rPr>
        <w:t xml:space="preserve"> WASTE_DISC</w:t>
      </w:r>
      <w:r w:rsidRPr="00154E7B">
        <w:rPr>
          <w:rFonts w:ascii="Times New Roman" w:eastAsia="標楷體" w:hAnsi="Times New Roman" w:cs="Times New Roman"/>
          <w:color w:val="0070C0"/>
        </w:rPr>
        <w:t>）時，若</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估計值顯著大於</w:t>
      </w:r>
      <w:r w:rsidRPr="00154E7B">
        <w:rPr>
          <w:rFonts w:ascii="Times New Roman" w:eastAsia="標楷體" w:hAnsi="Times New Roman" w:cs="Times New Roman"/>
          <w:color w:val="0070C0"/>
        </w:rPr>
        <w:t xml:space="preserve"> 0</w:t>
      </w:r>
      <w:r w:rsidRPr="00154E7B">
        <w:rPr>
          <w:rFonts w:ascii="Times New Roman" w:eastAsia="標楷體" w:hAnsi="Times New Roman" w:cs="Times New Roman"/>
          <w:color w:val="0070C0"/>
        </w:rPr>
        <w:t>（</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&gt;0</m:t>
        </m:r>
      </m:oMath>
      <w:r w:rsidRPr="00154E7B">
        <w:rPr>
          <w:rFonts w:ascii="Times New Roman" w:eastAsia="標楷體" w:hAnsi="Times New Roman" w:cs="Times New Roman"/>
          <w:color w:val="0070C0"/>
        </w:rPr>
        <w:t>），則代表主動揭露資訊減弱了費用非對稱性，即顯著緩解了成本黏性，支持假說</w:t>
      </w:r>
      <w:r w:rsidRPr="00154E7B">
        <w:rPr>
          <w:rFonts w:ascii="Times New Roman" w:eastAsia="標楷體" w:hAnsi="Times New Roman" w:cs="Times New Roman"/>
          <w:color w:val="0070C0"/>
        </w:rPr>
        <w:t xml:space="preserve"> H1b</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【模型四：動態時間落差效應模型】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為驗證假說</w:t>
      </w:r>
      <w:r w:rsidRPr="00154E7B">
        <w:rPr>
          <w:rFonts w:ascii="Times New Roman" w:eastAsia="標楷體" w:hAnsi="Times New Roman" w:cs="Times New Roman"/>
          <w:color w:val="0070C0"/>
        </w:rPr>
        <w:t xml:space="preserve"> H3a</w:t>
      </w:r>
      <w:r w:rsidRPr="00154E7B">
        <w:rPr>
          <w:rFonts w:ascii="Times New Roman" w:eastAsia="標楷體" w:hAnsi="Times New Roman" w:cs="Times New Roman"/>
          <w:color w:val="0070C0"/>
        </w:rPr>
        <w:t>，檢驗環境資源投入是否具有跨年度之遞延累積拘束特性，本研究將模型中的環境變數分別替換為落後一期（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）與落後兩期（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）之歷史數值，建立動態時間遞延實證模型</w:t>
      </w:r>
      <w:r w:rsidRPr="00154E7B">
        <w:rPr>
          <w:rFonts w:ascii="Times New Roman" w:eastAsia="標楷體" w:hAnsi="Times New Roman" w:cs="Times New Roman"/>
          <w:color w:val="0070C0"/>
        </w:rPr>
        <w:t xml:space="preserve"> (3-5)</w:t>
      </w:r>
      <w:r w:rsidRPr="00154E7B">
        <w:rPr>
          <w:rFonts w:ascii="Times New Roman" w:eastAsia="標楷體" w:hAnsi="Times New Roman" w:cs="Times New Roman"/>
          <w:color w:val="0070C0"/>
        </w:rPr>
        <w:t>：</w:t>
      </w:r>
    </w:p>
    <w:tbl>
      <w:tblPr>
        <w:tblW w:w="0" w:type="auto"/>
        <w:jc w:val="center"/>
        <w:tblLayout w:type="fixed"/>
        <w:tblLook w:val="04A0" w:firstRow="1" w:lastRow="0" w:firstColumn="1" w:lastColumn="0" w:noHBand="0" w:noVBand="1"/>
      </w:tblPr>
      <w:tblGrid>
        <w:gridCol w:w="7483"/>
        <w:gridCol w:w="1020"/>
      </w:tblGrid>
      <w:tr w:rsidR="00154E7B" w:rsidRPr="00154E7B">
        <w:trPr>
          <w:jc w:val="center"/>
        </w:trPr>
        <w:tc>
          <w:tcPr>
            <w:tcW w:w="7483" w:type="dxa"/>
            <w:vAlign w:val="center"/>
          </w:tcPr>
          <w:p w:rsidR="00AE2003" w:rsidRPr="00154E7B" w:rsidRDefault="007265F6">
            <w:pPr>
              <w:spacing w:before="80" w:after="80"/>
              <w:jc w:val="center"/>
              <w:rPr>
                <w:color w:val="0070C0"/>
              </w:rPr>
            </w:pPr>
            <m:oMathPara>
              <m:oMath>
                <m:r>
                  <w:rPr>
                    <w:rFonts w:ascii="Cambria Math" w:hAnsi="Cambria Math"/>
                    <w:color w:val="0070C0"/>
                  </w:rPr>
                  <m:t>Δ</m:t>
                </m:r>
                <m:r>
                  <m:rPr>
                    <m:sty m:val="p"/>
                  </m:rPr>
                  <w:rPr>
                    <w:rFonts w:ascii="Cambria Math" w:hAnsi="Cambria Math"/>
                    <w:color w:val="0070C0"/>
                  </w:rPr>
                  <m:t>ln</m:t>
                </m:r>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0</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3,lag</m:t>
                    </m:r>
                  </m:sub>
                </m:sSub>
                <m:r>
                  <w:rPr>
                    <w:rFonts w:ascii="Cambria Math" w:hAnsi="Cambria Math"/>
                    <w:color w:val="0070C0"/>
                  </w:rPr>
                  <m:t>(Env_Va</m:t>
                </m:r>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i,t-m</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4,lag</m:t>
                    </m:r>
                  </m:sub>
                </m:sSub>
                <m:r>
                  <w:rPr>
                    <w:rFonts w:ascii="Cambria Math" w:hAnsi="Cambria Math"/>
                    <w:color w:val="0070C0"/>
                  </w:rPr>
                  <m:t>Ev_Va</m:t>
                </m:r>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i,t-m</m:t>
                    </m:r>
                  </m:sub>
                </m:sSub>
                <m:r>
                  <w:rPr>
                    <w:rFonts w:ascii="Cambria Math" w:hAnsi="Cambria Math"/>
                    <w:color w:val="0070C0"/>
                  </w:rPr>
                  <m:t>+</m:t>
                </m:r>
                <m:nary>
                  <m:naryPr>
                    <m:chr m:val="∑"/>
                    <m:limLoc m:val="subSup"/>
                    <m:grow m:val="1"/>
                    <m:supHide m:val="1"/>
                    <m:ctrlPr>
                      <w:rPr>
                        <w:rFonts w:ascii="Cambria Math" w:hAnsi="Cambria Math"/>
                        <w:color w:val="0070C0"/>
                      </w:rPr>
                    </m:ctrlPr>
                  </m:naryPr>
                  <m:sub>
                    <m:r>
                      <w:rPr>
                        <w:rFonts w:ascii="Cambria Math" w:hAnsi="Cambria Math"/>
                        <w:color w:val="0070C0"/>
                      </w:rPr>
                      <m:t>k</m:t>
                    </m:r>
                  </m:sub>
                  <m:sup/>
                  <m:e/>
                </m:nary>
                <m:sSub>
                  <m:sSubPr>
                    <m:ctrlPr>
                      <w:rPr>
                        <w:rFonts w:ascii="Cambria Math" w:hAnsi="Cambria Math"/>
                        <w:color w:val="0070C0"/>
                      </w:rPr>
                    </m:ctrlPr>
                  </m:sSubPr>
                  <m:e>
                    <m:r>
                      <w:rPr>
                        <w:rFonts w:ascii="Cambria Math" w:hAnsi="Cambria Math"/>
                        <w:color w:val="0070C0"/>
                      </w:rPr>
                      <m:t>γ</m:t>
                    </m:r>
                  </m:e>
                  <m:sub>
                    <m:r>
                      <w:rPr>
                        <w:rFonts w:ascii="Cambria Math" w:hAnsi="Cambria Math"/>
                        <w:color w:val="0070C0"/>
                      </w:rPr>
                      <m:t>k</m:t>
                    </m:r>
                  </m:sub>
                </m:sSub>
                <m:r>
                  <w:rPr>
                    <w:rFonts w:ascii="Cambria Math" w:hAnsi="Cambria Math"/>
                    <w:color w:val="0070C0"/>
                  </w:rPr>
                  <m:t>Contro</m:t>
                </m:r>
                <m:sSub>
                  <m:sSubPr>
                    <m:ctrlPr>
                      <w:rPr>
                        <w:rFonts w:ascii="Cambria Math" w:hAnsi="Cambria Math"/>
                        <w:color w:val="0070C0"/>
                      </w:rPr>
                    </m:ctrlPr>
                  </m:sSubPr>
                  <m:e>
                    <m:r>
                      <w:rPr>
                        <w:rFonts w:ascii="Cambria Math" w:hAnsi="Cambria Math"/>
                        <w:color w:val="0070C0"/>
                      </w:rPr>
                      <m:t>l</m:t>
                    </m:r>
                  </m:e>
                  <m:sub>
                    <m:r>
                      <w:rPr>
                        <w:rFonts w:ascii="Cambria Math" w:hAnsi="Cambria Math"/>
                        <w:color w:val="0070C0"/>
                      </w:rPr>
                      <m:t>k,i,t</m:t>
                    </m:r>
                  </m:sub>
                </m:sSub>
                <m:r>
                  <w:rPr>
                    <w:rFonts w:ascii="Cambria Math" w:hAnsi="Cambria Math"/>
                    <w:color w:val="0070C0"/>
                  </w:rPr>
                  <m:t>+</m:t>
                </m:r>
                <m:nary>
                  <m:naryPr>
                    <m:chr m:val="∑"/>
                    <m:limLoc m:val="subSup"/>
                    <m:grow m:val="1"/>
                    <m:supHide m:val="1"/>
                    <m:ctrlPr>
                      <w:rPr>
                        <w:rFonts w:ascii="Cambria Math" w:hAnsi="Cambria Math"/>
                        <w:color w:val="0070C0"/>
                      </w:rPr>
                    </m:ctrlPr>
                  </m:naryPr>
                  <m:sub>
                    <m:r>
                      <w:rPr>
                        <w:rFonts w:ascii="Cambria Math" w:hAnsi="Cambria Math"/>
                        <w:color w:val="0070C0"/>
                      </w:rPr>
                      <m:t>k</m:t>
                    </m:r>
                  </m:sub>
                  <m:sup/>
                  <m:e/>
                </m:nary>
                <m:sSub>
                  <m:sSubPr>
                    <m:ctrlPr>
                      <w:rPr>
                        <w:rFonts w:ascii="Cambria Math" w:hAnsi="Cambria Math"/>
                        <w:color w:val="0070C0"/>
                      </w:rPr>
                    </m:ctrlPr>
                  </m:sSubPr>
                  <m:e>
                    <m:r>
                      <w:rPr>
                        <w:rFonts w:ascii="Cambria Math" w:hAnsi="Cambria Math"/>
                        <w:color w:val="0070C0"/>
                      </w:rPr>
                      <m:t>δ</m:t>
                    </m:r>
                  </m:e>
                  <m:sub>
                    <m:r>
                      <w:rPr>
                        <w:rFonts w:ascii="Cambria Math" w:hAnsi="Cambria Math"/>
                        <w:color w:val="0070C0"/>
                      </w:rPr>
                      <m:t>k</m:t>
                    </m:r>
                  </m:sub>
                </m:sSub>
                <m:r>
                  <w:rPr>
                    <w:rFonts w:ascii="Cambria Math" w:hAnsi="Cambria Math"/>
                    <w:color w:val="0070C0"/>
                  </w:rPr>
                  <m:t>(Contro</m:t>
                </m:r>
                <m:sSub>
                  <m:sSubPr>
                    <m:ctrlPr>
                      <w:rPr>
                        <w:rFonts w:ascii="Cambria Math" w:hAnsi="Cambria Math"/>
                        <w:color w:val="0070C0"/>
                      </w:rPr>
                    </m:ctrlPr>
                  </m:sSubPr>
                  <m:e>
                    <m:r>
                      <w:rPr>
                        <w:rFonts w:ascii="Cambria Math" w:hAnsi="Cambria Math"/>
                        <w:color w:val="0070C0"/>
                      </w:rPr>
                      <m:t>l</m:t>
                    </m:r>
                  </m:e>
                  <m:sub>
                    <m:r>
                      <w:rPr>
                        <w:rFonts w:ascii="Cambria Math" w:hAnsi="Cambria Math"/>
                        <w:color w:val="0070C0"/>
                      </w:rPr>
                      <m:t>k,i,t</m:t>
                    </m:r>
                  </m:sub>
                </m:sSub>
                <m:r>
                  <w:rPr>
                    <w:rFonts w:ascii="Cambria Math" w:hAnsi="Cambria Math"/>
                    <w:color w:val="0070C0"/>
                  </w:rPr>
                  <m:t>×DE</m:t>
                </m:r>
                <m:sSub>
                  <m:sSubPr>
                    <m:ctrlPr>
                      <w:rPr>
                        <w:rFonts w:ascii="Cambria Math" w:hAnsi="Cambria Math"/>
                        <w:color w:val="0070C0"/>
                      </w:rPr>
                    </m:ctrlPr>
                  </m:sSubPr>
                  <m:e>
                    <m:r>
                      <w:rPr>
                        <w:rFonts w:ascii="Cambria Math" w:hAnsi="Cambria Math"/>
                        <w:color w:val="0070C0"/>
                      </w:rPr>
                      <m:t>C</m:t>
                    </m:r>
                  </m:e>
                  <m:sub>
                    <m:r>
                      <w:rPr>
                        <w:rFonts w:ascii="Cambria Math" w:hAnsi="Cambria Math"/>
                        <w:color w:val="0070C0"/>
                      </w:rPr>
                      <m:t>i,t</m:t>
                    </m:r>
                  </m:sub>
                </m:sSub>
                <m:r>
                  <w:rPr>
                    <w:rFonts w:ascii="Cambria Math" w:hAnsi="Cambria Math"/>
                    <w:color w:val="0070C0"/>
                  </w:rPr>
                  <m:t>×Δ</m:t>
                </m:r>
                <m:r>
                  <m:rPr>
                    <m:sty m:val="p"/>
                  </m:rPr>
                  <w:rPr>
                    <w:rFonts w:ascii="Cambria Math" w:hAnsi="Cambria Math"/>
                    <w:color w:val="0070C0"/>
                  </w:rPr>
                  <m:t>ln</m:t>
                </m:r>
                <m:r>
                  <w:rPr>
                    <w:rFonts w:ascii="Cambria Math" w:hAnsi="Cambria Math"/>
                    <w:color w:val="0070C0"/>
                  </w:rPr>
                  <m:t>(RE</m:t>
                </m:r>
                <m:sSub>
                  <m:sSubPr>
                    <m:ctrlPr>
                      <w:rPr>
                        <w:rFonts w:ascii="Cambria Math" w:hAnsi="Cambria Math"/>
                        <w:color w:val="0070C0"/>
                      </w:rPr>
                    </m:ctrlPr>
                  </m:sSubPr>
                  <m:e>
                    <m:r>
                      <w:rPr>
                        <w:rFonts w:ascii="Cambria Math" w:hAnsi="Cambria Math"/>
                        <w:color w:val="0070C0"/>
                      </w:rPr>
                      <m:t>V</m:t>
                    </m:r>
                  </m:e>
                  <m:sub>
                    <m:r>
                      <w:rPr>
                        <w:rFonts w:ascii="Cambria Math" w:hAnsi="Cambria Math"/>
                        <w:color w:val="0070C0"/>
                      </w:rPr>
                      <m:t>i,t</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i,t</m:t>
                    </m:r>
                  </m:sub>
                </m:sSub>
              </m:oMath>
            </m:oMathPara>
          </w:p>
        </w:tc>
        <w:tc>
          <w:tcPr>
            <w:tcW w:w="1020" w:type="dxa"/>
            <w:vAlign w:val="center"/>
          </w:tcPr>
          <w:p w:rsidR="00AE2003" w:rsidRPr="00154E7B" w:rsidRDefault="007265F6">
            <w:pPr>
              <w:spacing w:before="80" w:after="80"/>
              <w:jc w:val="right"/>
              <w:rPr>
                <w:color w:val="0070C0"/>
              </w:rPr>
            </w:pPr>
            <w:r w:rsidRPr="00154E7B">
              <w:rPr>
                <w:rFonts w:ascii="Times New Roman" w:hAnsi="Times New Roman"/>
                <w:color w:val="0070C0"/>
                <w:sz w:val="22"/>
              </w:rPr>
              <w:t>(3-5)</w:t>
            </w:r>
          </w:p>
        </w:tc>
      </w:tr>
    </w:tbl>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其中</w:t>
      </w:r>
      <w:r w:rsidRPr="00154E7B">
        <w:rPr>
          <w:rFonts w:ascii="Times New Roman" w:eastAsia="標楷體" w:hAnsi="Times New Roman" w:cs="Times New Roman"/>
          <w:color w:val="0070C0"/>
        </w:rPr>
        <w:t xml:space="preserve"> </w:t>
      </w:r>
      <m:oMath>
        <m:r>
          <w:rPr>
            <w:rFonts w:ascii="Cambria Math" w:hAnsi="Cambria Math"/>
            <w:color w:val="0070C0"/>
          </w:rPr>
          <m:t>m∈{1,2}</m:t>
        </m:r>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代表落後階數。若</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3,lag</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在</w:t>
      </w:r>
      <w:r w:rsidRPr="00154E7B">
        <w:rPr>
          <w:rFonts w:ascii="Times New Roman" w:eastAsia="標楷體" w:hAnsi="Times New Roman" w:cs="Times New Roman"/>
          <w:color w:val="0070C0"/>
        </w:rPr>
        <w:t xml:space="preserve"> m = 1 </w:t>
      </w:r>
      <w:r w:rsidRPr="00154E7B">
        <w:rPr>
          <w:rFonts w:ascii="Times New Roman" w:eastAsia="標楷體" w:hAnsi="Times New Roman" w:cs="Times New Roman"/>
          <w:color w:val="0070C0"/>
        </w:rPr>
        <w:t>或</w:t>
      </w:r>
      <w:r w:rsidRPr="00154E7B">
        <w:rPr>
          <w:rFonts w:ascii="Times New Roman" w:eastAsia="標楷體" w:hAnsi="Times New Roman" w:cs="Times New Roman"/>
          <w:color w:val="0070C0"/>
        </w:rPr>
        <w:t xml:space="preserve"> m = 2 </w:t>
      </w:r>
      <w:r w:rsidRPr="00154E7B">
        <w:rPr>
          <w:rFonts w:ascii="Times New Roman" w:eastAsia="標楷體" w:hAnsi="Times New Roman" w:cs="Times New Roman"/>
          <w:color w:val="0070C0"/>
        </w:rPr>
        <w:t>時持續保持顯著負向，且其絕對值或顯著水準高於當期（</w:t>
      </w:r>
      <w:r w:rsidRPr="00154E7B">
        <w:rPr>
          <w:rFonts w:ascii="Times New Roman" w:eastAsia="標楷體" w:hAnsi="Times New Roman" w:cs="Times New Roman"/>
          <w:color w:val="0070C0"/>
        </w:rPr>
        <w:t>m = 0</w:t>
      </w:r>
      <w:r w:rsidRPr="00154E7B">
        <w:rPr>
          <w:rFonts w:ascii="Times New Roman" w:eastAsia="標楷體" w:hAnsi="Times New Roman" w:cs="Times New Roman"/>
          <w:color w:val="0070C0"/>
        </w:rPr>
        <w:t>），則強烈證實環境專用性資產與長約保底條款對費用剛性之加劇效果具有顯著的時間累積傳遞特性。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【模型五：產業異質性分群模型】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為檢驗假說</w:t>
      </w:r>
      <w:r w:rsidRPr="00154E7B">
        <w:rPr>
          <w:rFonts w:ascii="Times New Roman" w:eastAsia="標楷體" w:hAnsi="Times New Roman" w:cs="Times New Roman"/>
          <w:color w:val="0070C0"/>
        </w:rPr>
        <w:t xml:space="preserve"> H4</w:t>
      </w:r>
      <w:r w:rsidRPr="00154E7B">
        <w:rPr>
          <w:rFonts w:ascii="Times New Roman" w:eastAsia="標楷體" w:hAnsi="Times New Roman" w:cs="Times New Roman"/>
          <w:color w:val="0070C0"/>
        </w:rPr>
        <w:t>，探討產業污染特徵之調節邊界，本研究依據環境部列管標準，將製造業樣本劃分為「高耗水與高污染製造業群體」（涵蓋半導體、光電、化學工業、石化鋼鐵等）與「低污染製造業群體」（涵蓋一般電子組裝、食品加工、紡織成衣及機械製造等），分別對兩子群體獨立執行迴歸估計，並透過虛擬變數交互作用檢定係數組間差異（</w:t>
      </w:r>
      <w:r w:rsidRPr="00154E7B">
        <w:rPr>
          <w:rFonts w:ascii="Times New Roman" w:eastAsia="標楷體" w:hAnsi="Times New Roman" w:cs="Times New Roman"/>
          <w:color w:val="0070C0"/>
        </w:rPr>
        <w:t>Chow Test / Wald Test</w:t>
      </w:r>
      <w:r w:rsidRPr="00154E7B">
        <w:rPr>
          <w:rFonts w:ascii="Times New Roman" w:eastAsia="標楷體" w:hAnsi="Times New Roman" w:cs="Times New Roman"/>
          <w:color w:val="0070C0"/>
        </w:rPr>
        <w:t>）。若</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僅在高污染群體中顯著為負，而在低污染群體中不顯著，則充分支持假說</w:t>
      </w:r>
      <w:r w:rsidRPr="00154E7B">
        <w:rPr>
          <w:rFonts w:ascii="Times New Roman" w:eastAsia="標楷體" w:hAnsi="Times New Roman" w:cs="Times New Roman"/>
          <w:color w:val="0070C0"/>
        </w:rPr>
        <w:t xml:space="preserve"> H4 </w:t>
      </w:r>
      <w:r w:rsidRPr="00154E7B">
        <w:rPr>
          <w:rFonts w:ascii="Times New Roman" w:eastAsia="標楷體" w:hAnsi="Times New Roman" w:cs="Times New Roman"/>
          <w:color w:val="0070C0"/>
        </w:rPr>
        <w:t>之產業依賴性論點。</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在計量估計技術層面，本研究所有模型皆標準化納入年度固定效果（以控制全球景氣循環、能源價格震盪及總體通膨等總體時間衝擊）及</w:t>
      </w:r>
      <w:r w:rsidRPr="00154E7B">
        <w:rPr>
          <w:rFonts w:ascii="Times New Roman" w:eastAsia="標楷體" w:hAnsi="Times New Roman" w:cs="Times New Roman"/>
          <w:color w:val="0070C0"/>
        </w:rPr>
        <w:t xml:space="preserve"> TEJ </w:t>
      </w:r>
      <w:r w:rsidRPr="00154E7B">
        <w:rPr>
          <w:rFonts w:ascii="Times New Roman" w:eastAsia="標楷體" w:hAnsi="Times New Roman" w:cs="Times New Roman"/>
          <w:color w:val="0070C0"/>
        </w:rPr>
        <w:t>細部產業固定效果（以控制不同製造業行業之技術結構與資本折舊差異）。所有標準誤估計均採行兼具異質變異數穩健性與個體叢集相關性之</w:t>
      </w:r>
      <w:r w:rsidRPr="00154E7B">
        <w:rPr>
          <w:rFonts w:ascii="Times New Roman" w:eastAsia="標楷體" w:hAnsi="Times New Roman" w:cs="Times New Roman"/>
          <w:color w:val="0070C0"/>
        </w:rPr>
        <w:t xml:space="preserve"> Huber-White/Sandwich </w:t>
      </w:r>
      <w:r w:rsidRPr="00154E7B">
        <w:rPr>
          <w:rFonts w:ascii="Times New Roman" w:eastAsia="標楷體" w:hAnsi="Times New Roman" w:cs="Times New Roman"/>
          <w:color w:val="0070C0"/>
        </w:rPr>
        <w:t>公司層級叢集標準誤（</w:t>
      </w:r>
      <w:r w:rsidRPr="00154E7B">
        <w:rPr>
          <w:rFonts w:ascii="Times New Roman" w:eastAsia="標楷體" w:hAnsi="Times New Roman" w:cs="Times New Roman"/>
          <w:color w:val="0070C0"/>
        </w:rPr>
        <w:t>Firm-clustered Standard Errors</w:t>
      </w:r>
      <w:r w:rsidRPr="00154E7B">
        <w:rPr>
          <w:rFonts w:ascii="Times New Roman" w:eastAsia="標楷體" w:hAnsi="Times New Roman" w:cs="Times New Roman"/>
          <w:color w:val="0070C0"/>
        </w:rPr>
        <w:t>），以確保所有統計推論與顯著性檢定均具備高度之科學嚴密性。</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第四章</w:t>
      </w:r>
      <w:r w:rsidRPr="00154E7B">
        <w:rPr>
          <w:rFonts w:ascii="Times New Roman" w:eastAsia="標楷體" w:hAnsi="Times New Roman" w:cs="Times New Roman"/>
          <w:b/>
          <w:color w:val="0070C0"/>
          <w:sz w:val="36"/>
        </w:rPr>
        <w:t xml:space="preserve"> </w:t>
      </w:r>
      <w:r w:rsidRPr="00154E7B">
        <w:rPr>
          <w:rFonts w:ascii="Times New Roman" w:eastAsia="標楷體" w:hAnsi="Times New Roman" w:cs="Times New Roman"/>
          <w:b/>
          <w:color w:val="0070C0"/>
          <w:sz w:val="36"/>
        </w:rPr>
        <w:t>實證結果與分析</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第一節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敘述性統計分析</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4-1 </w:t>
      </w:r>
      <w:r w:rsidRPr="00154E7B">
        <w:rPr>
          <w:rFonts w:ascii="Times New Roman" w:eastAsia="標楷體" w:hAnsi="Times New Roman" w:cs="Times New Roman"/>
          <w:color w:val="0070C0"/>
        </w:rPr>
        <w:t>彙總了本研究全樣本（共計</w:t>
      </w:r>
      <w:r w:rsidRPr="00154E7B">
        <w:rPr>
          <w:rFonts w:ascii="Times New Roman" w:eastAsia="標楷體" w:hAnsi="Times New Roman" w:cs="Times New Roman"/>
          <w:color w:val="0070C0"/>
        </w:rPr>
        <w:t xml:space="preserve"> 18,137 </w:t>
      </w:r>
      <w:r w:rsidRPr="00154E7B">
        <w:rPr>
          <w:rFonts w:ascii="Times New Roman" w:eastAsia="標楷體" w:hAnsi="Times New Roman" w:cs="Times New Roman"/>
          <w:color w:val="0070C0"/>
        </w:rPr>
        <w:t>筆公司</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年度觀測值）中各主要連續變數之敘述性統計量，包含樣本數（</w:t>
      </w:r>
      <w:r w:rsidRPr="00154E7B">
        <w:rPr>
          <w:rFonts w:ascii="Times New Roman" w:eastAsia="標楷體" w:hAnsi="Times New Roman" w:cs="Times New Roman"/>
          <w:color w:val="0070C0"/>
        </w:rPr>
        <w:t>N</w:t>
      </w:r>
      <w:r w:rsidRPr="00154E7B">
        <w:rPr>
          <w:rFonts w:ascii="Times New Roman" w:eastAsia="標楷體" w:hAnsi="Times New Roman" w:cs="Times New Roman"/>
          <w:color w:val="0070C0"/>
        </w:rPr>
        <w:t>）、平均值（</w:t>
      </w:r>
      <w:r w:rsidRPr="00154E7B">
        <w:rPr>
          <w:rFonts w:ascii="Times New Roman" w:eastAsia="標楷體" w:hAnsi="Times New Roman" w:cs="Times New Roman"/>
          <w:color w:val="0070C0"/>
        </w:rPr>
        <w:t>Mean</w:t>
      </w:r>
      <w:r w:rsidRPr="00154E7B">
        <w:rPr>
          <w:rFonts w:ascii="Times New Roman" w:eastAsia="標楷體" w:hAnsi="Times New Roman" w:cs="Times New Roman"/>
          <w:color w:val="0070C0"/>
        </w:rPr>
        <w:t>）、標準差（</w:t>
      </w:r>
      <w:r w:rsidRPr="00154E7B">
        <w:rPr>
          <w:rFonts w:ascii="Times New Roman" w:eastAsia="標楷體" w:hAnsi="Times New Roman" w:cs="Times New Roman"/>
          <w:color w:val="0070C0"/>
        </w:rPr>
        <w:t>Std. Dev.</w:t>
      </w:r>
      <w:r w:rsidRPr="00154E7B">
        <w:rPr>
          <w:rFonts w:ascii="Times New Roman" w:eastAsia="標楷體" w:hAnsi="Times New Roman" w:cs="Times New Roman"/>
          <w:color w:val="0070C0"/>
        </w:rPr>
        <w:t>）、最小值（</w:t>
      </w:r>
      <w:r w:rsidRPr="00154E7B">
        <w:rPr>
          <w:rFonts w:ascii="Times New Roman" w:eastAsia="標楷體" w:hAnsi="Times New Roman" w:cs="Times New Roman"/>
          <w:color w:val="0070C0"/>
        </w:rPr>
        <w:t>Min</w:t>
      </w:r>
      <w:r w:rsidRPr="00154E7B">
        <w:rPr>
          <w:rFonts w:ascii="Times New Roman" w:eastAsia="標楷體" w:hAnsi="Times New Roman" w:cs="Times New Roman"/>
          <w:color w:val="0070C0"/>
        </w:rPr>
        <w:t>）、第</w:t>
      </w:r>
      <w:r w:rsidRPr="00154E7B">
        <w:rPr>
          <w:rFonts w:ascii="Times New Roman" w:eastAsia="標楷體" w:hAnsi="Times New Roman" w:cs="Times New Roman"/>
          <w:color w:val="0070C0"/>
        </w:rPr>
        <w:t xml:space="preserve"> 25 </w:t>
      </w:r>
      <w:r w:rsidRPr="00154E7B">
        <w:rPr>
          <w:rFonts w:ascii="Times New Roman" w:eastAsia="標楷體" w:hAnsi="Times New Roman" w:cs="Times New Roman"/>
          <w:color w:val="0070C0"/>
        </w:rPr>
        <w:t>百分位數（</w:t>
      </w:r>
      <w:r w:rsidRPr="00154E7B">
        <w:rPr>
          <w:rFonts w:ascii="Times New Roman" w:eastAsia="標楷體" w:hAnsi="Times New Roman" w:cs="Times New Roman"/>
          <w:color w:val="0070C0"/>
        </w:rPr>
        <w:t>P25</w:t>
      </w:r>
      <w:r w:rsidRPr="00154E7B">
        <w:rPr>
          <w:rFonts w:ascii="Times New Roman" w:eastAsia="標楷體" w:hAnsi="Times New Roman" w:cs="Times New Roman"/>
          <w:color w:val="0070C0"/>
        </w:rPr>
        <w:t>）、中位數（</w:t>
      </w:r>
      <w:r w:rsidRPr="00154E7B">
        <w:rPr>
          <w:rFonts w:ascii="Times New Roman" w:eastAsia="標楷體" w:hAnsi="Times New Roman" w:cs="Times New Roman"/>
          <w:color w:val="0070C0"/>
        </w:rPr>
        <w:t>Median</w:t>
      </w:r>
      <w:r w:rsidRPr="00154E7B">
        <w:rPr>
          <w:rFonts w:ascii="Times New Roman" w:eastAsia="標楷體" w:hAnsi="Times New Roman" w:cs="Times New Roman"/>
          <w:color w:val="0070C0"/>
        </w:rPr>
        <w:t>）、第</w:t>
      </w:r>
      <w:r w:rsidRPr="00154E7B">
        <w:rPr>
          <w:rFonts w:ascii="Times New Roman" w:eastAsia="標楷體" w:hAnsi="Times New Roman" w:cs="Times New Roman"/>
          <w:color w:val="0070C0"/>
        </w:rPr>
        <w:t xml:space="preserve"> 75 </w:t>
      </w:r>
      <w:r w:rsidRPr="00154E7B">
        <w:rPr>
          <w:rFonts w:ascii="Times New Roman" w:eastAsia="標楷體" w:hAnsi="Times New Roman" w:cs="Times New Roman"/>
          <w:color w:val="0070C0"/>
        </w:rPr>
        <w:t>百分位數（</w:t>
      </w:r>
      <w:r w:rsidRPr="00154E7B">
        <w:rPr>
          <w:rFonts w:ascii="Times New Roman" w:eastAsia="標楷體" w:hAnsi="Times New Roman" w:cs="Times New Roman"/>
          <w:color w:val="0070C0"/>
        </w:rPr>
        <w:t>P75</w:t>
      </w:r>
      <w:r w:rsidRPr="00154E7B">
        <w:rPr>
          <w:rFonts w:ascii="Times New Roman" w:eastAsia="標楷體" w:hAnsi="Times New Roman" w:cs="Times New Roman"/>
          <w:color w:val="0070C0"/>
        </w:rPr>
        <w:t>）及最大值（</w:t>
      </w:r>
      <w:r w:rsidRPr="00154E7B">
        <w:rPr>
          <w:rFonts w:ascii="Times New Roman" w:eastAsia="標楷體" w:hAnsi="Times New Roman" w:cs="Times New Roman"/>
          <w:color w:val="0070C0"/>
        </w:rPr>
        <w:t>Max</w:t>
      </w:r>
      <w:r w:rsidRPr="00154E7B">
        <w:rPr>
          <w:rFonts w:ascii="Times New Roman" w:eastAsia="標楷體" w:hAnsi="Times New Roman" w:cs="Times New Roman"/>
          <w:color w:val="0070C0"/>
        </w:rPr>
        <w:t>）。所有連續型財務變數與實質密集度變數均已實施前後</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雙向縮尾處理（</w:t>
      </w:r>
      <w:r w:rsidRPr="00154E7B">
        <w:rPr>
          <w:rFonts w:ascii="Times New Roman" w:eastAsia="標楷體" w:hAnsi="Times New Roman" w:cs="Times New Roman"/>
          <w:color w:val="0070C0"/>
        </w:rPr>
        <w:t>Winsorization</w:t>
      </w:r>
      <w:r w:rsidRPr="00154E7B">
        <w:rPr>
          <w:rFonts w:ascii="Times New Roman" w:eastAsia="標楷體" w:hAnsi="Times New Roman" w:cs="Times New Roman"/>
          <w:color w:val="0070C0"/>
        </w:rPr>
        <w:t>），有效消除了極端異常值對統計分佈之扭曲。</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由表</w:t>
      </w:r>
      <w:r w:rsidRPr="00154E7B">
        <w:rPr>
          <w:rFonts w:ascii="Times New Roman" w:eastAsia="標楷體" w:hAnsi="Times New Roman" w:cs="Times New Roman"/>
          <w:color w:val="0070C0"/>
        </w:rPr>
        <w:t xml:space="preserve"> 4-1 </w:t>
      </w:r>
      <w:r w:rsidRPr="00154E7B">
        <w:rPr>
          <w:rFonts w:ascii="Times New Roman" w:eastAsia="標楷體" w:hAnsi="Times New Roman" w:cs="Times New Roman"/>
          <w:color w:val="0070C0"/>
        </w:rPr>
        <w:t>之統計結果可知，被解釋變數銷管費用對數變動率（</w:t>
      </w:r>
      <w:r w:rsidRPr="00154E7B">
        <w:rPr>
          <w:rFonts w:ascii="Times New Roman" w:eastAsia="標楷體" w:hAnsi="Times New Roman" w:cs="Times New Roman"/>
          <w:color w:val="0070C0"/>
        </w:rPr>
        <w:t>Y_dLNSGA</w:t>
      </w:r>
      <w:r w:rsidRPr="00154E7B">
        <w:rPr>
          <w:rFonts w:ascii="Times New Roman" w:eastAsia="標楷體" w:hAnsi="Times New Roman" w:cs="Times New Roman"/>
          <w:color w:val="0070C0"/>
        </w:rPr>
        <w:t>）之全樣本平均值為</w:t>
      </w:r>
      <w:r w:rsidRPr="00154E7B">
        <w:rPr>
          <w:rFonts w:ascii="Times New Roman" w:eastAsia="標楷體" w:hAnsi="Times New Roman" w:cs="Times New Roman"/>
          <w:color w:val="0070C0"/>
        </w:rPr>
        <w:t xml:space="preserve"> 0.0214</w:t>
      </w:r>
      <w:r w:rsidRPr="00154E7B">
        <w:rPr>
          <w:rFonts w:ascii="Times New Roman" w:eastAsia="標楷體" w:hAnsi="Times New Roman" w:cs="Times New Roman"/>
          <w:color w:val="0070C0"/>
        </w:rPr>
        <w:t>，中位數為</w:t>
      </w:r>
      <w:r w:rsidRPr="00154E7B">
        <w:rPr>
          <w:rFonts w:ascii="Times New Roman" w:eastAsia="標楷體" w:hAnsi="Times New Roman" w:cs="Times New Roman"/>
          <w:color w:val="0070C0"/>
        </w:rPr>
        <w:t xml:space="preserve"> 0.0185</w:t>
      </w:r>
      <w:r w:rsidRPr="00154E7B">
        <w:rPr>
          <w:rFonts w:ascii="Times New Roman" w:eastAsia="標楷體" w:hAnsi="Times New Roman" w:cs="Times New Roman"/>
          <w:color w:val="0070C0"/>
        </w:rPr>
        <w:t>，標準差為</w:t>
      </w:r>
      <w:r w:rsidRPr="00154E7B">
        <w:rPr>
          <w:rFonts w:ascii="Times New Roman" w:eastAsia="標楷體" w:hAnsi="Times New Roman" w:cs="Times New Roman"/>
          <w:color w:val="0070C0"/>
        </w:rPr>
        <w:t xml:space="preserve"> 0.1582</w:t>
      </w:r>
      <w:r w:rsidRPr="00154E7B">
        <w:rPr>
          <w:rFonts w:ascii="Times New Roman" w:eastAsia="標楷體" w:hAnsi="Times New Roman" w:cs="Times New Roman"/>
          <w:color w:val="0070C0"/>
        </w:rPr>
        <w:t>；核心解釋變數營收對數變動率（</w:t>
      </w:r>
      <w:r w:rsidRPr="00154E7B">
        <w:rPr>
          <w:rFonts w:ascii="Times New Roman" w:eastAsia="標楷體" w:hAnsi="Times New Roman" w:cs="Times New Roman"/>
          <w:color w:val="0070C0"/>
        </w:rPr>
        <w:t>dLNREV</w:t>
      </w:r>
      <w:r w:rsidRPr="00154E7B">
        <w:rPr>
          <w:rFonts w:ascii="Times New Roman" w:eastAsia="標楷體" w:hAnsi="Times New Roman" w:cs="Times New Roman"/>
          <w:color w:val="0070C0"/>
        </w:rPr>
        <w:t>）之平均值為</w:t>
      </w:r>
      <w:r w:rsidRPr="00154E7B">
        <w:rPr>
          <w:rFonts w:ascii="Times New Roman" w:eastAsia="標楷體" w:hAnsi="Times New Roman" w:cs="Times New Roman"/>
          <w:color w:val="0070C0"/>
        </w:rPr>
        <w:t xml:space="preserve"> 0.0252</w:t>
      </w:r>
      <w:r w:rsidRPr="00154E7B">
        <w:rPr>
          <w:rFonts w:ascii="Times New Roman" w:eastAsia="標楷體" w:hAnsi="Times New Roman" w:cs="Times New Roman"/>
          <w:color w:val="0070C0"/>
        </w:rPr>
        <w:t>，中位數為</w:t>
      </w:r>
      <w:r w:rsidRPr="00154E7B">
        <w:rPr>
          <w:rFonts w:ascii="Times New Roman" w:eastAsia="標楷體" w:hAnsi="Times New Roman" w:cs="Times New Roman"/>
          <w:color w:val="0070C0"/>
        </w:rPr>
        <w:t xml:space="preserve"> 0.0210</w:t>
      </w:r>
      <w:r w:rsidRPr="00154E7B">
        <w:rPr>
          <w:rFonts w:ascii="Times New Roman" w:eastAsia="標楷體" w:hAnsi="Times New Roman" w:cs="Times New Roman"/>
          <w:color w:val="0070C0"/>
        </w:rPr>
        <w:t>，標準差為</w:t>
      </w:r>
      <w:r w:rsidRPr="00154E7B">
        <w:rPr>
          <w:rFonts w:ascii="Times New Roman" w:eastAsia="標楷體" w:hAnsi="Times New Roman" w:cs="Times New Roman"/>
          <w:color w:val="0070C0"/>
        </w:rPr>
        <w:t xml:space="preserve"> 0.2145</w:t>
      </w:r>
      <w:r w:rsidRPr="00154E7B">
        <w:rPr>
          <w:rFonts w:ascii="Times New Roman" w:eastAsia="標楷體" w:hAnsi="Times New Roman" w:cs="Times New Roman"/>
          <w:color w:val="0070C0"/>
        </w:rPr>
        <w:t>。此統計結果顯示，在</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2024 </w:t>
      </w:r>
      <w:r w:rsidRPr="00154E7B">
        <w:rPr>
          <w:rFonts w:ascii="Times New Roman" w:eastAsia="標楷體" w:hAnsi="Times New Roman" w:cs="Times New Roman"/>
          <w:color w:val="0070C0"/>
        </w:rPr>
        <w:t>年之研究期間內，台灣上市櫃製造業整體呈現溫和成長之總體經濟趨勢。值得高度關注的是，營收衰退虛擬變數（</w:t>
      </w:r>
      <w:r w:rsidRPr="00154E7B">
        <w:rPr>
          <w:rFonts w:ascii="Times New Roman" w:eastAsia="標楷體" w:hAnsi="Times New Roman" w:cs="Times New Roman"/>
          <w:color w:val="0070C0"/>
        </w:rPr>
        <w:t>DEC</w:t>
      </w:r>
      <w:r w:rsidRPr="00154E7B">
        <w:rPr>
          <w:rFonts w:ascii="Times New Roman" w:eastAsia="標楷體" w:hAnsi="Times New Roman" w:cs="Times New Roman"/>
          <w:color w:val="0070C0"/>
        </w:rPr>
        <w:t>）之平均值為</w:t>
      </w:r>
      <w:r w:rsidRPr="00154E7B">
        <w:rPr>
          <w:rFonts w:ascii="Times New Roman" w:eastAsia="標楷體" w:hAnsi="Times New Roman" w:cs="Times New Roman"/>
          <w:color w:val="0070C0"/>
        </w:rPr>
        <w:t xml:space="preserve"> 0.3852</w:t>
      </w:r>
      <w:r w:rsidRPr="00154E7B">
        <w:rPr>
          <w:rFonts w:ascii="Times New Roman" w:eastAsia="標楷體" w:hAnsi="Times New Roman" w:cs="Times New Roman"/>
          <w:color w:val="0070C0"/>
        </w:rPr>
        <w:t>，代表在全體樣本中，約有</w:t>
      </w:r>
      <w:r w:rsidRPr="00154E7B">
        <w:rPr>
          <w:rFonts w:ascii="Times New Roman" w:eastAsia="標楷體" w:hAnsi="Times New Roman" w:cs="Times New Roman"/>
          <w:color w:val="0070C0"/>
        </w:rPr>
        <w:t xml:space="preserve"> 38.52%</w:t>
      </w:r>
      <w:r w:rsidRPr="00154E7B">
        <w:rPr>
          <w:rFonts w:ascii="Times New Roman" w:eastAsia="標楷體" w:hAnsi="Times New Roman" w:cs="Times New Roman"/>
          <w:color w:val="0070C0"/>
        </w:rPr>
        <w:t>（共約</w:t>
      </w:r>
      <w:r w:rsidRPr="00154E7B">
        <w:rPr>
          <w:rFonts w:ascii="Times New Roman" w:eastAsia="標楷體" w:hAnsi="Times New Roman" w:cs="Times New Roman"/>
          <w:color w:val="0070C0"/>
        </w:rPr>
        <w:t xml:space="preserve"> 6,986 </w:t>
      </w:r>
      <w:r w:rsidRPr="00154E7B">
        <w:rPr>
          <w:rFonts w:ascii="Times New Roman" w:eastAsia="標楷體" w:hAnsi="Times New Roman" w:cs="Times New Roman"/>
          <w:color w:val="0070C0"/>
        </w:rPr>
        <w:t>筆）之公司</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年度觀測值面臨營業收入負成長之衰退困境。此一充沛之下行樣本比例，為本研究檢驗非對稱成本行為及環境因素在經濟下行期間之調節效果，提供了極為充足且具統計檢定力（</w:t>
      </w:r>
      <w:r w:rsidRPr="00154E7B">
        <w:rPr>
          <w:rFonts w:ascii="Times New Roman" w:eastAsia="標楷體" w:hAnsi="Times New Roman" w:cs="Times New Roman"/>
          <w:color w:val="0070C0"/>
        </w:rPr>
        <w:t>Statistical Power</w:t>
      </w:r>
      <w:r w:rsidRPr="00154E7B">
        <w:rPr>
          <w:rFonts w:ascii="Times New Roman" w:eastAsia="標楷體" w:hAnsi="Times New Roman" w:cs="Times New Roman"/>
          <w:color w:val="0070C0"/>
        </w:rPr>
        <w:t>）之經驗基礎。</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在環境管理測試變數構面，各項指標呈現出極具經濟意涵之分佈態樣。水回收率（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）之樣本數為</w:t>
      </w:r>
      <w:r w:rsidRPr="00154E7B">
        <w:rPr>
          <w:rFonts w:ascii="Times New Roman" w:eastAsia="標楷體" w:hAnsi="Times New Roman" w:cs="Times New Roman"/>
          <w:color w:val="0070C0"/>
        </w:rPr>
        <w:t xml:space="preserve"> 1,039 </w:t>
      </w:r>
      <w:r w:rsidRPr="00154E7B">
        <w:rPr>
          <w:rFonts w:ascii="Times New Roman" w:eastAsia="標楷體" w:hAnsi="Times New Roman" w:cs="Times New Roman"/>
          <w:color w:val="0070C0"/>
        </w:rPr>
        <w:t>筆，平均值達</w:t>
      </w:r>
      <w:r w:rsidRPr="00154E7B">
        <w:rPr>
          <w:rFonts w:ascii="Times New Roman" w:eastAsia="標楷體" w:hAnsi="Times New Roman" w:cs="Times New Roman"/>
          <w:color w:val="0070C0"/>
        </w:rPr>
        <w:t xml:space="preserve"> 35.0842%</w:t>
      </w:r>
      <w:r w:rsidRPr="00154E7B">
        <w:rPr>
          <w:rFonts w:ascii="Times New Roman" w:eastAsia="標楷體" w:hAnsi="Times New Roman" w:cs="Times New Roman"/>
          <w:color w:val="0070C0"/>
        </w:rPr>
        <w:t>，中位數為</w:t>
      </w:r>
      <w:r w:rsidRPr="00154E7B">
        <w:rPr>
          <w:rFonts w:ascii="Times New Roman" w:eastAsia="標楷體" w:hAnsi="Times New Roman" w:cs="Times New Roman"/>
          <w:color w:val="0070C0"/>
        </w:rPr>
        <w:t xml:space="preserve"> 23.3000%</w:t>
      </w:r>
      <w:r w:rsidRPr="00154E7B">
        <w:rPr>
          <w:rFonts w:ascii="Times New Roman" w:eastAsia="標楷體" w:hAnsi="Times New Roman" w:cs="Times New Roman"/>
          <w:color w:val="0070C0"/>
        </w:rPr>
        <w:t>，標準差為</w:t>
      </w:r>
      <w:r w:rsidRPr="00154E7B">
        <w:rPr>
          <w:rFonts w:ascii="Times New Roman" w:eastAsia="標楷體" w:hAnsi="Times New Roman" w:cs="Times New Roman"/>
          <w:color w:val="0070C0"/>
        </w:rPr>
        <w:t xml:space="preserve"> 31.6708%</w:t>
      </w:r>
      <w:r w:rsidRPr="00154E7B">
        <w:rPr>
          <w:rFonts w:ascii="Times New Roman" w:eastAsia="標楷體" w:hAnsi="Times New Roman" w:cs="Times New Roman"/>
          <w:color w:val="0070C0"/>
        </w:rPr>
        <w:t>，最小值為</w:t>
      </w:r>
      <w:r w:rsidRPr="00154E7B">
        <w:rPr>
          <w:rFonts w:ascii="Times New Roman" w:eastAsia="標楷體" w:hAnsi="Times New Roman" w:cs="Times New Roman"/>
          <w:color w:val="0070C0"/>
        </w:rPr>
        <w:t xml:space="preserve"> 0.0000%</w:t>
      </w:r>
      <w:r w:rsidRPr="00154E7B">
        <w:rPr>
          <w:rFonts w:ascii="Times New Roman" w:eastAsia="標楷體" w:hAnsi="Times New Roman" w:cs="Times New Roman"/>
          <w:color w:val="0070C0"/>
        </w:rPr>
        <w:t>，最大值達</w:t>
      </w:r>
      <w:r w:rsidRPr="00154E7B">
        <w:rPr>
          <w:rFonts w:ascii="Times New Roman" w:eastAsia="標楷體" w:hAnsi="Times New Roman" w:cs="Times New Roman"/>
          <w:color w:val="0070C0"/>
        </w:rPr>
        <w:t xml:space="preserve"> 99.8638%</w:t>
      </w:r>
      <w:r w:rsidRPr="00154E7B">
        <w:rPr>
          <w:rFonts w:ascii="Times New Roman" w:eastAsia="標楷體" w:hAnsi="Times New Roman" w:cs="Times New Roman"/>
          <w:color w:val="0070C0"/>
        </w:rPr>
        <w:t>。此一廣泛之分佈區間顯示，台灣不同製造業廠商在水資源循環投入上存在極大之個體異質性；少數半導體晶圓廠與高階面板廠之全廠製程水回收率高達</w:t>
      </w:r>
      <w:r w:rsidRPr="00154E7B">
        <w:rPr>
          <w:rFonts w:ascii="Times New Roman" w:eastAsia="標楷體" w:hAnsi="Times New Roman" w:cs="Times New Roman"/>
          <w:color w:val="0070C0"/>
        </w:rPr>
        <w:t xml:space="preserve"> 85% </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 xml:space="preserve"> 95% </w:t>
      </w:r>
      <w:r w:rsidRPr="00154E7B">
        <w:rPr>
          <w:rFonts w:ascii="Times New Roman" w:eastAsia="標楷體" w:hAnsi="Times New Roman" w:cs="Times New Roman"/>
          <w:color w:val="0070C0"/>
        </w:rPr>
        <w:t>以上，而傳統一般組裝廠商之回收率則趨近於零。水資源資訊揭露（</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）之全樣本平均值為</w:t>
      </w:r>
      <w:r w:rsidRPr="00154E7B">
        <w:rPr>
          <w:rFonts w:ascii="Times New Roman" w:eastAsia="標楷體" w:hAnsi="Times New Roman" w:cs="Times New Roman"/>
          <w:color w:val="0070C0"/>
        </w:rPr>
        <w:t xml:space="preserve"> 0.1118</w:t>
      </w:r>
      <w:r w:rsidRPr="00154E7B">
        <w:rPr>
          <w:rFonts w:ascii="Times New Roman" w:eastAsia="標楷體" w:hAnsi="Times New Roman" w:cs="Times New Roman"/>
          <w:color w:val="0070C0"/>
        </w:rPr>
        <w:t>，顯示在全體製造業中，主動將用水量予以量化公開揭露之公司年度比例約為</w:t>
      </w:r>
      <w:r w:rsidRPr="00154E7B">
        <w:rPr>
          <w:rFonts w:ascii="Times New Roman" w:eastAsia="標楷體" w:hAnsi="Times New Roman" w:cs="Times New Roman"/>
          <w:color w:val="0070C0"/>
        </w:rPr>
        <w:t xml:space="preserve"> 11.18%</w:t>
      </w:r>
      <w:r w:rsidRPr="00154E7B">
        <w:rPr>
          <w:rFonts w:ascii="Times New Roman" w:eastAsia="標楷體" w:hAnsi="Times New Roman" w:cs="Times New Roman"/>
          <w:color w:val="0070C0"/>
        </w:rPr>
        <w:t>，反映出環境資訊揭露在早年仍具備一定之自願性與門檻限制。用水密集度（</w:t>
      </w:r>
      <w:r w:rsidRPr="00154E7B">
        <w:rPr>
          <w:rFonts w:ascii="Times New Roman" w:eastAsia="標楷體" w:hAnsi="Times New Roman" w:cs="Times New Roman"/>
          <w:color w:val="0070C0"/>
        </w:rPr>
        <w:t>WATER_INTENSITY</w:t>
      </w:r>
      <w:r w:rsidRPr="00154E7B">
        <w:rPr>
          <w:rFonts w:ascii="Times New Roman" w:eastAsia="標楷體" w:hAnsi="Times New Roman" w:cs="Times New Roman"/>
          <w:color w:val="0070C0"/>
        </w:rPr>
        <w:t>）之平均值為</w:t>
      </w:r>
      <w:r w:rsidRPr="00154E7B">
        <w:rPr>
          <w:rFonts w:ascii="Times New Roman" w:eastAsia="標楷體" w:hAnsi="Times New Roman" w:cs="Times New Roman"/>
          <w:color w:val="0070C0"/>
        </w:rPr>
        <w:t xml:space="preserve"> 12.4520 </w:t>
      </w:r>
      <w:r w:rsidRPr="00154E7B">
        <w:rPr>
          <w:rFonts w:ascii="Times New Roman" w:eastAsia="標楷體" w:hAnsi="Times New Roman" w:cs="Times New Roman"/>
          <w:color w:val="0070C0"/>
        </w:rPr>
        <w:t>立方公尺</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百萬元營收，中位數為</w:t>
      </w:r>
      <w:r w:rsidRPr="00154E7B">
        <w:rPr>
          <w:rFonts w:ascii="Times New Roman" w:eastAsia="標楷體" w:hAnsi="Times New Roman" w:cs="Times New Roman"/>
          <w:color w:val="0070C0"/>
        </w:rPr>
        <w:t xml:space="preserve"> 4.1200</w:t>
      </w:r>
      <w:r w:rsidRPr="00154E7B">
        <w:rPr>
          <w:rFonts w:ascii="Times New Roman" w:eastAsia="標楷體" w:hAnsi="Times New Roman" w:cs="Times New Roman"/>
          <w:color w:val="0070C0"/>
        </w:rPr>
        <w:t>，呈現顯著的右偏態（</w:t>
      </w:r>
      <w:r w:rsidRPr="00154E7B">
        <w:rPr>
          <w:rFonts w:ascii="Times New Roman" w:eastAsia="標楷體" w:hAnsi="Times New Roman" w:cs="Times New Roman"/>
          <w:color w:val="0070C0"/>
        </w:rPr>
        <w:t>Right-skewed</w:t>
      </w:r>
      <w:r w:rsidRPr="00154E7B">
        <w:rPr>
          <w:rFonts w:ascii="Times New Roman" w:eastAsia="標楷體" w:hAnsi="Times New Roman" w:cs="Times New Roman"/>
          <w:color w:val="0070C0"/>
        </w:rPr>
        <w:t>）分佈，表明少數重化學、造紙與晶圓製造業之水耗用強度極高。</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在廢棄物構面，廢棄物密集度（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）之樣本數為</w:t>
      </w:r>
      <w:r w:rsidRPr="00154E7B">
        <w:rPr>
          <w:rFonts w:ascii="Times New Roman" w:eastAsia="標楷體" w:hAnsi="Times New Roman" w:cs="Times New Roman"/>
          <w:color w:val="0070C0"/>
        </w:rPr>
        <w:t xml:space="preserve"> 3,591 </w:t>
      </w:r>
      <w:r w:rsidRPr="00154E7B">
        <w:rPr>
          <w:rFonts w:ascii="Times New Roman" w:eastAsia="標楷體" w:hAnsi="Times New Roman" w:cs="Times New Roman"/>
          <w:color w:val="0070C0"/>
        </w:rPr>
        <w:t>筆，平均值為</w:t>
      </w:r>
      <w:r w:rsidRPr="00154E7B">
        <w:rPr>
          <w:rFonts w:ascii="Times New Roman" w:eastAsia="標楷體" w:hAnsi="Times New Roman" w:cs="Times New Roman"/>
          <w:color w:val="0070C0"/>
        </w:rPr>
        <w:t xml:space="preserve"> 0.4486 </w:t>
      </w:r>
      <w:r w:rsidRPr="00154E7B">
        <w:rPr>
          <w:rFonts w:ascii="Times New Roman" w:eastAsia="標楷體" w:hAnsi="Times New Roman" w:cs="Times New Roman"/>
          <w:color w:val="0070C0"/>
        </w:rPr>
        <w:t>公噸</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百萬元營收，標準差為</w:t>
      </w:r>
      <w:r w:rsidRPr="00154E7B">
        <w:rPr>
          <w:rFonts w:ascii="Times New Roman" w:eastAsia="標楷體" w:hAnsi="Times New Roman" w:cs="Times New Roman"/>
          <w:color w:val="0070C0"/>
        </w:rPr>
        <w:t xml:space="preserve"> 1.1477</w:t>
      </w:r>
      <w:r w:rsidRPr="00154E7B">
        <w:rPr>
          <w:rFonts w:ascii="Times New Roman" w:eastAsia="標楷體" w:hAnsi="Times New Roman" w:cs="Times New Roman"/>
          <w:color w:val="0070C0"/>
        </w:rPr>
        <w:t>，中位數為</w:t>
      </w:r>
      <w:r w:rsidRPr="00154E7B">
        <w:rPr>
          <w:rFonts w:ascii="Times New Roman" w:eastAsia="標楷體" w:hAnsi="Times New Roman" w:cs="Times New Roman"/>
          <w:color w:val="0070C0"/>
        </w:rPr>
        <w:t xml:space="preserve"> 0.1215</w:t>
      </w:r>
      <w:r w:rsidRPr="00154E7B">
        <w:rPr>
          <w:rFonts w:ascii="Times New Roman" w:eastAsia="標楷體" w:hAnsi="Times New Roman" w:cs="Times New Roman"/>
          <w:color w:val="0070C0"/>
        </w:rPr>
        <w:t>，最大值達</w:t>
      </w:r>
      <w:r w:rsidRPr="00154E7B">
        <w:rPr>
          <w:rFonts w:ascii="Times New Roman" w:eastAsia="標楷體" w:hAnsi="Times New Roman" w:cs="Times New Roman"/>
          <w:color w:val="0070C0"/>
        </w:rPr>
        <w:t xml:space="preserve"> 8.1388 </w:t>
      </w:r>
      <w:r w:rsidRPr="00154E7B">
        <w:rPr>
          <w:rFonts w:ascii="Times New Roman" w:eastAsia="標楷體" w:hAnsi="Times New Roman" w:cs="Times New Roman"/>
          <w:color w:val="0070C0"/>
        </w:rPr>
        <w:t>公噸</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百萬元營收，同樣表現出顯著右偏之工業特徵。廢棄物揭露品質（</w:t>
      </w:r>
      <w:r w:rsidRPr="00154E7B">
        <w:rPr>
          <w:rFonts w:ascii="Times New Roman" w:eastAsia="標楷體" w:hAnsi="Times New Roman" w:cs="Times New Roman"/>
          <w:color w:val="0070C0"/>
        </w:rPr>
        <w:t>WASTE_DISC</w:t>
      </w:r>
      <w:r w:rsidRPr="00154E7B">
        <w:rPr>
          <w:rFonts w:ascii="Times New Roman" w:eastAsia="標楷體" w:hAnsi="Times New Roman" w:cs="Times New Roman"/>
          <w:color w:val="0070C0"/>
        </w:rPr>
        <w:t>）平均得分為</w:t>
      </w:r>
      <w:r w:rsidRPr="00154E7B">
        <w:rPr>
          <w:rFonts w:ascii="Times New Roman" w:eastAsia="標楷體" w:hAnsi="Times New Roman" w:cs="Times New Roman"/>
          <w:color w:val="0070C0"/>
        </w:rPr>
        <w:t xml:space="preserve"> 0.4974 </w:t>
      </w:r>
      <w:r w:rsidRPr="00154E7B">
        <w:rPr>
          <w:rFonts w:ascii="Times New Roman" w:eastAsia="標楷體" w:hAnsi="Times New Roman" w:cs="Times New Roman"/>
          <w:color w:val="0070C0"/>
        </w:rPr>
        <w:t>分，標準差為</w:t>
      </w:r>
      <w:r w:rsidRPr="00154E7B">
        <w:rPr>
          <w:rFonts w:ascii="Times New Roman" w:eastAsia="標楷體" w:hAnsi="Times New Roman" w:cs="Times New Roman"/>
          <w:color w:val="0070C0"/>
        </w:rPr>
        <w:t xml:space="preserve"> 1.2357 </w:t>
      </w:r>
      <w:r w:rsidRPr="00154E7B">
        <w:rPr>
          <w:rFonts w:ascii="Times New Roman" w:eastAsia="標楷體" w:hAnsi="Times New Roman" w:cs="Times New Roman"/>
          <w:color w:val="0070C0"/>
        </w:rPr>
        <w:t>分。而環境違規裁罰金額比率（</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）平均值為</w:t>
      </w:r>
      <w:r w:rsidRPr="00154E7B">
        <w:rPr>
          <w:rFonts w:ascii="Times New Roman" w:eastAsia="標楷體" w:hAnsi="Times New Roman" w:cs="Times New Roman"/>
          <w:color w:val="0070C0"/>
        </w:rPr>
        <w:t xml:space="preserve"> 2.6612‰</w:t>
      </w:r>
      <w:r w:rsidRPr="00154E7B">
        <w:rPr>
          <w:rFonts w:ascii="Times New Roman" w:eastAsia="標楷體" w:hAnsi="Times New Roman" w:cs="Times New Roman"/>
          <w:color w:val="0070C0"/>
        </w:rPr>
        <w:t>，中位數為</w:t>
      </w:r>
      <w:r w:rsidRPr="00154E7B">
        <w:rPr>
          <w:rFonts w:ascii="Times New Roman" w:eastAsia="標楷體" w:hAnsi="Times New Roman" w:cs="Times New Roman"/>
          <w:color w:val="0070C0"/>
        </w:rPr>
        <w:t xml:space="preserve"> 0.0418‰</w:t>
      </w:r>
      <w:r w:rsidRPr="00154E7B">
        <w:rPr>
          <w:rFonts w:ascii="Times New Roman" w:eastAsia="標楷體" w:hAnsi="Times New Roman" w:cs="Times New Roman"/>
          <w:color w:val="0070C0"/>
        </w:rPr>
        <w:t>，最大值達</w:t>
      </w:r>
      <w:r w:rsidRPr="00154E7B">
        <w:rPr>
          <w:rFonts w:ascii="Times New Roman" w:eastAsia="標楷體" w:hAnsi="Times New Roman" w:cs="Times New Roman"/>
          <w:color w:val="0070C0"/>
        </w:rPr>
        <w:t xml:space="preserve"> 84.6934‰</w:t>
      </w:r>
      <w:r w:rsidRPr="00154E7B">
        <w:rPr>
          <w:rFonts w:ascii="Times New Roman" w:eastAsia="標楷體" w:hAnsi="Times New Roman" w:cs="Times New Roman"/>
          <w:color w:val="0070C0"/>
        </w:rPr>
        <w:t>。此一極端的分佈特徵清楚表明，絕大多數合規守法之企業其裁罰金額</w:t>
      </w:r>
      <w:r w:rsidRPr="00154E7B">
        <w:rPr>
          <w:rFonts w:ascii="Times New Roman" w:eastAsia="標楷體" w:hAnsi="Times New Roman" w:cs="Times New Roman"/>
          <w:color w:val="0070C0"/>
        </w:rPr>
        <w:lastRenderedPageBreak/>
        <w:t>微乎其微，但一旦少數廠商發生重大偷排或重大環境污染違規事件，主管機關祭出之連續重罰將對企業資產構成劇烈之尾部衝擊（</w:t>
      </w:r>
      <w:r w:rsidRPr="00154E7B">
        <w:rPr>
          <w:rFonts w:ascii="Times New Roman" w:eastAsia="標楷體" w:hAnsi="Times New Roman" w:cs="Times New Roman"/>
          <w:color w:val="0070C0"/>
        </w:rPr>
        <w:t>Tail Risk</w:t>
      </w:r>
      <w:r w:rsidRPr="00154E7B">
        <w:rPr>
          <w:rFonts w:ascii="Times New Roman" w:eastAsia="標楷體" w:hAnsi="Times New Roman" w:cs="Times New Roman"/>
          <w:color w:val="0070C0"/>
        </w:rPr>
        <w:t>）。在控制變數方面，公司規模（</w:t>
      </w:r>
      <w:r w:rsidRPr="00154E7B">
        <w:rPr>
          <w:rFonts w:ascii="Times New Roman" w:eastAsia="標楷體" w:hAnsi="Times New Roman" w:cs="Times New Roman"/>
          <w:color w:val="0070C0"/>
        </w:rPr>
        <w:t>SIZE</w:t>
      </w:r>
      <w:r w:rsidRPr="00154E7B">
        <w:rPr>
          <w:rFonts w:ascii="Times New Roman" w:eastAsia="標楷體" w:hAnsi="Times New Roman" w:cs="Times New Roman"/>
          <w:color w:val="0070C0"/>
        </w:rPr>
        <w:t>）平均值為</w:t>
      </w:r>
      <w:r w:rsidRPr="00154E7B">
        <w:rPr>
          <w:rFonts w:ascii="Times New Roman" w:eastAsia="標楷體" w:hAnsi="Times New Roman" w:cs="Times New Roman"/>
          <w:color w:val="0070C0"/>
        </w:rPr>
        <w:t xml:space="preserve"> 15.4202</w:t>
      </w:r>
      <w:r w:rsidRPr="00154E7B">
        <w:rPr>
          <w:rFonts w:ascii="Times New Roman" w:eastAsia="標楷體" w:hAnsi="Times New Roman" w:cs="Times New Roman"/>
          <w:color w:val="0070C0"/>
        </w:rPr>
        <w:t>，資產密集度（</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）平均值為</w:t>
      </w:r>
      <w:r w:rsidRPr="00154E7B">
        <w:rPr>
          <w:rFonts w:ascii="Times New Roman" w:eastAsia="標楷體" w:hAnsi="Times New Roman" w:cs="Times New Roman"/>
          <w:color w:val="0070C0"/>
        </w:rPr>
        <w:t xml:space="preserve"> 3.1067</w:t>
      </w:r>
      <w:r w:rsidRPr="00154E7B">
        <w:rPr>
          <w:rFonts w:ascii="Times New Roman" w:eastAsia="標楷體" w:hAnsi="Times New Roman" w:cs="Times New Roman"/>
          <w:color w:val="0070C0"/>
        </w:rPr>
        <w:t>，員工密集度（</w:t>
      </w:r>
      <w:r w:rsidRPr="00154E7B">
        <w:rPr>
          <w:rFonts w:ascii="Times New Roman" w:eastAsia="標楷體" w:hAnsi="Times New Roman" w:cs="Times New Roman"/>
          <w:color w:val="0070C0"/>
        </w:rPr>
        <w:t>EI</w:t>
      </w:r>
      <w:r w:rsidRPr="00154E7B">
        <w:rPr>
          <w:rFonts w:ascii="Times New Roman" w:eastAsia="標楷體" w:hAnsi="Times New Roman" w:cs="Times New Roman"/>
          <w:color w:val="0070C0"/>
        </w:rPr>
        <w:t>）平均值為</w:t>
      </w:r>
      <w:r w:rsidRPr="00154E7B">
        <w:rPr>
          <w:rFonts w:ascii="Times New Roman" w:eastAsia="標楷體" w:hAnsi="Times New Roman" w:cs="Times New Roman"/>
          <w:color w:val="0070C0"/>
        </w:rPr>
        <w:t xml:space="preserve"> 0.0002</w:t>
      </w:r>
      <w:r w:rsidRPr="00154E7B">
        <w:rPr>
          <w:rFonts w:ascii="Times New Roman" w:eastAsia="標楷體" w:hAnsi="Times New Roman" w:cs="Times New Roman"/>
          <w:color w:val="0070C0"/>
        </w:rPr>
        <w:t>，資產報酬率（</w:t>
      </w:r>
      <w:r w:rsidRPr="00154E7B">
        <w:rPr>
          <w:rFonts w:ascii="Times New Roman" w:eastAsia="標楷體" w:hAnsi="Times New Roman" w:cs="Times New Roman"/>
          <w:color w:val="0070C0"/>
        </w:rPr>
        <w:t>ROA</w:t>
      </w:r>
      <w:r w:rsidRPr="00154E7B">
        <w:rPr>
          <w:rFonts w:ascii="Times New Roman" w:eastAsia="標楷體" w:hAnsi="Times New Roman" w:cs="Times New Roman"/>
          <w:color w:val="0070C0"/>
        </w:rPr>
        <w:t>）平均值為</w:t>
      </w:r>
      <w:r w:rsidRPr="00154E7B">
        <w:rPr>
          <w:rFonts w:ascii="Times New Roman" w:eastAsia="標楷體" w:hAnsi="Times New Roman" w:cs="Times New Roman"/>
          <w:color w:val="0070C0"/>
        </w:rPr>
        <w:t xml:space="preserve"> 0.8227%</w:t>
      </w:r>
      <w:r w:rsidRPr="00154E7B">
        <w:rPr>
          <w:rFonts w:ascii="Times New Roman" w:eastAsia="標楷體" w:hAnsi="Times New Roman" w:cs="Times New Roman"/>
          <w:color w:val="0070C0"/>
        </w:rPr>
        <w:t>，負債比率（</w:t>
      </w:r>
      <w:r w:rsidRPr="00154E7B">
        <w:rPr>
          <w:rFonts w:ascii="Times New Roman" w:eastAsia="標楷體" w:hAnsi="Times New Roman" w:cs="Times New Roman"/>
          <w:color w:val="0070C0"/>
        </w:rPr>
        <w:t>LEV</w:t>
      </w:r>
      <w:r w:rsidRPr="00154E7B">
        <w:rPr>
          <w:rFonts w:ascii="Times New Roman" w:eastAsia="標楷體" w:hAnsi="Times New Roman" w:cs="Times New Roman"/>
          <w:color w:val="0070C0"/>
        </w:rPr>
        <w:t>）平均值為</w:t>
      </w:r>
      <w:r w:rsidRPr="00154E7B">
        <w:rPr>
          <w:rFonts w:ascii="Times New Roman" w:eastAsia="標楷體" w:hAnsi="Times New Roman" w:cs="Times New Roman"/>
          <w:color w:val="0070C0"/>
        </w:rPr>
        <w:t xml:space="preserve"> 41.4062%</w:t>
      </w:r>
      <w:r w:rsidRPr="00154E7B">
        <w:rPr>
          <w:rFonts w:ascii="Times New Roman" w:eastAsia="標楷體" w:hAnsi="Times New Roman" w:cs="Times New Roman"/>
          <w:color w:val="0070C0"/>
        </w:rPr>
        <w:t>，連續營收衰退（</w:t>
      </w:r>
      <w:r w:rsidRPr="00154E7B">
        <w:rPr>
          <w:rFonts w:ascii="Times New Roman" w:eastAsia="標楷體" w:hAnsi="Times New Roman" w:cs="Times New Roman"/>
          <w:color w:val="0070C0"/>
        </w:rPr>
        <w:t>SUCC_DEC</w:t>
      </w:r>
      <w:r w:rsidRPr="00154E7B">
        <w:rPr>
          <w:rFonts w:ascii="Times New Roman" w:eastAsia="標楷體" w:hAnsi="Times New Roman" w:cs="Times New Roman"/>
          <w:color w:val="0070C0"/>
        </w:rPr>
        <w:t>）平均為</w:t>
      </w:r>
      <w:r w:rsidRPr="00154E7B">
        <w:rPr>
          <w:rFonts w:ascii="Times New Roman" w:eastAsia="標楷體" w:hAnsi="Times New Roman" w:cs="Times New Roman"/>
          <w:color w:val="0070C0"/>
        </w:rPr>
        <w:t xml:space="preserve"> 0.2322</w:t>
      </w:r>
      <w:r w:rsidRPr="00154E7B">
        <w:rPr>
          <w:rFonts w:ascii="Times New Roman" w:eastAsia="標楷體" w:hAnsi="Times New Roman" w:cs="Times New Roman"/>
          <w:color w:val="0070C0"/>
        </w:rPr>
        <w:t>，各財務變數之分佈特徵均與台灣主流會計實證文獻高度吻合。</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4-2 </w:t>
      </w:r>
      <w:r w:rsidRPr="00154E7B">
        <w:rPr>
          <w:rFonts w:ascii="Times New Roman" w:eastAsia="標楷體" w:hAnsi="Times New Roman" w:cs="Times New Roman"/>
          <w:color w:val="0070C0"/>
        </w:rPr>
        <w:t>進一步將全樣本劃分為「高耗水</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高污染製造業」與「低污染製造業」兩大子群體，並執行兩組獨立樣本平均數</w:t>
      </w:r>
      <w:r w:rsidRPr="00154E7B">
        <w:rPr>
          <w:rFonts w:ascii="Times New Roman" w:eastAsia="標楷體" w:hAnsi="Times New Roman" w:cs="Times New Roman"/>
          <w:color w:val="0070C0"/>
        </w:rPr>
        <w:t xml:space="preserve"> t </w:t>
      </w:r>
      <w:r w:rsidRPr="00154E7B">
        <w:rPr>
          <w:rFonts w:ascii="Times New Roman" w:eastAsia="標楷體" w:hAnsi="Times New Roman" w:cs="Times New Roman"/>
          <w:color w:val="0070C0"/>
        </w:rPr>
        <w:t>檢定與</w:t>
      </w:r>
      <w:r w:rsidRPr="00154E7B">
        <w:rPr>
          <w:rFonts w:ascii="Times New Roman" w:eastAsia="標楷體" w:hAnsi="Times New Roman" w:cs="Times New Roman"/>
          <w:color w:val="0070C0"/>
        </w:rPr>
        <w:t xml:space="preserve"> Wilcoxon </w:t>
      </w:r>
      <w:r w:rsidRPr="00154E7B">
        <w:rPr>
          <w:rFonts w:ascii="Times New Roman" w:eastAsia="標楷體" w:hAnsi="Times New Roman" w:cs="Times New Roman"/>
          <w:color w:val="0070C0"/>
        </w:rPr>
        <w:t>秩和檢定。檢驗結果顯現出深刻之產業結構鴻溝：高污染產業群體在用水密集度（平均</w:t>
      </w:r>
      <w:r w:rsidRPr="00154E7B">
        <w:rPr>
          <w:rFonts w:ascii="Times New Roman" w:eastAsia="標楷體" w:hAnsi="Times New Roman" w:cs="Times New Roman"/>
          <w:color w:val="0070C0"/>
        </w:rPr>
        <w:t xml:space="preserve"> 18.95 vs. 5.12</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14.82, p &lt; 0.001</w:t>
      </w:r>
      <w:r w:rsidRPr="00154E7B">
        <w:rPr>
          <w:rFonts w:ascii="Times New Roman" w:eastAsia="標楷體" w:hAnsi="Times New Roman" w:cs="Times New Roman"/>
          <w:color w:val="0070C0"/>
        </w:rPr>
        <w:t>）、廢棄物密集度（平均</w:t>
      </w:r>
      <w:r w:rsidRPr="00154E7B">
        <w:rPr>
          <w:rFonts w:ascii="Times New Roman" w:eastAsia="標楷體" w:hAnsi="Times New Roman" w:cs="Times New Roman"/>
          <w:color w:val="0070C0"/>
        </w:rPr>
        <w:t xml:space="preserve"> 0.78 vs. 0.18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11.36, p &lt; 0.001</w:t>
      </w:r>
      <w:r w:rsidRPr="00154E7B">
        <w:rPr>
          <w:rFonts w:ascii="Times New Roman" w:eastAsia="標楷體" w:hAnsi="Times New Roman" w:cs="Times New Roman"/>
          <w:color w:val="0070C0"/>
        </w:rPr>
        <w:t>）以及環境違規裁罰金額（平均</w:t>
      </w:r>
      <w:r w:rsidRPr="00154E7B">
        <w:rPr>
          <w:rFonts w:ascii="Times New Roman" w:eastAsia="標楷體" w:hAnsi="Times New Roman" w:cs="Times New Roman"/>
          <w:color w:val="0070C0"/>
        </w:rPr>
        <w:t xml:space="preserve"> 4.15‰ vs. 0.98‰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6.24, p &lt; 0.001</w:t>
      </w:r>
      <w:r w:rsidRPr="00154E7B">
        <w:rPr>
          <w:rFonts w:ascii="Times New Roman" w:eastAsia="標楷體" w:hAnsi="Times New Roman" w:cs="Times New Roman"/>
          <w:color w:val="0070C0"/>
        </w:rPr>
        <w:t>）上，均顯著超越低污染產業群體；同時，高污染產業之資產密集度（</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）亦顯著較高。此一客觀的產業分群統計差異，為後續檢驗假說</w:t>
      </w:r>
      <w:r w:rsidRPr="00154E7B">
        <w:rPr>
          <w:rFonts w:ascii="Times New Roman" w:eastAsia="標楷體" w:hAnsi="Times New Roman" w:cs="Times New Roman"/>
          <w:color w:val="0070C0"/>
        </w:rPr>
        <w:t xml:space="preserve"> H4 </w:t>
      </w:r>
      <w:r w:rsidRPr="00154E7B">
        <w:rPr>
          <w:rFonts w:ascii="Times New Roman" w:eastAsia="標楷體" w:hAnsi="Times New Roman" w:cs="Times New Roman"/>
          <w:color w:val="0070C0"/>
        </w:rPr>
        <w:t>之產業調節效果奠定了堅實之經驗事實支持。</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4-1</w:t>
      </w:r>
      <w:r w:rsidRPr="00154E7B">
        <w:rPr>
          <w:rFonts w:ascii="Times New Roman" w:eastAsia="標楷體" w:hAnsi="Times New Roman" w:cs="Times New Roman"/>
          <w:b/>
          <w:color w:val="0070C0"/>
          <w:sz w:val="22"/>
        </w:rPr>
        <w:t xml:space="preserve">　全樣本主要變數之敘述性統計表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83"/>
        <w:gridCol w:w="1139"/>
        <w:gridCol w:w="1153"/>
        <w:gridCol w:w="1150"/>
        <w:gridCol w:w="1150"/>
        <w:gridCol w:w="1170"/>
        <w:gridCol w:w="1159"/>
      </w:tblGrid>
      <w:tr w:rsidR="00154E7B" w:rsidRPr="00154E7B">
        <w:trPr>
          <w:jc w:val="center"/>
        </w:trPr>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變數代號</w:t>
            </w:r>
          </w:p>
        </w:tc>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樣本數</w:t>
            </w:r>
            <w:r w:rsidRPr="00154E7B">
              <w:rPr>
                <w:rFonts w:ascii="Times New Roman" w:eastAsia="標楷體" w:hAnsi="Times New Roman" w:cs="Times New Roman"/>
                <w:b/>
                <w:color w:val="0070C0"/>
                <w:sz w:val="17"/>
              </w:rPr>
              <w:t xml:space="preserve"> (N)</w:t>
            </w:r>
          </w:p>
        </w:tc>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平均值</w:t>
            </w:r>
            <w:r w:rsidRPr="00154E7B">
              <w:rPr>
                <w:rFonts w:ascii="Times New Roman" w:eastAsia="標楷體" w:hAnsi="Times New Roman" w:cs="Times New Roman"/>
                <w:b/>
                <w:color w:val="0070C0"/>
                <w:sz w:val="17"/>
              </w:rPr>
              <w:t xml:space="preserve"> (Mean)</w:t>
            </w:r>
          </w:p>
        </w:tc>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標準差</w:t>
            </w:r>
            <w:r w:rsidRPr="00154E7B">
              <w:rPr>
                <w:rFonts w:ascii="Times New Roman" w:eastAsia="標楷體" w:hAnsi="Times New Roman" w:cs="Times New Roman"/>
                <w:b/>
                <w:color w:val="0070C0"/>
                <w:sz w:val="17"/>
              </w:rPr>
              <w:t xml:space="preserve"> (SD)</w:t>
            </w:r>
          </w:p>
        </w:tc>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最小值</w:t>
            </w:r>
            <w:r w:rsidRPr="00154E7B">
              <w:rPr>
                <w:rFonts w:ascii="Times New Roman" w:eastAsia="標楷體" w:hAnsi="Times New Roman" w:cs="Times New Roman"/>
                <w:b/>
                <w:color w:val="0070C0"/>
                <w:sz w:val="17"/>
              </w:rPr>
              <w:t xml:space="preserve"> (Min)</w:t>
            </w:r>
          </w:p>
        </w:tc>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中位數</w:t>
            </w:r>
            <w:r w:rsidRPr="00154E7B">
              <w:rPr>
                <w:rFonts w:ascii="Times New Roman" w:eastAsia="標楷體" w:hAnsi="Times New Roman" w:cs="Times New Roman"/>
                <w:b/>
                <w:color w:val="0070C0"/>
                <w:sz w:val="17"/>
              </w:rPr>
              <w:t xml:space="preserve"> (Median)</w:t>
            </w:r>
          </w:p>
        </w:tc>
        <w:tc>
          <w:tcPr>
            <w:tcW w:w="1215"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最大值</w:t>
            </w:r>
            <w:r w:rsidRPr="00154E7B">
              <w:rPr>
                <w:rFonts w:ascii="Times New Roman" w:eastAsia="標楷體" w:hAnsi="Times New Roman" w:cs="Times New Roman"/>
                <w:b/>
                <w:color w:val="0070C0"/>
                <w:sz w:val="17"/>
              </w:rPr>
              <w:t xml:space="preserve"> (Max)</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Y_dLNSGA</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0.0214</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0.1582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-0.6250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0.0185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0.7850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dLNREV</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0.0252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0.2145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-0.8520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0.0210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0.9630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DEC (</w:t>
            </w:r>
            <w:r w:rsidRPr="00154E7B">
              <w:rPr>
                <w:rFonts w:ascii="Times New Roman" w:eastAsia="標楷體" w:hAnsi="Times New Roman" w:cs="Times New Roman"/>
                <w:color w:val="0070C0"/>
                <w:sz w:val="16"/>
              </w:rPr>
              <w:t>營收衰退虛擬</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0.3852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0.4867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WATER_RATE (%)</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1,039</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35.0842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31.6708</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23.3000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99.8638</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WATER_DISC (</w:t>
            </w:r>
            <w:r w:rsidRPr="00154E7B">
              <w:rPr>
                <w:rFonts w:ascii="Times New Roman" w:eastAsia="標楷體" w:hAnsi="Times New Roman" w:cs="Times New Roman"/>
                <w:color w:val="0070C0"/>
                <w:sz w:val="16"/>
              </w:rPr>
              <w:t>水揭露虛擬</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0.1118</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0.3151</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WATER_INTENSITY (m³/</w:t>
            </w:r>
            <w:r w:rsidRPr="00154E7B">
              <w:rPr>
                <w:rFonts w:ascii="Times New Roman" w:eastAsia="標楷體" w:hAnsi="Times New Roman" w:cs="Times New Roman"/>
                <w:color w:val="0070C0"/>
                <w:sz w:val="16"/>
              </w:rPr>
              <w:t>百萬</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8,484</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12.4520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28.3610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4.1200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185.6400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WASTE_INTENSITY (</w:t>
            </w:r>
            <w:r w:rsidRPr="00154E7B">
              <w:rPr>
                <w:rFonts w:ascii="Times New Roman" w:eastAsia="標楷體" w:hAnsi="Times New Roman" w:cs="Times New Roman"/>
                <w:color w:val="0070C0"/>
                <w:sz w:val="16"/>
              </w:rPr>
              <w:t>噸</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百萬</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3,591</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0.4486</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1.1477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0.1215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8.1388</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WASTE_DISC (GRI</w:t>
            </w:r>
            <w:r w:rsidRPr="00154E7B">
              <w:rPr>
                <w:rFonts w:ascii="Times New Roman" w:eastAsia="標楷體" w:hAnsi="Times New Roman" w:cs="Times New Roman"/>
                <w:color w:val="0070C0"/>
                <w:sz w:val="16"/>
              </w:rPr>
              <w:t>評分</w:t>
            </w:r>
            <w:r w:rsidRPr="00154E7B">
              <w:rPr>
                <w:rFonts w:ascii="Times New Roman" w:eastAsia="標楷體" w:hAnsi="Times New Roman" w:cs="Times New Roman"/>
                <w:color w:val="0070C0"/>
                <w:sz w:val="16"/>
              </w:rPr>
              <w:t xml:space="preserve"> 0-5)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15,123</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0.4974</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1.2357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5.0000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WASTE_FINE (‰ </w:t>
            </w:r>
            <w:r w:rsidRPr="00154E7B">
              <w:rPr>
                <w:rFonts w:ascii="Times New Roman" w:eastAsia="標楷體" w:hAnsi="Times New Roman" w:cs="Times New Roman"/>
                <w:color w:val="0070C0"/>
                <w:sz w:val="16"/>
              </w:rPr>
              <w:t>資產</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4,187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2.6612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10.0498</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0.0418</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84.6934</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SIZE (ln</w:t>
            </w:r>
            <w:r w:rsidRPr="00154E7B">
              <w:rPr>
                <w:rFonts w:ascii="Times New Roman" w:eastAsia="標楷體" w:hAnsi="Times New Roman" w:cs="Times New Roman"/>
                <w:color w:val="0070C0"/>
                <w:sz w:val="16"/>
              </w:rPr>
              <w:t>資產</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15.4202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1.4638</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12.0148</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15.2476</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20.6463</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lastRenderedPageBreak/>
              <w:t>AI (</w:t>
            </w:r>
            <w:r w:rsidRPr="00154E7B">
              <w:rPr>
                <w:rFonts w:ascii="Times New Roman" w:eastAsia="標楷體" w:hAnsi="Times New Roman" w:cs="Times New Roman"/>
                <w:color w:val="0070C0"/>
                <w:sz w:val="16"/>
              </w:rPr>
              <w:t>資產密集度</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3.1067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6.8015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0.3325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1.5004</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53.0478</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EI (</w:t>
            </w:r>
            <w:r w:rsidRPr="00154E7B">
              <w:rPr>
                <w:rFonts w:ascii="Times New Roman" w:eastAsia="標楷體" w:hAnsi="Times New Roman" w:cs="Times New Roman"/>
                <w:color w:val="0070C0"/>
                <w:sz w:val="16"/>
              </w:rPr>
              <w:t>員工密集度</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17,105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0.0001</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0.0015</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ROA (%)</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0.8227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3.2517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-22.3660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1.0200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14.2100</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LEV (</w:t>
            </w:r>
            <w:r w:rsidRPr="00154E7B">
              <w:rPr>
                <w:rFonts w:ascii="Times New Roman" w:eastAsia="標楷體" w:hAnsi="Times New Roman" w:cs="Times New Roman"/>
                <w:color w:val="0070C0"/>
                <w:sz w:val="16"/>
              </w:rPr>
              <w:t>負債比率</w:t>
            </w:r>
            <w:r w:rsidRPr="00154E7B">
              <w:rPr>
                <w:rFonts w:ascii="Times New Roman" w:eastAsia="標楷體" w:hAnsi="Times New Roman" w:cs="Times New Roman"/>
                <w:color w:val="0070C0"/>
                <w:sz w:val="16"/>
              </w:rPr>
              <w:t xml:space="preserve"> %)</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41.4062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18.5445</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4.4000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41.4400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93.3838</w:t>
            </w:r>
          </w:p>
        </w:tc>
      </w:tr>
      <w:tr w:rsidR="00154E7B" w:rsidRPr="00154E7B">
        <w:trPr>
          <w:jc w:val="center"/>
        </w:trPr>
        <w:tc>
          <w:tcPr>
            <w:tcW w:w="1215"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SUCC_DEC (</w:t>
            </w:r>
            <w:r w:rsidRPr="00154E7B">
              <w:rPr>
                <w:rFonts w:ascii="Times New Roman" w:eastAsia="標楷體" w:hAnsi="Times New Roman" w:cs="Times New Roman"/>
                <w:color w:val="0070C0"/>
                <w:sz w:val="16"/>
              </w:rPr>
              <w:t>連續衰退</w:t>
            </w:r>
            <w:r w:rsidRPr="00154E7B">
              <w:rPr>
                <w:rFonts w:ascii="Times New Roman" w:eastAsia="標楷體" w:hAnsi="Times New Roman" w:cs="Times New Roman"/>
                <w:color w:val="0070C0"/>
                <w:sz w:val="16"/>
              </w:rPr>
              <w:t>)</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17,620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0.2322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0.4222</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0.0000</w:t>
            </w:r>
          </w:p>
        </w:tc>
        <w:tc>
          <w:tcPr>
            <w:tcW w:w="1215"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1.0000</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註：全樣本涵蓋</w:t>
      </w:r>
      <w:r w:rsidRPr="00154E7B">
        <w:rPr>
          <w:rFonts w:ascii="Times New Roman" w:eastAsia="標楷體" w:hAnsi="Times New Roman" w:cs="Times New Roman"/>
          <w:color w:val="0070C0"/>
          <w:sz w:val="17"/>
        </w:rPr>
        <w:t xml:space="preserve"> 2014-2024 </w:t>
      </w:r>
      <w:r w:rsidRPr="00154E7B">
        <w:rPr>
          <w:rFonts w:ascii="Times New Roman" w:eastAsia="標楷體" w:hAnsi="Times New Roman" w:cs="Times New Roman"/>
          <w:color w:val="0070C0"/>
          <w:sz w:val="17"/>
        </w:rPr>
        <w:t>年台灣上市櫃製造業公司；所有連續型變數均已實施前後</w:t>
      </w:r>
      <w:r w:rsidRPr="00154E7B">
        <w:rPr>
          <w:rFonts w:ascii="Times New Roman" w:eastAsia="標楷體" w:hAnsi="Times New Roman" w:cs="Times New Roman"/>
          <w:color w:val="0070C0"/>
          <w:sz w:val="17"/>
        </w:rPr>
        <w:t xml:space="preserve"> 1% </w:t>
      </w:r>
      <w:r w:rsidRPr="00154E7B">
        <w:rPr>
          <w:rFonts w:ascii="Times New Roman" w:eastAsia="標楷體" w:hAnsi="Times New Roman" w:cs="Times New Roman"/>
          <w:color w:val="0070C0"/>
          <w:sz w:val="17"/>
        </w:rPr>
        <w:t>雙向縮尾處理。</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4-2</w:t>
      </w:r>
      <w:r w:rsidRPr="00154E7B">
        <w:rPr>
          <w:rFonts w:ascii="Times New Roman" w:eastAsia="標楷體" w:hAnsi="Times New Roman" w:cs="Times New Roman"/>
          <w:b/>
          <w:color w:val="0070C0"/>
          <w:sz w:val="22"/>
        </w:rPr>
        <w:t xml:space="preserve">　高耗水</w:t>
      </w:r>
      <w:r w:rsidRPr="00154E7B">
        <w:rPr>
          <w:rFonts w:ascii="Times New Roman" w:eastAsia="標楷體" w:hAnsi="Times New Roman" w:cs="Times New Roman"/>
          <w:b/>
          <w:color w:val="0070C0"/>
          <w:sz w:val="22"/>
        </w:rPr>
        <w:t>/</w:t>
      </w:r>
      <w:r w:rsidRPr="00154E7B">
        <w:rPr>
          <w:rFonts w:ascii="Times New Roman" w:eastAsia="標楷體" w:hAnsi="Times New Roman" w:cs="Times New Roman"/>
          <w:b/>
          <w:color w:val="0070C0"/>
          <w:sz w:val="22"/>
        </w:rPr>
        <w:t>高污染製造業分群統計差異檢定表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變數名稱</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高耗水</w:t>
            </w:r>
            <w:r w:rsidRPr="00154E7B">
              <w:rPr>
                <w:rFonts w:ascii="Times New Roman" w:eastAsia="標楷體" w:hAnsi="Times New Roman" w:cs="Times New Roman"/>
                <w:b/>
                <w:color w:val="0070C0"/>
                <w:sz w:val="17"/>
              </w:rPr>
              <w:t>/</w:t>
            </w:r>
            <w:r w:rsidRPr="00154E7B">
              <w:rPr>
                <w:rFonts w:ascii="Times New Roman" w:eastAsia="標楷體" w:hAnsi="Times New Roman" w:cs="Times New Roman"/>
                <w:b/>
                <w:color w:val="0070C0"/>
                <w:sz w:val="17"/>
              </w:rPr>
              <w:t>高污染組平均</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低污染製造業組平均</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平均數差值</w:t>
            </w:r>
            <w:r w:rsidRPr="00154E7B">
              <w:rPr>
                <w:rFonts w:ascii="Times New Roman" w:eastAsia="標楷體" w:hAnsi="Times New Roman" w:cs="Times New Roman"/>
                <w:b/>
                <w:color w:val="0070C0"/>
                <w:sz w:val="17"/>
              </w:rPr>
              <w:t xml:space="preserve">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 xml:space="preserve">Wilcoxon </w:t>
            </w:r>
            <w:r w:rsidRPr="00154E7B">
              <w:rPr>
                <w:rFonts w:ascii="Times New Roman" w:eastAsia="標楷體" w:hAnsi="Times New Roman" w:cs="Times New Roman"/>
                <w:b/>
                <w:color w:val="0070C0"/>
                <w:sz w:val="17"/>
              </w:rPr>
              <w:t>秩和</w:t>
            </w:r>
            <w:r w:rsidRPr="00154E7B">
              <w:rPr>
                <w:rFonts w:ascii="Times New Roman" w:eastAsia="標楷體" w:hAnsi="Times New Roman" w:cs="Times New Roman"/>
                <w:b/>
                <w:color w:val="0070C0"/>
                <w:sz w:val="17"/>
              </w:rPr>
              <w:t xml:space="preserve"> (z</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WATER_INTENSITY (m³/</w:t>
            </w:r>
            <w:r w:rsidRPr="00154E7B">
              <w:rPr>
                <w:rFonts w:ascii="Times New Roman" w:eastAsia="標楷體" w:hAnsi="Times New Roman" w:cs="Times New Roman"/>
                <w:color w:val="0070C0"/>
                <w:sz w:val="16"/>
              </w:rPr>
              <w:t>百萬</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18.9540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5.1230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13.8310 (14.82***)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16.24***</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WATER_RATE (%)</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44.6210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22.1580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22.4630 (9.65***)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10.18***</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WASTE_INTENSITY (</w:t>
            </w:r>
            <w:r w:rsidRPr="00154E7B">
              <w:rPr>
                <w:rFonts w:ascii="Times New Roman" w:eastAsia="標楷體" w:hAnsi="Times New Roman" w:cs="Times New Roman"/>
                <w:color w:val="0070C0"/>
                <w:sz w:val="16"/>
              </w:rPr>
              <w:t>噸</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百萬</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0.7845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0.1820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0.6025 (11.36***)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12.45***</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WASTE_FINE (‰ </w:t>
            </w:r>
            <w:r w:rsidRPr="00154E7B">
              <w:rPr>
                <w:rFonts w:ascii="Times New Roman" w:eastAsia="標楷體" w:hAnsi="Times New Roman" w:cs="Times New Roman"/>
                <w:color w:val="0070C0"/>
                <w:sz w:val="16"/>
              </w:rPr>
              <w:t>資產</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4.1520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0.9850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3.1670 (6.24***)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7.15***</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SIZE (ln</w:t>
            </w:r>
            <w:r w:rsidRPr="00154E7B">
              <w:rPr>
                <w:rFonts w:ascii="Times New Roman" w:eastAsia="標楷體" w:hAnsi="Times New Roman" w:cs="Times New Roman"/>
                <w:color w:val="0070C0"/>
                <w:sz w:val="16"/>
              </w:rPr>
              <w:t>資產</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15.8920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15.0210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0.8710 (12.45***)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13.20***</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AI (</w:t>
            </w:r>
            <w:r w:rsidRPr="00154E7B">
              <w:rPr>
                <w:rFonts w:ascii="Times New Roman" w:eastAsia="標楷體" w:hAnsi="Times New Roman" w:cs="Times New Roman"/>
                <w:color w:val="0070C0"/>
                <w:sz w:val="16"/>
              </w:rPr>
              <w:t>資產密集度</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3.8420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2.4850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1.3570 (8.15***)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9.42***</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LEV (</w:t>
            </w:r>
            <w:r w:rsidRPr="00154E7B">
              <w:rPr>
                <w:rFonts w:ascii="Times New Roman" w:eastAsia="標楷體" w:hAnsi="Times New Roman" w:cs="Times New Roman"/>
                <w:color w:val="0070C0"/>
                <w:sz w:val="16"/>
              </w:rPr>
              <w:t>負債比率</w:t>
            </w:r>
            <w:r w:rsidRPr="00154E7B">
              <w:rPr>
                <w:rFonts w:ascii="Times New Roman" w:eastAsia="標楷體" w:hAnsi="Times New Roman" w:cs="Times New Roman"/>
                <w:color w:val="0070C0"/>
                <w:sz w:val="16"/>
              </w:rPr>
              <w:t xml:space="preserve"> %)</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43.8500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39.3200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4.5300 (7.82***)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8.15***</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觀測值筆數</w:t>
            </w:r>
            <w:r w:rsidRPr="00154E7B">
              <w:rPr>
                <w:rFonts w:ascii="Times New Roman" w:eastAsia="標楷體" w:hAnsi="Times New Roman" w:cs="Times New Roman"/>
                <w:color w:val="0070C0"/>
                <w:sz w:val="16"/>
              </w:rPr>
              <w:t xml:space="preserve"> (N)</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8,242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9,895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w:t>
      </w:r>
      <w:r w:rsidRPr="00154E7B">
        <w:rPr>
          <w:rFonts w:ascii="Times New Roman" w:eastAsia="標楷體" w:hAnsi="Times New Roman" w:cs="Times New Roman"/>
          <w:color w:val="0070C0"/>
          <w:sz w:val="17"/>
        </w:rPr>
        <w:t xml:space="preserve">*** </w:t>
      </w:r>
      <w:r w:rsidRPr="00154E7B">
        <w:rPr>
          <w:rFonts w:ascii="Times New Roman" w:eastAsia="標楷體" w:hAnsi="Times New Roman" w:cs="Times New Roman"/>
          <w:color w:val="0070C0"/>
          <w:sz w:val="17"/>
        </w:rPr>
        <w:t>代表在</w:t>
      </w:r>
      <w:r w:rsidRPr="00154E7B">
        <w:rPr>
          <w:rFonts w:ascii="Times New Roman" w:eastAsia="標楷體" w:hAnsi="Times New Roman" w:cs="Times New Roman"/>
          <w:color w:val="0070C0"/>
          <w:sz w:val="17"/>
        </w:rPr>
        <w:t xml:space="preserve"> 1% </w:t>
      </w:r>
      <w:r w:rsidRPr="00154E7B">
        <w:rPr>
          <w:rFonts w:ascii="Times New Roman" w:eastAsia="標楷體" w:hAnsi="Times New Roman" w:cs="Times New Roman"/>
          <w:color w:val="0070C0"/>
          <w:sz w:val="17"/>
        </w:rPr>
        <w:t>顯著水準下顯著拒絕兩組平均數或中位數相等之虛無假說。</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第二節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相關係數分析與共線性檢定</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4-3 </w:t>
      </w:r>
      <w:r w:rsidRPr="00154E7B">
        <w:rPr>
          <w:rFonts w:ascii="Times New Roman" w:eastAsia="標楷體" w:hAnsi="Times New Roman" w:cs="Times New Roman"/>
          <w:color w:val="0070C0"/>
        </w:rPr>
        <w:t>列示了本研究主要連續變數之</w:t>
      </w:r>
      <w:r w:rsidRPr="00154E7B">
        <w:rPr>
          <w:rFonts w:ascii="Times New Roman" w:eastAsia="標楷體" w:hAnsi="Times New Roman" w:cs="Times New Roman"/>
          <w:color w:val="0070C0"/>
        </w:rPr>
        <w:t xml:space="preserve"> Pearson </w:t>
      </w:r>
      <w:r w:rsidRPr="00154E7B">
        <w:rPr>
          <w:rFonts w:ascii="Times New Roman" w:eastAsia="標楷體" w:hAnsi="Times New Roman" w:cs="Times New Roman"/>
          <w:color w:val="0070C0"/>
        </w:rPr>
        <w:t>積差相關係數（矩陣下方）與</w:t>
      </w:r>
      <w:r w:rsidRPr="00154E7B">
        <w:rPr>
          <w:rFonts w:ascii="Times New Roman" w:eastAsia="標楷體" w:hAnsi="Times New Roman" w:cs="Times New Roman"/>
          <w:color w:val="0070C0"/>
        </w:rPr>
        <w:t xml:space="preserve"> Spearman </w:t>
      </w:r>
      <w:r w:rsidRPr="00154E7B">
        <w:rPr>
          <w:rFonts w:ascii="Times New Roman" w:eastAsia="標楷體" w:hAnsi="Times New Roman" w:cs="Times New Roman"/>
          <w:color w:val="0070C0"/>
        </w:rPr>
        <w:t>等級相關係數（矩陣上方）。檢視矩陣關係可知，被解釋變數銷管費用對數變動率（</w:t>
      </w:r>
      <w:r w:rsidRPr="00154E7B">
        <w:rPr>
          <w:rFonts w:ascii="Times New Roman" w:eastAsia="標楷體" w:hAnsi="Times New Roman" w:cs="Times New Roman"/>
          <w:color w:val="0070C0"/>
        </w:rPr>
        <w:t>Y_dLNSGA</w:t>
      </w:r>
      <w:r w:rsidRPr="00154E7B">
        <w:rPr>
          <w:rFonts w:ascii="Times New Roman" w:eastAsia="標楷體" w:hAnsi="Times New Roman" w:cs="Times New Roman"/>
          <w:color w:val="0070C0"/>
        </w:rPr>
        <w:t>）與營收對數變動率（</w:t>
      </w:r>
      <w:r w:rsidRPr="00154E7B">
        <w:rPr>
          <w:rFonts w:ascii="Times New Roman" w:eastAsia="標楷體" w:hAnsi="Times New Roman" w:cs="Times New Roman"/>
          <w:color w:val="0070C0"/>
        </w:rPr>
        <w:t>dLNREV</w:t>
      </w:r>
      <w:r w:rsidRPr="00154E7B">
        <w:rPr>
          <w:rFonts w:ascii="Times New Roman" w:eastAsia="標楷體" w:hAnsi="Times New Roman" w:cs="Times New Roman"/>
          <w:color w:val="0070C0"/>
        </w:rPr>
        <w:t>）之間存在高度顯著之正向線性相關（</w:t>
      </w:r>
      <w:r w:rsidRPr="00154E7B">
        <w:rPr>
          <w:rFonts w:ascii="Times New Roman" w:eastAsia="標楷體" w:hAnsi="Times New Roman" w:cs="Times New Roman"/>
          <w:color w:val="0070C0"/>
        </w:rPr>
        <w:t>Pearson r = 0.534, p &lt; 0.001</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Spearman r = 0.518, p &lt; 0.001</w:t>
      </w:r>
      <w:r w:rsidRPr="00154E7B">
        <w:rPr>
          <w:rFonts w:ascii="Times New Roman" w:eastAsia="標楷體" w:hAnsi="Times New Roman" w:cs="Times New Roman"/>
          <w:color w:val="0070C0"/>
        </w:rPr>
        <w:t>）。此一結果高度符合直觀之經濟邏輯，證實企業營業費用之調整方向與營業收入之增減變動維持著高度緊密之同步牽引關係。</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在環境變數與財務變數之關聯性方面，水回收率（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）與公司規</w:t>
      </w:r>
      <w:r w:rsidRPr="00154E7B">
        <w:rPr>
          <w:rFonts w:ascii="Times New Roman" w:eastAsia="標楷體" w:hAnsi="Times New Roman" w:cs="Times New Roman"/>
          <w:color w:val="0070C0"/>
        </w:rPr>
        <w:lastRenderedPageBreak/>
        <w:t>模（</w:t>
      </w:r>
      <w:r w:rsidRPr="00154E7B">
        <w:rPr>
          <w:rFonts w:ascii="Times New Roman" w:eastAsia="標楷體" w:hAnsi="Times New Roman" w:cs="Times New Roman"/>
          <w:color w:val="0070C0"/>
        </w:rPr>
        <w:t>SIZE</w:t>
      </w:r>
      <w:r w:rsidRPr="00154E7B">
        <w:rPr>
          <w:rFonts w:ascii="Times New Roman" w:eastAsia="標楷體" w:hAnsi="Times New Roman" w:cs="Times New Roman"/>
          <w:color w:val="0070C0"/>
        </w:rPr>
        <w:t>）呈顯著正相關（</w:t>
      </w:r>
      <w:r w:rsidRPr="00154E7B">
        <w:rPr>
          <w:rFonts w:ascii="Times New Roman" w:eastAsia="標楷體" w:hAnsi="Times New Roman" w:cs="Times New Roman"/>
          <w:color w:val="0070C0"/>
        </w:rPr>
        <w:t>r = 0.119, p &lt; 0.01</w:t>
      </w:r>
      <w:r w:rsidRPr="00154E7B">
        <w:rPr>
          <w:rFonts w:ascii="Times New Roman" w:eastAsia="標楷體" w:hAnsi="Times New Roman" w:cs="Times New Roman"/>
          <w:color w:val="0070C0"/>
        </w:rPr>
        <w:t>），顯示規模較大、資本雄厚之大型企業更有能力斥資興建先進之水循環過濾設施；廢棄物密集度（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）與資產密集度（</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）呈正相關（</w:t>
      </w:r>
      <w:r w:rsidRPr="00154E7B">
        <w:rPr>
          <w:rFonts w:ascii="Times New Roman" w:eastAsia="標楷體" w:hAnsi="Times New Roman" w:cs="Times New Roman"/>
          <w:color w:val="0070C0"/>
        </w:rPr>
        <w:t>r = 0.070, p &lt; 0.05</w:t>
      </w:r>
      <w:r w:rsidRPr="00154E7B">
        <w:rPr>
          <w:rFonts w:ascii="Times New Roman" w:eastAsia="標楷體" w:hAnsi="Times New Roman" w:cs="Times New Roman"/>
          <w:color w:val="0070C0"/>
        </w:rPr>
        <w:t>），並與負債比率（</w:t>
      </w:r>
      <w:r w:rsidRPr="00154E7B">
        <w:rPr>
          <w:rFonts w:ascii="Times New Roman" w:eastAsia="標楷體" w:hAnsi="Times New Roman" w:cs="Times New Roman"/>
          <w:color w:val="0070C0"/>
        </w:rPr>
        <w:t>LEV</w:t>
      </w:r>
      <w:r w:rsidRPr="00154E7B">
        <w:rPr>
          <w:rFonts w:ascii="Times New Roman" w:eastAsia="標楷體" w:hAnsi="Times New Roman" w:cs="Times New Roman"/>
          <w:color w:val="0070C0"/>
        </w:rPr>
        <w:t>）呈正相關（</w:t>
      </w:r>
      <w:r w:rsidRPr="00154E7B">
        <w:rPr>
          <w:rFonts w:ascii="Times New Roman" w:eastAsia="標楷體" w:hAnsi="Times New Roman" w:cs="Times New Roman"/>
          <w:color w:val="0070C0"/>
        </w:rPr>
        <w:t>r = 0.104, p &lt; 0.01</w:t>
      </w:r>
      <w:r w:rsidRPr="00154E7B">
        <w:rPr>
          <w:rFonts w:ascii="Times New Roman" w:eastAsia="標楷體" w:hAnsi="Times New Roman" w:cs="Times New Roman"/>
          <w:color w:val="0070C0"/>
        </w:rPr>
        <w:t>），表明重化學與高污染製造業通常伴隨著高固定資產與高財務槓桿之資本結構。資產密集度（</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）與員工密集度（</w:t>
      </w:r>
      <w:r w:rsidRPr="00154E7B">
        <w:rPr>
          <w:rFonts w:ascii="Times New Roman" w:eastAsia="標楷體" w:hAnsi="Times New Roman" w:cs="Times New Roman"/>
          <w:color w:val="0070C0"/>
        </w:rPr>
        <w:t>EI</w:t>
      </w:r>
      <w:r w:rsidRPr="00154E7B">
        <w:rPr>
          <w:rFonts w:ascii="Times New Roman" w:eastAsia="標楷體" w:hAnsi="Times New Roman" w:cs="Times New Roman"/>
          <w:color w:val="0070C0"/>
        </w:rPr>
        <w:t>）呈顯著正相關（</w:t>
      </w:r>
      <w:r w:rsidRPr="00154E7B">
        <w:rPr>
          <w:rFonts w:ascii="Times New Roman" w:eastAsia="標楷體" w:hAnsi="Times New Roman" w:cs="Times New Roman"/>
          <w:color w:val="0070C0"/>
        </w:rPr>
        <w:t>r = 0.571, p &lt; 0.001</w:t>
      </w:r>
      <w:r w:rsidRPr="00154E7B">
        <w:rPr>
          <w:rFonts w:ascii="Times New Roman" w:eastAsia="標楷體" w:hAnsi="Times New Roman" w:cs="Times New Roman"/>
          <w:color w:val="0070C0"/>
        </w:rPr>
        <w:t>），反映出實體生產要素在製造業內部之互補配置特性。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針對實證計量模型可能面臨之多元共線性（</w:t>
      </w:r>
      <w:r w:rsidRPr="00154E7B">
        <w:rPr>
          <w:rFonts w:ascii="Times New Roman" w:eastAsia="標楷體" w:hAnsi="Times New Roman" w:cs="Times New Roman"/>
          <w:color w:val="0070C0"/>
        </w:rPr>
        <w:t>Multicollinearity</w:t>
      </w:r>
      <w:r w:rsidRPr="00154E7B">
        <w:rPr>
          <w:rFonts w:ascii="Times New Roman" w:eastAsia="標楷體" w:hAnsi="Times New Roman" w:cs="Times New Roman"/>
          <w:color w:val="0070C0"/>
        </w:rPr>
        <w:t>）威脅，本研究採取嚴謹之診斷程序。由表</w:t>
      </w:r>
      <w:r w:rsidRPr="00154E7B">
        <w:rPr>
          <w:rFonts w:ascii="Times New Roman" w:eastAsia="標楷體" w:hAnsi="Times New Roman" w:cs="Times New Roman"/>
          <w:color w:val="0070C0"/>
        </w:rPr>
        <w:t xml:space="preserve"> 4-3 </w:t>
      </w:r>
      <w:r w:rsidRPr="00154E7B">
        <w:rPr>
          <w:rFonts w:ascii="Times New Roman" w:eastAsia="標楷體" w:hAnsi="Times New Roman" w:cs="Times New Roman"/>
          <w:color w:val="0070C0"/>
        </w:rPr>
        <w:t>可知，除了特定控制變數（如</w:t>
      </w:r>
      <w:r w:rsidRPr="00154E7B">
        <w:rPr>
          <w:rFonts w:ascii="Times New Roman" w:eastAsia="標楷體" w:hAnsi="Times New Roman" w:cs="Times New Roman"/>
          <w:color w:val="0070C0"/>
        </w:rPr>
        <w:t xml:space="preserve"> AI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EI</w:t>
      </w:r>
      <w:r w:rsidRPr="00154E7B">
        <w:rPr>
          <w:rFonts w:ascii="Times New Roman" w:eastAsia="標楷體" w:hAnsi="Times New Roman" w:cs="Times New Roman"/>
          <w:color w:val="0070C0"/>
        </w:rPr>
        <w:t>）之間存在中度相關外，主要解釋變數與環境測試變數之間，以及各環境指標彼此之間的相關係數絕對值均普遍低於</w:t>
      </w:r>
      <w:r w:rsidRPr="00154E7B">
        <w:rPr>
          <w:rFonts w:ascii="Times New Roman" w:eastAsia="標楷體" w:hAnsi="Times New Roman" w:cs="Times New Roman"/>
          <w:color w:val="0070C0"/>
        </w:rPr>
        <w:t xml:space="preserve"> 0.35</w:t>
      </w:r>
      <w:r w:rsidRPr="00154E7B">
        <w:rPr>
          <w:rFonts w:ascii="Times New Roman" w:eastAsia="標楷體" w:hAnsi="Times New Roman" w:cs="Times New Roman"/>
          <w:color w:val="0070C0"/>
        </w:rPr>
        <w:t>，未見任何超過</w:t>
      </w:r>
      <w:r w:rsidRPr="00154E7B">
        <w:rPr>
          <w:rFonts w:ascii="Times New Roman" w:eastAsia="標楷體" w:hAnsi="Times New Roman" w:cs="Times New Roman"/>
          <w:color w:val="0070C0"/>
        </w:rPr>
        <w:t xml:space="preserve"> 0.70 </w:t>
      </w:r>
      <w:r w:rsidRPr="00154E7B">
        <w:rPr>
          <w:rFonts w:ascii="Times New Roman" w:eastAsia="標楷體" w:hAnsi="Times New Roman" w:cs="Times New Roman"/>
          <w:color w:val="0070C0"/>
        </w:rPr>
        <w:t>臨界水準之高度線性關聯。進一步對後續各多元實證迴歸模型進行變異數膨脹因子（</w:t>
      </w:r>
      <w:r w:rsidRPr="00154E7B">
        <w:rPr>
          <w:rFonts w:ascii="Times New Roman" w:eastAsia="標楷體" w:hAnsi="Times New Roman" w:cs="Times New Roman"/>
          <w:color w:val="0070C0"/>
        </w:rPr>
        <w:t xml:space="preserve">Variance Inflation Factor,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VIF</w:t>
      </w:r>
      <w:r w:rsidRPr="00154E7B">
        <w:rPr>
          <w:rFonts w:ascii="Times New Roman" w:eastAsia="標楷體" w:hAnsi="Times New Roman" w:cs="Times New Roman"/>
          <w:color w:val="0070C0"/>
        </w:rPr>
        <w:t>）診斷，結果顯示所有自變數之</w:t>
      </w:r>
      <w:r w:rsidRPr="00154E7B">
        <w:rPr>
          <w:rFonts w:ascii="Times New Roman" w:eastAsia="標楷體" w:hAnsi="Times New Roman" w:cs="Times New Roman"/>
          <w:color w:val="0070C0"/>
        </w:rPr>
        <w:t xml:space="preserve"> VIF </w:t>
      </w:r>
      <w:r w:rsidRPr="00154E7B">
        <w:rPr>
          <w:rFonts w:ascii="Times New Roman" w:eastAsia="標楷體" w:hAnsi="Times New Roman" w:cs="Times New Roman"/>
          <w:color w:val="0070C0"/>
        </w:rPr>
        <w:t>值最高不超過</w:t>
      </w:r>
      <w:r w:rsidRPr="00154E7B">
        <w:rPr>
          <w:rFonts w:ascii="Times New Roman" w:eastAsia="標楷體" w:hAnsi="Times New Roman" w:cs="Times New Roman"/>
          <w:color w:val="0070C0"/>
        </w:rPr>
        <w:t xml:space="preserve"> 2.45</w:t>
      </w:r>
      <w:r w:rsidRPr="00154E7B">
        <w:rPr>
          <w:rFonts w:ascii="Times New Roman" w:eastAsia="標楷體" w:hAnsi="Times New Roman" w:cs="Times New Roman"/>
          <w:color w:val="0070C0"/>
        </w:rPr>
        <w:t>，各模型之平均</w:t>
      </w:r>
      <w:r w:rsidRPr="00154E7B">
        <w:rPr>
          <w:rFonts w:ascii="Times New Roman" w:eastAsia="標楷體" w:hAnsi="Times New Roman" w:cs="Times New Roman"/>
          <w:color w:val="0070C0"/>
        </w:rPr>
        <w:t xml:space="preserve"> VIF </w:t>
      </w:r>
      <w:r w:rsidRPr="00154E7B">
        <w:rPr>
          <w:rFonts w:ascii="Times New Roman" w:eastAsia="標楷體" w:hAnsi="Times New Roman" w:cs="Times New Roman"/>
          <w:color w:val="0070C0"/>
        </w:rPr>
        <w:t>值均落在</w:t>
      </w:r>
      <w:r w:rsidRPr="00154E7B">
        <w:rPr>
          <w:rFonts w:ascii="Times New Roman" w:eastAsia="標楷體" w:hAnsi="Times New Roman" w:cs="Times New Roman"/>
          <w:color w:val="0070C0"/>
        </w:rPr>
        <w:t xml:space="preserve"> 1.35 </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 xml:space="preserve"> 1.82 </w:t>
      </w:r>
      <w:r w:rsidRPr="00154E7B">
        <w:rPr>
          <w:rFonts w:ascii="Times New Roman" w:eastAsia="標楷體" w:hAnsi="Times New Roman" w:cs="Times New Roman"/>
          <w:color w:val="0070C0"/>
        </w:rPr>
        <w:t>之安全區間，遠遠低於計量經濟學界公認之警示臨界值</w:t>
      </w:r>
      <w:r w:rsidRPr="00154E7B">
        <w:rPr>
          <w:rFonts w:ascii="Times New Roman" w:eastAsia="標楷體" w:hAnsi="Times New Roman" w:cs="Times New Roman"/>
          <w:color w:val="0070C0"/>
        </w:rPr>
        <w:t xml:space="preserve"> 10</w:t>
      </w:r>
      <w:r w:rsidRPr="00154E7B">
        <w:rPr>
          <w:rFonts w:ascii="Times New Roman" w:eastAsia="標楷體" w:hAnsi="Times New Roman" w:cs="Times New Roman"/>
          <w:color w:val="0070C0"/>
        </w:rPr>
        <w:t>（亦遠低於更嚴苛之門檻</w:t>
      </w:r>
      <w:r w:rsidRPr="00154E7B">
        <w:rPr>
          <w:rFonts w:ascii="Times New Roman" w:eastAsia="標楷體" w:hAnsi="Times New Roman" w:cs="Times New Roman"/>
          <w:color w:val="0070C0"/>
        </w:rPr>
        <w:t xml:space="preserve"> 5</w:t>
      </w:r>
      <w:r w:rsidRPr="00154E7B">
        <w:rPr>
          <w:rFonts w:ascii="Times New Roman" w:eastAsia="標楷體" w:hAnsi="Times New Roman" w:cs="Times New Roman"/>
          <w:color w:val="0070C0"/>
        </w:rPr>
        <w:t>）。此一診斷結果確鑿地證實，本研究所設定之各實證模型完全不存在嚴重之多元共線性干擾，各迴歸係數之獨立估計精度極高。</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4-3</w:t>
      </w:r>
      <w:r w:rsidRPr="00154E7B">
        <w:rPr>
          <w:rFonts w:ascii="Times New Roman" w:eastAsia="標楷體" w:hAnsi="Times New Roman" w:cs="Times New Roman"/>
          <w:b/>
          <w:color w:val="0070C0"/>
          <w:sz w:val="22"/>
        </w:rPr>
        <w:t xml:space="preserve">　主要連續變數之相關係數矩陣表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062"/>
        <w:gridCol w:w="966"/>
        <w:gridCol w:w="786"/>
        <w:gridCol w:w="1208"/>
        <w:gridCol w:w="1052"/>
        <w:gridCol w:w="686"/>
        <w:gridCol w:w="686"/>
        <w:gridCol w:w="686"/>
        <w:gridCol w:w="686"/>
        <w:gridCol w:w="686"/>
      </w:tblGrid>
      <w:tr w:rsidR="00154E7B" w:rsidRPr="00154E7B">
        <w:trPr>
          <w:jc w:val="center"/>
        </w:trPr>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變數代號</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Y_dLNSGA</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dLNREV</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WATER_RATE</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WASTE_INT</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SIZE</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AI</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EI</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ROA</w:t>
            </w:r>
          </w:p>
        </w:tc>
        <w:tc>
          <w:tcPr>
            <w:tcW w:w="850"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LEV</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Y_dLNSGA</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0.518***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0.092***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-0.071***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-0.112***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0.162***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dLNREV</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0.534***</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0.081***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-0.168***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-0.195***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0.268***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0.061***</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WATER_RATE</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0.285***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0.125***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-0.092***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-0.088***</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WASTE_INT</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0.270***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0.074***</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0.078***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0.112***</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SIZE</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0.089***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0.075***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0.119***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-0.038**</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-0.389***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0.195***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0.324***</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AI</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-0.159***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0.070***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0.589***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-0.215**</w:t>
            </w:r>
            <w:r w:rsidRPr="00154E7B">
              <w:rPr>
                <w:rFonts w:ascii="Times New Roman" w:eastAsia="標楷體" w:hAnsi="Times New Roman" w:cs="Times New Roman"/>
                <w:color w:val="0070C0"/>
                <w:sz w:val="16"/>
              </w:rPr>
              <w:lastRenderedPageBreak/>
              <w:t>*</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lastRenderedPageBreak/>
              <w:t>-0.098**</w:t>
            </w:r>
            <w:r w:rsidRPr="00154E7B">
              <w:rPr>
                <w:rFonts w:ascii="Times New Roman" w:eastAsia="標楷體" w:hAnsi="Times New Roman" w:cs="Times New Roman"/>
                <w:color w:val="0070C0"/>
                <w:sz w:val="16"/>
              </w:rPr>
              <w:lastRenderedPageBreak/>
              <w:t>*</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lastRenderedPageBreak/>
              <w:t>EI</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-0.105***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-0.189***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-0.089***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-0.022</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-0.373***</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0.571***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-0.285***</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-0.215***</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ROA</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0.151***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0.253***</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-0.017</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0.183***</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-0.196***</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-0.271***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-0.115***</w:t>
            </w:r>
          </w:p>
        </w:tc>
      </w:tr>
      <w:tr w:rsidR="00154E7B" w:rsidRPr="00154E7B">
        <w:trPr>
          <w:jc w:val="center"/>
        </w:trPr>
        <w:tc>
          <w:tcPr>
            <w:tcW w:w="850"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LEV</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0.037**</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0.057***</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-0.084***</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0.104***</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0.309***</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-0.091***</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-0.203***</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-0.103***</w:t>
            </w:r>
          </w:p>
        </w:tc>
        <w:tc>
          <w:tcPr>
            <w:tcW w:w="850"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1.000</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註：對角線下方為</w:t>
      </w:r>
      <w:r w:rsidRPr="00154E7B">
        <w:rPr>
          <w:rFonts w:ascii="Times New Roman" w:eastAsia="標楷體" w:hAnsi="Times New Roman" w:cs="Times New Roman"/>
          <w:color w:val="0070C0"/>
          <w:sz w:val="17"/>
        </w:rPr>
        <w:t xml:space="preserve"> Pearson </w:t>
      </w:r>
      <w:r w:rsidRPr="00154E7B">
        <w:rPr>
          <w:rFonts w:ascii="Times New Roman" w:eastAsia="標楷體" w:hAnsi="Times New Roman" w:cs="Times New Roman"/>
          <w:color w:val="0070C0"/>
          <w:sz w:val="17"/>
        </w:rPr>
        <w:t>相關係數，對角線上方為</w:t>
      </w:r>
      <w:r w:rsidRPr="00154E7B">
        <w:rPr>
          <w:rFonts w:ascii="Times New Roman" w:eastAsia="標楷體" w:hAnsi="Times New Roman" w:cs="Times New Roman"/>
          <w:color w:val="0070C0"/>
          <w:sz w:val="17"/>
        </w:rPr>
        <w:t xml:space="preserve"> Spearman </w:t>
      </w:r>
      <w:r w:rsidRPr="00154E7B">
        <w:rPr>
          <w:rFonts w:ascii="Times New Roman" w:eastAsia="標楷體" w:hAnsi="Times New Roman" w:cs="Times New Roman"/>
          <w:color w:val="0070C0"/>
          <w:sz w:val="17"/>
        </w:rPr>
        <w:t>等級相關係數。</w:t>
      </w:r>
      <w:r w:rsidRPr="00154E7B">
        <w:rPr>
          <w:rFonts w:ascii="Times New Roman" w:eastAsia="標楷體" w:hAnsi="Times New Roman" w:cs="Times New Roman"/>
          <w:color w:val="0070C0"/>
          <w:sz w:val="17"/>
        </w:rPr>
        <w:t>*** p&lt;0.01, ** p&lt;0.05, * p&lt;0.10</w:t>
      </w:r>
      <w:r w:rsidRPr="00154E7B">
        <w:rPr>
          <w:rFonts w:ascii="Times New Roman" w:eastAsia="標楷體" w:hAnsi="Times New Roman" w:cs="Times New Roman"/>
          <w:color w:val="0070C0"/>
          <w:sz w:val="17"/>
        </w:rPr>
        <w:t>。</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第三節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核心結果：水資源管理對成本黏性之影響</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4-4 </w:t>
      </w:r>
      <w:r w:rsidRPr="00154E7B">
        <w:rPr>
          <w:rFonts w:ascii="Times New Roman" w:eastAsia="標楷體" w:hAnsi="Times New Roman" w:cs="Times New Roman"/>
          <w:color w:val="0070C0"/>
        </w:rPr>
        <w:t>詳細呈現了水資源管理構面對企業成本黏性之當期調節迴歸估計結果。模型</w:t>
      </w:r>
      <w:r w:rsidRPr="00154E7B">
        <w:rPr>
          <w:rFonts w:ascii="Times New Roman" w:eastAsia="標楷體" w:hAnsi="Times New Roman" w:cs="Times New Roman"/>
          <w:color w:val="0070C0"/>
        </w:rPr>
        <w:t>(1)</w:t>
      </w:r>
      <w:r w:rsidRPr="00154E7B">
        <w:rPr>
          <w:rFonts w:ascii="Times New Roman" w:eastAsia="標楷體" w:hAnsi="Times New Roman" w:cs="Times New Roman"/>
          <w:color w:val="0070C0"/>
        </w:rPr>
        <w:t>為未納入環境變數之基準</w:t>
      </w:r>
      <w:r w:rsidRPr="00154E7B">
        <w:rPr>
          <w:rFonts w:ascii="Times New Roman" w:eastAsia="標楷體" w:hAnsi="Times New Roman" w:cs="Times New Roman"/>
          <w:color w:val="0070C0"/>
        </w:rPr>
        <w:t xml:space="preserve"> ABJ </w:t>
      </w:r>
      <w:r w:rsidRPr="00154E7B">
        <w:rPr>
          <w:rFonts w:ascii="Times New Roman" w:eastAsia="標楷體" w:hAnsi="Times New Roman" w:cs="Times New Roman"/>
          <w:color w:val="0070C0"/>
        </w:rPr>
        <w:t>成本黏性模型；模型</w:t>
      </w:r>
      <w:r w:rsidRPr="00154E7B">
        <w:rPr>
          <w:rFonts w:ascii="Times New Roman" w:eastAsia="標楷體" w:hAnsi="Times New Roman" w:cs="Times New Roman"/>
          <w:color w:val="0070C0"/>
        </w:rPr>
        <w:t>(2)</w:t>
      </w:r>
      <w:r w:rsidRPr="00154E7B">
        <w:rPr>
          <w:rFonts w:ascii="Times New Roman" w:eastAsia="標楷體" w:hAnsi="Times New Roman" w:cs="Times New Roman"/>
          <w:color w:val="0070C0"/>
        </w:rPr>
        <w:t>納入水回收率（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(6)</w:t>
      </w:r>
      <w:r w:rsidRPr="00154E7B">
        <w:rPr>
          <w:rFonts w:ascii="Times New Roman" w:eastAsia="標楷體" w:hAnsi="Times New Roman" w:cs="Times New Roman"/>
          <w:color w:val="0070C0"/>
        </w:rPr>
        <w:t>納入用水密集度（</w:t>
      </w:r>
      <w:r w:rsidRPr="00154E7B">
        <w:rPr>
          <w:rFonts w:ascii="Times New Roman" w:eastAsia="標楷體" w:hAnsi="Times New Roman" w:cs="Times New Roman"/>
          <w:color w:val="0070C0"/>
        </w:rPr>
        <w:t>WATER_INTENSITY</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(2b)</w:t>
      </w:r>
      <w:r w:rsidRPr="00154E7B">
        <w:rPr>
          <w:rFonts w:ascii="Times New Roman" w:eastAsia="標楷體" w:hAnsi="Times New Roman" w:cs="Times New Roman"/>
          <w:color w:val="0070C0"/>
        </w:rPr>
        <w:t>則納入水資源資訊揭露（</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）。所有模型均已控制年度與細部產業固定效果，標準誤採公司層級叢集調整。</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首先檢視模型</w:t>
      </w:r>
      <w:r w:rsidRPr="00154E7B">
        <w:rPr>
          <w:rFonts w:ascii="Times New Roman" w:eastAsia="標楷體" w:hAnsi="Times New Roman" w:cs="Times New Roman"/>
          <w:color w:val="0070C0"/>
        </w:rPr>
        <w:t>(1)</w:t>
      </w:r>
      <w:r w:rsidRPr="00154E7B">
        <w:rPr>
          <w:rFonts w:ascii="Times New Roman" w:eastAsia="標楷體" w:hAnsi="Times New Roman" w:cs="Times New Roman"/>
          <w:color w:val="0070C0"/>
        </w:rPr>
        <w:t>之基準估計：營收變動率</w:t>
      </w:r>
      <w:r w:rsidRPr="00154E7B">
        <w:rPr>
          <w:rFonts w:ascii="Times New Roman" w:eastAsia="標楷體" w:hAnsi="Times New Roman" w:cs="Times New Roman"/>
          <w:color w:val="0070C0"/>
        </w:rPr>
        <w:t xml:space="preserve"> dLNREV </w:t>
      </w:r>
      <w:r w:rsidRPr="00154E7B">
        <w:rPr>
          <w:rFonts w:ascii="Times New Roman" w:eastAsia="標楷體" w:hAnsi="Times New Roman" w:cs="Times New Roman"/>
          <w:color w:val="0070C0"/>
        </w:rPr>
        <w:t>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估計值為</w:t>
      </w:r>
      <w:r w:rsidRPr="00154E7B">
        <w:rPr>
          <w:rFonts w:ascii="Times New Roman" w:eastAsia="標楷體" w:hAnsi="Times New Roman" w:cs="Times New Roman"/>
          <w:color w:val="0070C0"/>
        </w:rPr>
        <w:t xml:space="preserve"> 0.3542</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28.16, p &lt; 0.001</w:t>
      </w:r>
      <w:r w:rsidRPr="00154E7B">
        <w:rPr>
          <w:rFonts w:ascii="Times New Roman" w:eastAsia="標楷體" w:hAnsi="Times New Roman" w:cs="Times New Roman"/>
          <w:color w:val="0070C0"/>
        </w:rPr>
        <w:t>），代表當企業營業收入上升</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時，銷管費用平均顯著增長約</w:t>
      </w:r>
      <w:r w:rsidRPr="00154E7B">
        <w:rPr>
          <w:rFonts w:ascii="Times New Roman" w:eastAsia="標楷體" w:hAnsi="Times New Roman" w:cs="Times New Roman"/>
          <w:color w:val="0070C0"/>
        </w:rPr>
        <w:t xml:space="preserve"> 0.3542%</w:t>
      </w:r>
      <w:r w:rsidRPr="00154E7B">
        <w:rPr>
          <w:rFonts w:ascii="Times New Roman" w:eastAsia="標楷體" w:hAnsi="Times New Roman" w:cs="Times New Roman"/>
          <w:color w:val="0070C0"/>
        </w:rPr>
        <w:t>；而基準交乘項</w:t>
      </w:r>
      <w:r w:rsidRPr="00154E7B">
        <w:rPr>
          <w:rFonts w:ascii="Times New Roman" w:eastAsia="標楷體" w:hAnsi="Times New Roman" w:cs="Times New Roman"/>
          <w:color w:val="0070C0"/>
        </w:rPr>
        <w:t xml:space="preserve"> DEC_x_dREV </w:t>
      </w:r>
      <w:r w:rsidRPr="00154E7B">
        <w:rPr>
          <w:rFonts w:ascii="Times New Roman" w:eastAsia="標楷體" w:hAnsi="Times New Roman" w:cs="Times New Roman"/>
          <w:color w:val="0070C0"/>
        </w:rPr>
        <w:t>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估計值為</w:t>
      </w:r>
      <w:r w:rsidRPr="00154E7B">
        <w:rPr>
          <w:rFonts w:ascii="Times New Roman" w:eastAsia="標楷體" w:hAnsi="Times New Roman" w:cs="Times New Roman"/>
          <w:color w:val="0070C0"/>
        </w:rPr>
        <w:t xml:space="preserve"> -0.1582</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-8.45, p &lt; 0.001</w:t>
      </w:r>
      <w:r w:rsidRPr="00154E7B">
        <w:rPr>
          <w:rFonts w:ascii="Times New Roman" w:eastAsia="標楷體" w:hAnsi="Times New Roman" w:cs="Times New Roman"/>
          <w:color w:val="0070C0"/>
        </w:rPr>
        <w:t>），在</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統計水準下呈現高度顯著負向。此一實證結果強烈證實：台灣上市櫃製造業普遍存在極為顯著之成本僵固性。在營收衰退情境下（</w:t>
      </w:r>
      <w:r w:rsidRPr="00154E7B">
        <w:rPr>
          <w:rFonts w:ascii="Times New Roman" w:eastAsia="標楷體" w:hAnsi="Times New Roman" w:cs="Times New Roman"/>
          <w:color w:val="0070C0"/>
        </w:rPr>
        <w:t>DEC = 1</w:t>
      </w:r>
      <w:r w:rsidRPr="00154E7B">
        <w:rPr>
          <w:rFonts w:ascii="Times New Roman" w:eastAsia="標楷體" w:hAnsi="Times New Roman" w:cs="Times New Roman"/>
          <w:color w:val="0070C0"/>
        </w:rPr>
        <w:t>），營收每下降</w:t>
      </w:r>
      <w:r w:rsidRPr="00154E7B">
        <w:rPr>
          <w:rFonts w:ascii="Times New Roman" w:eastAsia="標楷體" w:hAnsi="Times New Roman" w:cs="Times New Roman"/>
          <w:color w:val="0070C0"/>
        </w:rPr>
        <w:t xml:space="preserve"> 1%</w:t>
      </w:r>
      <w:r w:rsidRPr="00154E7B">
        <w:rPr>
          <w:rFonts w:ascii="Times New Roman" w:eastAsia="標楷體" w:hAnsi="Times New Roman" w:cs="Times New Roman"/>
          <w:color w:val="0070C0"/>
        </w:rPr>
        <w:t>，銷管費用僅下降</w:t>
      </w:r>
      <w:r w:rsidRPr="00154E7B">
        <w:rPr>
          <w:rFonts w:ascii="Times New Roman" w:eastAsia="標楷體" w:hAnsi="Times New Roman" w:cs="Times New Roman"/>
          <w:color w:val="0070C0"/>
        </w:rPr>
        <w:t xml:space="preserve"> 0.1960%</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0.3542 - 0.1582 = 0.1960%</w:t>
      </w:r>
      <w:r w:rsidRPr="00154E7B">
        <w:rPr>
          <w:rFonts w:ascii="Times New Roman" w:eastAsia="標楷體" w:hAnsi="Times New Roman" w:cs="Times New Roman"/>
          <w:color w:val="0070C0"/>
        </w:rPr>
        <w:t>），費用下行調整幅度僅為上行擴張幅度之</w:t>
      </w:r>
      <w:r w:rsidRPr="00154E7B">
        <w:rPr>
          <w:rFonts w:ascii="Times New Roman" w:eastAsia="標楷體" w:hAnsi="Times New Roman" w:cs="Times New Roman"/>
          <w:color w:val="0070C0"/>
        </w:rPr>
        <w:t xml:space="preserve"> 55.33%</w:t>
      </w:r>
      <w:r w:rsidRPr="00154E7B">
        <w:rPr>
          <w:rFonts w:ascii="Times New Roman" w:eastAsia="標楷體" w:hAnsi="Times New Roman" w:cs="Times New Roman"/>
          <w:color w:val="0070C0"/>
        </w:rPr>
        <w:t>，驗證了非對稱費用調整在台灣製造業之普遍性與頑固性。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接下來檢驗假說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(2)</w:t>
      </w:r>
      <w:r w:rsidRPr="00154E7B">
        <w:rPr>
          <w:rFonts w:ascii="Times New Roman" w:eastAsia="標楷體" w:hAnsi="Times New Roman" w:cs="Times New Roman"/>
          <w:color w:val="0070C0"/>
        </w:rPr>
        <w:t>將水回收率（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）及其三重交乘項</w:t>
      </w:r>
      <w:r w:rsidRPr="00154E7B">
        <w:rPr>
          <w:rFonts w:ascii="Times New Roman" w:eastAsia="標楷體" w:hAnsi="Times New Roman" w:cs="Times New Roman"/>
          <w:color w:val="0070C0"/>
        </w:rPr>
        <w:t xml:space="preserve"> WATER_RATE × DEC × dLNREV </w:t>
      </w:r>
      <w:r w:rsidRPr="00154E7B">
        <w:rPr>
          <w:rFonts w:ascii="Times New Roman" w:eastAsia="標楷體" w:hAnsi="Times New Roman" w:cs="Times New Roman"/>
          <w:color w:val="0070C0"/>
        </w:rPr>
        <w:t>代入迴歸方程。實證結果顯示，三重交乘項之係數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在控制了規模、資本密集度、員工密集度及負債比率之交互作用後，其估計值為</w:t>
      </w:r>
      <w:r w:rsidRPr="00154E7B">
        <w:rPr>
          <w:rFonts w:ascii="Times New Roman" w:eastAsia="標楷體" w:hAnsi="Times New Roman" w:cs="Times New Roman"/>
          <w:color w:val="0070C0"/>
        </w:rPr>
        <w:t xml:space="preserve"> -0.0008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-2.18, p &lt; 0.05</w:t>
      </w:r>
      <w:r w:rsidRPr="00154E7B">
        <w:rPr>
          <w:rFonts w:ascii="Times New Roman" w:eastAsia="標楷體" w:hAnsi="Times New Roman" w:cs="Times New Roman"/>
          <w:color w:val="0070C0"/>
        </w:rPr>
        <w:t>），達到</w:t>
      </w:r>
      <w:r w:rsidRPr="00154E7B">
        <w:rPr>
          <w:rFonts w:ascii="Times New Roman" w:eastAsia="標楷體" w:hAnsi="Times New Roman" w:cs="Times New Roman"/>
          <w:color w:val="0070C0"/>
        </w:rPr>
        <w:t xml:space="preserve"> 5% </w:t>
      </w:r>
      <w:r w:rsidRPr="00154E7B">
        <w:rPr>
          <w:rFonts w:ascii="Times New Roman" w:eastAsia="標楷體" w:hAnsi="Times New Roman" w:cs="Times New Roman"/>
          <w:color w:val="0070C0"/>
        </w:rPr>
        <w:t>之統計顯著水準。此一負向係數具有深刻之經濟意涵：由於係數為負，代表企業水回收率越高，在面臨營收衰退時，銷管費用向下扣減之幅度越小，即成本黏性被實質放大！計算其邊際效應，當企業水回收率提高</w:t>
      </w:r>
      <w:r w:rsidRPr="00154E7B">
        <w:rPr>
          <w:rFonts w:ascii="Times New Roman" w:eastAsia="標楷體" w:hAnsi="Times New Roman" w:cs="Times New Roman"/>
          <w:color w:val="0070C0"/>
        </w:rPr>
        <w:t xml:space="preserve"> 20% </w:t>
      </w:r>
      <w:r w:rsidRPr="00154E7B">
        <w:rPr>
          <w:rFonts w:ascii="Times New Roman" w:eastAsia="標楷體" w:hAnsi="Times New Roman" w:cs="Times New Roman"/>
          <w:color w:val="0070C0"/>
        </w:rPr>
        <w:t>時，在營收衰退</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之情境下，銷管費用的下調幅度將被額外壓制約</w:t>
      </w:r>
      <w:r w:rsidRPr="00154E7B">
        <w:rPr>
          <w:rFonts w:ascii="Times New Roman" w:eastAsia="標楷體" w:hAnsi="Times New Roman" w:cs="Times New Roman"/>
          <w:color w:val="0070C0"/>
        </w:rPr>
        <w:t xml:space="preserve"> 0.016 </w:t>
      </w:r>
      <w:r w:rsidRPr="00154E7B">
        <w:rPr>
          <w:rFonts w:ascii="Times New Roman" w:eastAsia="標楷體" w:hAnsi="Times New Roman" w:cs="Times New Roman"/>
          <w:color w:val="0070C0"/>
        </w:rPr>
        <w:t>個百分點。此一實證證據直接支持了假說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：水回收率本質上依</w:t>
      </w:r>
      <w:r w:rsidRPr="00154E7B">
        <w:rPr>
          <w:rFonts w:ascii="Times New Roman" w:eastAsia="標楷體" w:hAnsi="Times New Roman" w:cs="Times New Roman"/>
          <w:color w:val="0070C0"/>
        </w:rPr>
        <w:lastRenderedPageBreak/>
        <w:t>賴高度專用性之過濾除污與中水再利用重資產，其產生的龐大固定資產折舊與不間斷運轉之水電藥劑維護費，構築了高昂之下行調整阻力，在景氣逆風時實質削弱了管理者的成本調降彈性。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進一步觀察模型</w:t>
      </w:r>
      <w:r w:rsidRPr="00154E7B">
        <w:rPr>
          <w:rFonts w:ascii="Times New Roman" w:eastAsia="標楷體" w:hAnsi="Times New Roman" w:cs="Times New Roman"/>
          <w:color w:val="0070C0"/>
        </w:rPr>
        <w:t>(6)</w:t>
      </w:r>
      <w:r w:rsidRPr="00154E7B">
        <w:rPr>
          <w:rFonts w:ascii="Times New Roman" w:eastAsia="標楷體" w:hAnsi="Times New Roman" w:cs="Times New Roman"/>
          <w:color w:val="0070C0"/>
        </w:rPr>
        <w:t>之用水密集度（</w:t>
      </w:r>
      <w:r w:rsidRPr="00154E7B">
        <w:rPr>
          <w:rFonts w:ascii="Times New Roman" w:eastAsia="標楷體" w:hAnsi="Times New Roman" w:cs="Times New Roman"/>
          <w:color w:val="0070C0"/>
        </w:rPr>
        <w:t>WATER_INTENSITY</w:t>
      </w:r>
      <w:r w:rsidRPr="00154E7B">
        <w:rPr>
          <w:rFonts w:ascii="Times New Roman" w:eastAsia="標楷體" w:hAnsi="Times New Roman" w:cs="Times New Roman"/>
          <w:color w:val="0070C0"/>
        </w:rPr>
        <w:t>）：當期三重交乘項之係數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為</w:t>
      </w:r>
      <w:r w:rsidRPr="00154E7B">
        <w:rPr>
          <w:rFonts w:ascii="Times New Roman" w:eastAsia="標楷體" w:hAnsi="Times New Roman" w:cs="Times New Roman"/>
          <w:color w:val="0070C0"/>
        </w:rPr>
        <w:t xml:space="preserve"> -0.0305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-1.29</w:t>
      </w:r>
      <w:r w:rsidRPr="00154E7B">
        <w:rPr>
          <w:rFonts w:ascii="Times New Roman" w:eastAsia="標楷體" w:hAnsi="Times New Roman" w:cs="Times New Roman"/>
          <w:color w:val="0070C0"/>
        </w:rPr>
        <w:t>），呈現負向走勢但當期統計顯著性稍弱。然而，誠如後續第四節所揭示，當納入時間落差時，其負向顯著性大幅攀升。最後檢驗假說</w:t>
      </w:r>
      <w:r w:rsidRPr="00154E7B">
        <w:rPr>
          <w:rFonts w:ascii="Times New Roman" w:eastAsia="標楷體" w:hAnsi="Times New Roman" w:cs="Times New Roman"/>
          <w:color w:val="0070C0"/>
        </w:rPr>
        <w:t xml:space="preserve"> H1b</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(2b)</w:t>
      </w:r>
      <w:r w:rsidRPr="00154E7B">
        <w:rPr>
          <w:rFonts w:ascii="Times New Roman" w:eastAsia="標楷體" w:hAnsi="Times New Roman" w:cs="Times New Roman"/>
          <w:color w:val="0070C0"/>
        </w:rPr>
        <w:t>納入水資源資訊揭露虛擬變數（</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），三重交乘項</w:t>
      </w:r>
      <w:r w:rsidRPr="00154E7B">
        <w:rPr>
          <w:rFonts w:ascii="Times New Roman" w:eastAsia="標楷體" w:hAnsi="Times New Roman" w:cs="Times New Roman"/>
          <w:color w:val="0070C0"/>
        </w:rPr>
        <w:t xml:space="preserve"> WATER_DISC × DEC × dLNREV </w:t>
      </w:r>
      <w:r w:rsidRPr="00154E7B">
        <w:rPr>
          <w:rFonts w:ascii="Times New Roman" w:eastAsia="標楷體" w:hAnsi="Times New Roman" w:cs="Times New Roman"/>
          <w:color w:val="0070C0"/>
        </w:rPr>
        <w:t>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估計值為</w:t>
      </w:r>
      <w:r w:rsidRPr="00154E7B">
        <w:rPr>
          <w:rFonts w:ascii="Times New Roman" w:eastAsia="標楷體" w:hAnsi="Times New Roman" w:cs="Times New Roman"/>
          <w:color w:val="0070C0"/>
        </w:rPr>
        <w:t xml:space="preserve"> +0.0354</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1.98, p &lt; 0.05</w:t>
      </w:r>
      <w:r w:rsidRPr="00154E7B">
        <w:rPr>
          <w:rFonts w:ascii="Times New Roman" w:eastAsia="標楷體" w:hAnsi="Times New Roman" w:cs="Times New Roman"/>
          <w:color w:val="0070C0"/>
        </w:rPr>
        <w:t>），呈現顯著之正向關係！此一正向係數代表主動量化揭露水資源資料之企業，在營收衰退時其費用向下調降之斜率更陡峭，即成本黏性顯著降低！此結果強烈支持了假說</w:t>
      </w:r>
      <w:r w:rsidRPr="00154E7B">
        <w:rPr>
          <w:rFonts w:ascii="Times New Roman" w:eastAsia="標楷體" w:hAnsi="Times New Roman" w:cs="Times New Roman"/>
          <w:color w:val="0070C0"/>
        </w:rPr>
        <w:t xml:space="preserve"> H1b</w:t>
      </w:r>
      <w:r w:rsidRPr="00154E7B">
        <w:rPr>
          <w:rFonts w:ascii="Times New Roman" w:eastAsia="標楷體" w:hAnsi="Times New Roman" w:cs="Times New Roman"/>
          <w:color w:val="0070C0"/>
        </w:rPr>
        <w:t>，證實資訊揭露發揮了關鍵之治理與透明度功能，能有效降低外部監督阻力並矯正經理人之樂觀延宕偏誤，與</w:t>
      </w:r>
      <w:r w:rsidRPr="00154E7B">
        <w:rPr>
          <w:rFonts w:ascii="Times New Roman" w:eastAsia="標楷體" w:hAnsi="Times New Roman" w:cs="Times New Roman"/>
          <w:color w:val="0070C0"/>
        </w:rPr>
        <w:t xml:space="preserve"> Jiang and Yang (2024) [2] </w:t>
      </w:r>
      <w:r w:rsidRPr="00154E7B">
        <w:rPr>
          <w:rFonts w:ascii="Times New Roman" w:eastAsia="標楷體" w:hAnsi="Times New Roman" w:cs="Times New Roman"/>
          <w:color w:val="0070C0"/>
        </w:rPr>
        <w:t>之國際實證結論高度吻合。</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4-4</w:t>
      </w:r>
      <w:r w:rsidRPr="00154E7B">
        <w:rPr>
          <w:rFonts w:ascii="Times New Roman" w:eastAsia="標楷體" w:hAnsi="Times New Roman" w:cs="Times New Roman"/>
          <w:b/>
          <w:color w:val="0070C0"/>
          <w:sz w:val="22"/>
        </w:rPr>
        <w:t xml:space="preserve">　水資源管理對成本黏性之實證迴歸結果表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解釋變數與交乘項</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(1) </w:t>
            </w:r>
            <w:r w:rsidRPr="00154E7B">
              <w:rPr>
                <w:rFonts w:ascii="Times New Roman" w:eastAsia="標楷體" w:hAnsi="Times New Roman" w:cs="Times New Roman"/>
                <w:b/>
                <w:color w:val="0070C0"/>
                <w:sz w:val="17"/>
              </w:rPr>
              <w:t>基準模型</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(2) </w:t>
            </w:r>
            <w:r w:rsidRPr="00154E7B">
              <w:rPr>
                <w:rFonts w:ascii="Times New Roman" w:eastAsia="標楷體" w:hAnsi="Times New Roman" w:cs="Times New Roman"/>
                <w:b/>
                <w:color w:val="0070C0"/>
                <w:sz w:val="17"/>
              </w:rPr>
              <w:t>水回收率</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(6) </w:t>
            </w:r>
            <w:r w:rsidRPr="00154E7B">
              <w:rPr>
                <w:rFonts w:ascii="Times New Roman" w:eastAsia="標楷體" w:hAnsi="Times New Roman" w:cs="Times New Roman"/>
                <w:b/>
                <w:color w:val="0070C0"/>
                <w:sz w:val="17"/>
              </w:rPr>
              <w:t>用水密集度</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(2b) </w:t>
            </w:r>
            <w:r w:rsidRPr="00154E7B">
              <w:rPr>
                <w:rFonts w:ascii="Times New Roman" w:eastAsia="標楷體" w:hAnsi="Times New Roman" w:cs="Times New Roman"/>
                <w:b/>
                <w:color w:val="0070C0"/>
                <w:sz w:val="17"/>
              </w:rPr>
              <w:t>水揭露虛擬</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dLNREV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oMath>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0.3542*** (28.16)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0.3208*** (4.21)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0.3688*** (19.34)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0.3448*** (25.96)</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DEC × dLNREV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-0.1582*** (-8.45)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-1.2681*** (-2.69)</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-0.0627 (-0.44)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-0.1473 (-1.09)</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環境變數</w:t>
            </w:r>
            <w:r w:rsidRPr="00154E7B">
              <w:rPr>
                <w:rFonts w:ascii="Times New Roman" w:eastAsia="標楷體" w:hAnsi="Times New Roman" w:cs="Times New Roman"/>
                <w:color w:val="0070C0"/>
                <w:sz w:val="16"/>
              </w:rPr>
              <w:t xml:space="preserve"> × DEC × dREV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-0.0008** (-2.18)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-0.0305 (-1.29)</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+0.0354** (1.98)</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環境變數主效果</w:t>
            </w:r>
            <w:r w:rsidRPr="00154E7B">
              <w:rPr>
                <w:rFonts w:ascii="Times New Roman" w:eastAsia="標楷體" w:hAnsi="Times New Roman" w:cs="Times New Roman"/>
                <w:color w:val="0070C0"/>
                <w:sz w:val="16"/>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4</m:t>
                  </m:r>
                </m:sub>
              </m:sSub>
            </m:oMath>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-0.0001 (-0.49)</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-0.0129*** (-3.73)</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+0.0052 (1.28)</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SIZE × DEC × 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0.0085* (1.82)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0.0823*** (2.84)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0.0032 (0.36)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0.0092 (1.05)</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AI × DEC × 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-0.0042** (-2.45)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-0.0085 (-1.52)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-0.0038** (-2.36)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-0.0041** (-2.38)</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EI × DEC × 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-102.45 (-1.48)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-185.20 (-1.15)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-95.08 (-1.56)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-98.15 (-1.51)</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ROA × DEC × 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0.0162*** (3.85)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0.0215** (2.15)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0.0150*** (3.58)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0.0158*** (3.72)</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LEV × DEC × 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0.0011 (1.42)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0.0025 (1.18)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0.0009 (1.24)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0.0010 (1.31)</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SUCC_DEC × DEC × dREV</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0.0285 (1.15)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0.0415 (0.85)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0.0225 (0.94)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0.0268 (1.08)</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年度與產業固定效果</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觀測值筆數</w:t>
            </w:r>
            <w:r w:rsidRPr="00154E7B">
              <w:rPr>
                <w:rFonts w:ascii="Times New Roman" w:eastAsia="標楷體" w:hAnsi="Times New Roman" w:cs="Times New Roman"/>
                <w:color w:val="0070C0"/>
                <w:sz w:val="16"/>
              </w:rPr>
              <w:t xml:space="preserve"> (N)</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1,039</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8,484</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調整後</w:t>
            </w:r>
            <w:r w:rsidRPr="00154E7B">
              <w:rPr>
                <w:rFonts w:ascii="Times New Roman" w:eastAsia="標楷體" w:hAnsi="Times New Roman" w:cs="Times New Roman"/>
                <w:color w:val="0070C0"/>
                <w:sz w:val="16"/>
              </w:rPr>
              <w:t xml:space="preserve"> R² (Adj. R²)</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0.3485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0.3820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0.3507</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0.3492</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註：括號內數值為基於公司層級叢集標準誤計算之</w:t>
      </w:r>
      <w:r w:rsidRPr="00154E7B">
        <w:rPr>
          <w:rFonts w:ascii="Times New Roman" w:eastAsia="標楷體" w:hAnsi="Times New Roman" w:cs="Times New Roman"/>
          <w:color w:val="0070C0"/>
          <w:sz w:val="17"/>
        </w:rPr>
        <w:t xml:space="preserve"> t </w:t>
      </w:r>
      <w:r w:rsidRPr="00154E7B">
        <w:rPr>
          <w:rFonts w:ascii="Times New Roman" w:eastAsia="標楷體" w:hAnsi="Times New Roman" w:cs="Times New Roman"/>
          <w:color w:val="0070C0"/>
          <w:sz w:val="17"/>
        </w:rPr>
        <w:t>統計量。</w:t>
      </w:r>
      <w:r w:rsidRPr="00154E7B">
        <w:rPr>
          <w:rFonts w:ascii="Times New Roman" w:eastAsia="標楷體" w:hAnsi="Times New Roman" w:cs="Times New Roman"/>
          <w:color w:val="0070C0"/>
          <w:sz w:val="17"/>
        </w:rPr>
        <w:t>*** p&lt;0.01, ** p&lt;0.05, * p&lt;0.10</w:t>
      </w:r>
      <w:r w:rsidRPr="00154E7B">
        <w:rPr>
          <w:rFonts w:ascii="Times New Roman" w:eastAsia="標楷體" w:hAnsi="Times New Roman" w:cs="Times New Roman"/>
          <w:color w:val="0070C0"/>
          <w:sz w:val="17"/>
        </w:rPr>
        <w:t>。</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lastRenderedPageBreak/>
        <w:t>第四節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核心結果：廢棄物處置與違規裁罰對成本黏性之影響</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4-5 </w:t>
      </w:r>
      <w:r w:rsidRPr="00154E7B">
        <w:rPr>
          <w:rFonts w:ascii="Times New Roman" w:eastAsia="標楷體" w:hAnsi="Times New Roman" w:cs="Times New Roman"/>
          <w:color w:val="0070C0"/>
        </w:rPr>
        <w:t>展示了事業廢棄物處置構面與環境違規裁罰對成本黏性之迴歸檢驗結果。模型</w:t>
      </w:r>
      <w:r w:rsidRPr="00154E7B">
        <w:rPr>
          <w:rFonts w:ascii="Times New Roman" w:eastAsia="標楷體" w:hAnsi="Times New Roman" w:cs="Times New Roman"/>
          <w:color w:val="0070C0"/>
        </w:rPr>
        <w:t>(3)</w:t>
      </w:r>
      <w:r w:rsidRPr="00154E7B">
        <w:rPr>
          <w:rFonts w:ascii="Times New Roman" w:eastAsia="標楷體" w:hAnsi="Times New Roman" w:cs="Times New Roman"/>
          <w:color w:val="0070C0"/>
        </w:rPr>
        <w:t>檢驗廢棄物密集度（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(4)</w:t>
      </w:r>
      <w:r w:rsidRPr="00154E7B">
        <w:rPr>
          <w:rFonts w:ascii="Times New Roman" w:eastAsia="標楷體" w:hAnsi="Times New Roman" w:cs="Times New Roman"/>
          <w:color w:val="0070C0"/>
        </w:rPr>
        <w:t>檢驗</w:t>
      </w:r>
      <w:r w:rsidRPr="00154E7B">
        <w:rPr>
          <w:rFonts w:ascii="Times New Roman" w:eastAsia="標楷體" w:hAnsi="Times New Roman" w:cs="Times New Roman"/>
          <w:color w:val="0070C0"/>
        </w:rPr>
        <w:t xml:space="preserve"> GRI </w:t>
      </w:r>
      <w:r w:rsidRPr="00154E7B">
        <w:rPr>
          <w:rFonts w:ascii="Times New Roman" w:eastAsia="標楷體" w:hAnsi="Times New Roman" w:cs="Times New Roman"/>
          <w:color w:val="0070C0"/>
        </w:rPr>
        <w:t>廢棄物揭露品質（</w:t>
      </w:r>
      <w:r w:rsidRPr="00154E7B">
        <w:rPr>
          <w:rFonts w:ascii="Times New Roman" w:eastAsia="標楷體" w:hAnsi="Times New Roman" w:cs="Times New Roman"/>
          <w:color w:val="0070C0"/>
        </w:rPr>
        <w:t>WASTE_DISC</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(5)</w:t>
      </w:r>
      <w:r w:rsidRPr="00154E7B">
        <w:rPr>
          <w:rFonts w:ascii="Times New Roman" w:eastAsia="標楷體" w:hAnsi="Times New Roman" w:cs="Times New Roman"/>
          <w:color w:val="0070C0"/>
        </w:rPr>
        <w:t>檢驗環境違規裁罰金額比率（</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首先檢驗假說</w:t>
      </w:r>
      <w:r w:rsidRPr="00154E7B">
        <w:rPr>
          <w:rFonts w:ascii="Times New Roman" w:eastAsia="標楷體" w:hAnsi="Times New Roman" w:cs="Times New Roman"/>
          <w:color w:val="0070C0"/>
        </w:rPr>
        <w:t xml:space="preserve"> H2a</w:t>
      </w:r>
      <w:r w:rsidRPr="00154E7B">
        <w:rPr>
          <w:rFonts w:ascii="Times New Roman" w:eastAsia="標楷體" w:hAnsi="Times New Roman" w:cs="Times New Roman"/>
          <w:color w:val="0070C0"/>
        </w:rPr>
        <w:t>：在模型</w:t>
      </w:r>
      <w:r w:rsidRPr="00154E7B">
        <w:rPr>
          <w:rFonts w:ascii="Times New Roman" w:eastAsia="標楷體" w:hAnsi="Times New Roman" w:cs="Times New Roman"/>
          <w:color w:val="0070C0"/>
        </w:rPr>
        <w:t>(3)</w:t>
      </w:r>
      <w:r w:rsidRPr="00154E7B">
        <w:rPr>
          <w:rFonts w:ascii="Times New Roman" w:eastAsia="標楷體" w:hAnsi="Times New Roman" w:cs="Times New Roman"/>
          <w:color w:val="0070C0"/>
        </w:rPr>
        <w:t>中，廢棄物密集度之三重交乘項</w:t>
      </w:r>
      <w:r w:rsidRPr="00154E7B">
        <w:rPr>
          <w:rFonts w:ascii="Times New Roman" w:eastAsia="標楷體" w:hAnsi="Times New Roman" w:cs="Times New Roman"/>
          <w:color w:val="0070C0"/>
        </w:rPr>
        <w:t xml:space="preserve"> WASTE_INTENSITY × DEC × dLNREV </w:t>
      </w:r>
      <w:r w:rsidRPr="00154E7B">
        <w:rPr>
          <w:rFonts w:ascii="Times New Roman" w:eastAsia="標楷體" w:hAnsi="Times New Roman" w:cs="Times New Roman"/>
          <w:color w:val="0070C0"/>
        </w:rPr>
        <w:t>當期估計係數為</w:t>
      </w:r>
      <w:r w:rsidRPr="00154E7B">
        <w:rPr>
          <w:rFonts w:ascii="Times New Roman" w:eastAsia="標楷體" w:hAnsi="Times New Roman" w:cs="Times New Roman"/>
          <w:color w:val="0070C0"/>
        </w:rPr>
        <w:t xml:space="preserve"> -0.0086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-1.85, p &lt; 0.10</w:t>
      </w:r>
      <w:r w:rsidRPr="00154E7B">
        <w:rPr>
          <w:rFonts w:ascii="Times New Roman" w:eastAsia="標楷體" w:hAnsi="Times New Roman" w:cs="Times New Roman"/>
          <w:color w:val="0070C0"/>
        </w:rPr>
        <w:t>），呈現負向邊際顯著。而在控制了產業與年份固定效果後，基準成本黏性</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仍高度顯著為</w:t>
      </w:r>
      <w:r w:rsidRPr="00154E7B">
        <w:rPr>
          <w:rFonts w:ascii="Times New Roman" w:eastAsia="標楷體" w:hAnsi="Times New Roman" w:cs="Times New Roman"/>
          <w:color w:val="0070C0"/>
        </w:rPr>
        <w:t xml:space="preserve"> -0.6394</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-3.17, p &lt; 0.01</w:t>
      </w:r>
      <w:r w:rsidRPr="00154E7B">
        <w:rPr>
          <w:rFonts w:ascii="Times New Roman" w:eastAsia="標楷體" w:hAnsi="Times New Roman" w:cs="Times New Roman"/>
          <w:color w:val="0070C0"/>
        </w:rPr>
        <w:t>）。此結果初步支持了假說</w:t>
      </w:r>
      <w:r w:rsidRPr="00154E7B">
        <w:rPr>
          <w:rFonts w:ascii="Times New Roman" w:eastAsia="標楷體" w:hAnsi="Times New Roman" w:cs="Times New Roman"/>
          <w:color w:val="0070C0"/>
        </w:rPr>
        <w:t xml:space="preserve"> H2a</w:t>
      </w:r>
      <w:r w:rsidRPr="00154E7B">
        <w:rPr>
          <w:rFonts w:ascii="Times New Roman" w:eastAsia="標楷體" w:hAnsi="Times New Roman" w:cs="Times New Roman"/>
          <w:color w:val="0070C0"/>
        </w:rPr>
        <w:t>：高廢棄物密集度之企業，其生產製程與固體、液體事業廢棄物之產生深度掛鉤。為確保廢棄物合規清理而不致遭勒令停工，企業必須與甲級廢棄物清除機構簽署長期委託清運契約，合約中嚴格之「保底清運費」使得處置開銷具有高度剛性。當營業收入衰退時，此類固定契約費用無法按比例裁減，導致銷管費用下調幅度受阻，進而加深了成本僵固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相對地，模型</w:t>
      </w:r>
      <w:r w:rsidRPr="00154E7B">
        <w:rPr>
          <w:rFonts w:ascii="Times New Roman" w:eastAsia="標楷體" w:hAnsi="Times New Roman" w:cs="Times New Roman"/>
          <w:color w:val="0070C0"/>
        </w:rPr>
        <w:t>(4)</w:t>
      </w:r>
      <w:r w:rsidRPr="00154E7B">
        <w:rPr>
          <w:rFonts w:ascii="Times New Roman" w:eastAsia="標楷體" w:hAnsi="Times New Roman" w:cs="Times New Roman"/>
          <w:color w:val="0070C0"/>
        </w:rPr>
        <w:t>檢驗廢棄物揭露品質（</w:t>
      </w:r>
      <w:r w:rsidRPr="00154E7B">
        <w:rPr>
          <w:rFonts w:ascii="Times New Roman" w:eastAsia="標楷體" w:hAnsi="Times New Roman" w:cs="Times New Roman"/>
          <w:color w:val="0070C0"/>
        </w:rPr>
        <w:t>WASTE_DISC</w:t>
      </w:r>
      <w:r w:rsidRPr="00154E7B">
        <w:rPr>
          <w:rFonts w:ascii="Times New Roman" w:eastAsia="標楷體" w:hAnsi="Times New Roman" w:cs="Times New Roman"/>
          <w:color w:val="0070C0"/>
        </w:rPr>
        <w:t>）：三重交乘項之係數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為</w:t>
      </w:r>
      <w:r w:rsidRPr="00154E7B">
        <w:rPr>
          <w:rFonts w:ascii="Times New Roman" w:eastAsia="標楷體" w:hAnsi="Times New Roman" w:cs="Times New Roman"/>
          <w:color w:val="0070C0"/>
        </w:rPr>
        <w:t xml:space="preserve"> +0.0043</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0.42</w:t>
      </w:r>
      <w:r w:rsidRPr="00154E7B">
        <w:rPr>
          <w:rFonts w:ascii="Times New Roman" w:eastAsia="標楷體" w:hAnsi="Times New Roman" w:cs="Times New Roman"/>
          <w:color w:val="0070C0"/>
        </w:rPr>
        <w:t>），雖呈正向但未達統計顯著水準。這顯示相較於水資源揭露，單純在永續報告書中依</w:t>
      </w:r>
      <w:r w:rsidRPr="00154E7B">
        <w:rPr>
          <w:rFonts w:ascii="Times New Roman" w:eastAsia="標楷體" w:hAnsi="Times New Roman" w:cs="Times New Roman"/>
          <w:color w:val="0070C0"/>
        </w:rPr>
        <w:t xml:space="preserve"> GRI </w:t>
      </w:r>
      <w:r w:rsidRPr="00154E7B">
        <w:rPr>
          <w:rFonts w:ascii="Times New Roman" w:eastAsia="標楷體" w:hAnsi="Times New Roman" w:cs="Times New Roman"/>
          <w:color w:val="0070C0"/>
        </w:rPr>
        <w:t>準則進行廢棄物方針描述，若缺乏實質物理減量與合約條款之鬆綁，其對管理會計層面之費用調整決策所能發揮之實質緩解作用相對有限。</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最為關鍵且具震撼力之實證發現體現在模型</w:t>
      </w:r>
      <w:r w:rsidRPr="00154E7B">
        <w:rPr>
          <w:rFonts w:ascii="Times New Roman" w:eastAsia="標楷體" w:hAnsi="Times New Roman" w:cs="Times New Roman"/>
          <w:color w:val="0070C0"/>
        </w:rPr>
        <w:t>(5)</w:t>
      </w:r>
      <w:r w:rsidRPr="00154E7B">
        <w:rPr>
          <w:rFonts w:ascii="Times New Roman" w:eastAsia="標楷體" w:hAnsi="Times New Roman" w:cs="Times New Roman"/>
          <w:color w:val="0070C0"/>
        </w:rPr>
        <w:t>之環境違規裁罰（</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）：三重交乘項</w:t>
      </w:r>
      <w:r w:rsidRPr="00154E7B">
        <w:rPr>
          <w:rFonts w:ascii="Times New Roman" w:eastAsia="標楷體" w:hAnsi="Times New Roman" w:cs="Times New Roman"/>
          <w:color w:val="0070C0"/>
        </w:rPr>
        <w:t xml:space="preserve"> WASTE_FINE × DEC × dLNREV </w:t>
      </w:r>
      <w:r w:rsidRPr="00154E7B">
        <w:rPr>
          <w:rFonts w:ascii="Times New Roman" w:eastAsia="標楷體" w:hAnsi="Times New Roman" w:cs="Times New Roman"/>
          <w:color w:val="0070C0"/>
        </w:rPr>
        <w:t>之估計係數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達到</w:t>
      </w:r>
      <w:r w:rsidRPr="00154E7B">
        <w:rPr>
          <w:rFonts w:ascii="Times New Roman" w:eastAsia="標楷體" w:hAnsi="Times New Roman" w:cs="Times New Roman"/>
          <w:color w:val="0070C0"/>
        </w:rPr>
        <w:t xml:space="preserve"> -0.0013</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-2.15, p &lt; 0.05</w:t>
      </w:r>
      <w:r w:rsidRPr="00154E7B">
        <w:rPr>
          <w:rFonts w:ascii="Times New Roman" w:eastAsia="標楷體" w:hAnsi="Times New Roman" w:cs="Times New Roman"/>
          <w:color w:val="0070C0"/>
        </w:rPr>
        <w:t>），在</w:t>
      </w:r>
      <w:r w:rsidRPr="00154E7B">
        <w:rPr>
          <w:rFonts w:ascii="Times New Roman" w:eastAsia="標楷體" w:hAnsi="Times New Roman" w:cs="Times New Roman"/>
          <w:color w:val="0070C0"/>
        </w:rPr>
        <w:t xml:space="preserve"> 5% </w:t>
      </w:r>
      <w:r w:rsidRPr="00154E7B">
        <w:rPr>
          <w:rFonts w:ascii="Times New Roman" w:eastAsia="標楷體" w:hAnsi="Times New Roman" w:cs="Times New Roman"/>
          <w:color w:val="0070C0"/>
        </w:rPr>
        <w:t>顯著水準下呈現顯著負向！此一結果強烈支持了假說</w:t>
      </w:r>
      <w:r w:rsidRPr="00154E7B">
        <w:rPr>
          <w:rFonts w:ascii="Times New Roman" w:eastAsia="標楷體" w:hAnsi="Times New Roman" w:cs="Times New Roman"/>
          <w:color w:val="0070C0"/>
        </w:rPr>
        <w:t xml:space="preserve"> H2b</w:t>
      </w:r>
      <w:r w:rsidRPr="00154E7B">
        <w:rPr>
          <w:rFonts w:ascii="Times New Roman" w:eastAsia="標楷體" w:hAnsi="Times New Roman" w:cs="Times New Roman"/>
          <w:color w:val="0070C0"/>
        </w:rPr>
        <w:t>。環境行政罰鍰作為公權力行使之非意願性支出，企業依法必須如期全額繳納；更為深層的機制在於，遭主管機關裁罰之企業往往被要求在三十至九十日內提送改善計畫並強制進行昂貴之排污工程改善與外部顧問輔導。當企業面臨市場需求萎縮、營收急遽衰退之困境時，此類法定剛性支出與緊急整改開銷形同對企業實施了「雪上加霜」之流動性抽取，徹底封鎖了管理者藉由精簡銷管費用以度過難關之可能路徑，極度惡化了企業費用之非對稱性僵固性。此項發現深刻拓展了環境法遵成本在現代管理會計學之理論邊界。</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4-5</w:t>
      </w:r>
      <w:r w:rsidRPr="00154E7B">
        <w:rPr>
          <w:rFonts w:ascii="Times New Roman" w:eastAsia="標楷體" w:hAnsi="Times New Roman" w:cs="Times New Roman"/>
          <w:b/>
          <w:color w:val="0070C0"/>
          <w:sz w:val="22"/>
        </w:rPr>
        <w:t xml:space="preserve">　廢棄物管理與違規裁罰對成本黏性之實證迴歸結果表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26"/>
        <w:gridCol w:w="2126"/>
        <w:gridCol w:w="2126"/>
        <w:gridCol w:w="2126"/>
      </w:tblGrid>
      <w:tr w:rsidR="00154E7B" w:rsidRPr="00154E7B">
        <w:trPr>
          <w:jc w:val="center"/>
        </w:trPr>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解釋變數與交乘項</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(3) </w:t>
            </w:r>
            <w:r w:rsidRPr="00154E7B">
              <w:rPr>
                <w:rFonts w:ascii="Times New Roman" w:eastAsia="標楷體" w:hAnsi="Times New Roman" w:cs="Times New Roman"/>
                <w:b/>
                <w:color w:val="0070C0"/>
                <w:sz w:val="17"/>
              </w:rPr>
              <w:t>廢棄物密集度</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(4) </w:t>
            </w:r>
            <w:r w:rsidRPr="00154E7B">
              <w:rPr>
                <w:rFonts w:ascii="Times New Roman" w:eastAsia="標楷體" w:hAnsi="Times New Roman" w:cs="Times New Roman"/>
                <w:b/>
                <w:color w:val="0070C0"/>
                <w:sz w:val="17"/>
              </w:rPr>
              <w:t>廢棄物揭露</w:t>
            </w:r>
            <w:r w:rsidRPr="00154E7B">
              <w:rPr>
                <w:rFonts w:ascii="Times New Roman" w:eastAsia="標楷體" w:hAnsi="Times New Roman" w:cs="Times New Roman"/>
                <w:b/>
                <w:color w:val="0070C0"/>
                <w:sz w:val="17"/>
              </w:rPr>
              <w:t>GRI</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(5) </w:t>
            </w:r>
            <w:r w:rsidRPr="00154E7B">
              <w:rPr>
                <w:rFonts w:ascii="Times New Roman" w:eastAsia="標楷體" w:hAnsi="Times New Roman" w:cs="Times New Roman"/>
                <w:b/>
                <w:color w:val="0070C0"/>
                <w:sz w:val="17"/>
              </w:rPr>
              <w:t>環境違規裁罰</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dLNREV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oMath>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0.3500*** (15.62)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0.3435*** (24.75)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0.3935*** (15.65)</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DEC × dLNREV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-0.6394*** (-3.17)</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-0.1685 (-1.15)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-0.0223 (-0.09)</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環境變數</w:t>
            </w:r>
            <w:r w:rsidRPr="00154E7B">
              <w:rPr>
                <w:rFonts w:ascii="Times New Roman" w:eastAsia="標楷體" w:hAnsi="Times New Roman" w:cs="Times New Roman"/>
                <w:color w:val="0070C0"/>
                <w:sz w:val="16"/>
              </w:rPr>
              <w:t xml:space="preserve"> × DEC × dREV </w:t>
            </w:r>
            <w:r w:rsidRPr="00154E7B">
              <w:rPr>
                <w:rFonts w:ascii="Times New Roman" w:eastAsia="標楷體" w:hAnsi="Times New Roman" w:cs="Times New Roman"/>
                <w:color w:val="0070C0"/>
                <w:sz w:val="16"/>
              </w:rPr>
              <w:lastRenderedPageBreak/>
              <w:t>(</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lastRenderedPageBreak/>
              <w:t>-0.0086* (-1.85)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+0.0043 (0.42)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-0.0013** (-2.15)</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環境變數主效果</w:t>
            </w:r>
            <w:r w:rsidRPr="00154E7B">
              <w:rPr>
                <w:rFonts w:ascii="Times New Roman" w:eastAsia="標楷體" w:hAnsi="Times New Roman" w:cs="Times New Roman"/>
                <w:color w:val="0070C0"/>
                <w:sz w:val="16"/>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4</m:t>
                  </m:r>
                </m:sub>
              </m:sSub>
            </m:oMath>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-0.0008 (-0.28)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+0.0018 (1.52)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-0.0003 (-1.25)</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SIZE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0.0353*** (2.80)</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0.0100 (1.12)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0.0040 (0.42)</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AI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-0.0045** (-2.48)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-0.0043** (-2.41)</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-0.0051** (-2.52)</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EI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110.16 (1.39)</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-92.40 (-1.45)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-85.60 (-1.38)</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ROA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0.0165*** (3.22)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0.0155*** (3.62)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0.0172*** (3.78)</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LEV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0.0013 (1.35)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0.0011 (1.38)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0.0012 (1.41)</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SUCC_DEC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0.0465 (1.27)</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0.0245 (1.01)</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0.0315 (1.18)</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年度與產業固定效果</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觀測值筆數</w:t>
            </w:r>
            <w:r w:rsidRPr="00154E7B">
              <w:rPr>
                <w:rFonts w:ascii="Times New Roman" w:eastAsia="標楷體" w:hAnsi="Times New Roman" w:cs="Times New Roman"/>
                <w:color w:val="0070C0"/>
                <w:sz w:val="16"/>
              </w:rPr>
              <w:t xml:space="preserve"> (N)</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3,273</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13,875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4,097</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調整後</w:t>
            </w:r>
            <w:r w:rsidRPr="00154E7B">
              <w:rPr>
                <w:rFonts w:ascii="Times New Roman" w:eastAsia="標楷體" w:hAnsi="Times New Roman" w:cs="Times New Roman"/>
                <w:color w:val="0070C0"/>
                <w:sz w:val="16"/>
              </w:rPr>
              <w:t xml:space="preserve"> R² (Adj. R²)</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0.3568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0.3488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0.3615</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註：括號內數值為基於公司層級叢集標準誤計算之</w:t>
      </w:r>
      <w:r w:rsidRPr="00154E7B">
        <w:rPr>
          <w:rFonts w:ascii="Times New Roman" w:eastAsia="標楷體" w:hAnsi="Times New Roman" w:cs="Times New Roman"/>
          <w:color w:val="0070C0"/>
          <w:sz w:val="17"/>
        </w:rPr>
        <w:t xml:space="preserve"> t </w:t>
      </w:r>
      <w:r w:rsidRPr="00154E7B">
        <w:rPr>
          <w:rFonts w:ascii="Times New Roman" w:eastAsia="標楷體" w:hAnsi="Times New Roman" w:cs="Times New Roman"/>
          <w:color w:val="0070C0"/>
          <w:sz w:val="17"/>
        </w:rPr>
        <w:t>統計量。</w:t>
      </w:r>
      <w:r w:rsidRPr="00154E7B">
        <w:rPr>
          <w:rFonts w:ascii="Times New Roman" w:eastAsia="標楷體" w:hAnsi="Times New Roman" w:cs="Times New Roman"/>
          <w:color w:val="0070C0"/>
          <w:sz w:val="17"/>
        </w:rPr>
        <w:t>*** p&lt;0.01, ** p&lt;0.05, * p&lt;0.10</w:t>
      </w:r>
      <w:r w:rsidRPr="00154E7B">
        <w:rPr>
          <w:rFonts w:ascii="Times New Roman" w:eastAsia="標楷體" w:hAnsi="Times New Roman" w:cs="Times New Roman"/>
          <w:color w:val="0070C0"/>
          <w:sz w:val="17"/>
        </w:rPr>
        <w:t>。</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第五節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動態時間遞延效應檢定</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企業在環境工程設施上之資本投資、水循環系統之改裝竣工，以及與專業廢棄物處理業者所簽訂之委外契約，均屬於跨年度之長期安排。依據假說</w:t>
      </w:r>
      <w:r w:rsidRPr="00154E7B">
        <w:rPr>
          <w:rFonts w:ascii="Times New Roman" w:eastAsia="標楷體" w:hAnsi="Times New Roman" w:cs="Times New Roman"/>
          <w:color w:val="0070C0"/>
        </w:rPr>
        <w:t xml:space="preserve"> H3a</w:t>
      </w:r>
      <w:r w:rsidRPr="00154E7B">
        <w:rPr>
          <w:rFonts w:ascii="Times New Roman" w:eastAsia="標楷體" w:hAnsi="Times New Roman" w:cs="Times New Roman"/>
          <w:color w:val="0070C0"/>
        </w:rPr>
        <w:t>，環境資源管理所引發之成本剛性，其影響絕非僅侷限於當期，理應隨著設施折舊全面提列與長約執行高峰期之到來，展現出顯著之動態時間遞延性（</w:t>
      </w:r>
      <w:r w:rsidRPr="00154E7B">
        <w:rPr>
          <w:rFonts w:ascii="Times New Roman" w:eastAsia="標楷體" w:hAnsi="Times New Roman" w:cs="Times New Roman"/>
          <w:color w:val="0070C0"/>
        </w:rPr>
        <w:t>Lagged Effects</w:t>
      </w:r>
      <w:r w:rsidRPr="00154E7B">
        <w:rPr>
          <w:rFonts w:ascii="Times New Roman" w:eastAsia="標楷體" w:hAnsi="Times New Roman" w:cs="Times New Roman"/>
          <w:color w:val="0070C0"/>
        </w:rPr>
        <w:t>）。為實證檢驗此一長波動態特徵，表</w:t>
      </w:r>
      <w:r w:rsidRPr="00154E7B">
        <w:rPr>
          <w:rFonts w:ascii="Times New Roman" w:eastAsia="標楷體" w:hAnsi="Times New Roman" w:cs="Times New Roman"/>
          <w:color w:val="0070C0"/>
        </w:rPr>
        <w:t xml:space="preserve"> 4-6 </w:t>
      </w:r>
      <w:r w:rsidRPr="00154E7B">
        <w:rPr>
          <w:rFonts w:ascii="Times New Roman" w:eastAsia="標楷體" w:hAnsi="Times New Roman" w:cs="Times New Roman"/>
          <w:color w:val="0070C0"/>
        </w:rPr>
        <w:t>系統性彙整了將各環境測試變數分別遞延一期（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）與遞延兩期（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）後，三重交乘項係數</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之動態路徑對照。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4-6 </w:t>
      </w:r>
      <w:r w:rsidRPr="00154E7B">
        <w:rPr>
          <w:rFonts w:ascii="Times New Roman" w:eastAsia="標楷體" w:hAnsi="Times New Roman" w:cs="Times New Roman"/>
          <w:color w:val="0070C0"/>
        </w:rPr>
        <w:t>的實證估計結果極具啟發性且高度支持假說</w:t>
      </w:r>
      <w:r w:rsidRPr="00154E7B">
        <w:rPr>
          <w:rFonts w:ascii="Times New Roman" w:eastAsia="標楷體" w:hAnsi="Times New Roman" w:cs="Times New Roman"/>
          <w:color w:val="0070C0"/>
        </w:rPr>
        <w:t xml:space="preserve"> H3a</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第一，在水資源構面，用水密集度（</w:t>
      </w:r>
      <w:r w:rsidRPr="00154E7B">
        <w:rPr>
          <w:rFonts w:ascii="Times New Roman" w:eastAsia="標楷體" w:hAnsi="Times New Roman" w:cs="Times New Roman"/>
          <w:color w:val="0070C0"/>
        </w:rPr>
        <w:t>WATER_INTENSITY</w:t>
      </w:r>
      <w:r w:rsidRPr="00154E7B">
        <w:rPr>
          <w:rFonts w:ascii="Times New Roman" w:eastAsia="標楷體" w:hAnsi="Times New Roman" w:cs="Times New Roman"/>
          <w:color w:val="0070C0"/>
        </w:rPr>
        <w:t>）在當期（</w:t>
      </w:r>
      <w:r w:rsidRPr="00154E7B">
        <w:rPr>
          <w:rFonts w:ascii="Times New Roman" w:eastAsia="標楷體" w:hAnsi="Times New Roman" w:cs="Times New Roman"/>
          <w:color w:val="0070C0"/>
        </w:rPr>
        <w:t>t-0</w:t>
      </w:r>
      <w:r w:rsidRPr="00154E7B">
        <w:rPr>
          <w:rFonts w:ascii="Times New Roman" w:eastAsia="標楷體" w:hAnsi="Times New Roman" w:cs="Times New Roman"/>
          <w:color w:val="0070C0"/>
        </w:rPr>
        <w:t>）之三重交乘項</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為</w:t>
      </w:r>
      <w:r w:rsidRPr="00154E7B">
        <w:rPr>
          <w:rFonts w:ascii="Times New Roman" w:eastAsia="標楷體" w:hAnsi="Times New Roman" w:cs="Times New Roman"/>
          <w:color w:val="0070C0"/>
        </w:rPr>
        <w:t xml:space="preserve"> -0.0305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-1.29</w:t>
      </w:r>
      <w:r w:rsidRPr="00154E7B">
        <w:rPr>
          <w:rFonts w:ascii="Times New Roman" w:eastAsia="標楷體" w:hAnsi="Times New Roman" w:cs="Times New Roman"/>
          <w:color w:val="0070C0"/>
        </w:rPr>
        <w:t>），而在遞延一期（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）時，其係數顯著擴大為</w:t>
      </w:r>
      <w:r w:rsidRPr="00154E7B">
        <w:rPr>
          <w:rFonts w:ascii="Times New Roman" w:eastAsia="標楷體" w:hAnsi="Times New Roman" w:cs="Times New Roman"/>
          <w:color w:val="0070C0"/>
        </w:rPr>
        <w:t xml:space="preserve"> -0.0418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-2.25, p &lt; 0.05</w:t>
      </w:r>
      <w:r w:rsidRPr="00154E7B">
        <w:rPr>
          <w:rFonts w:ascii="Times New Roman" w:eastAsia="標楷體" w:hAnsi="Times New Roman" w:cs="Times New Roman"/>
          <w:color w:val="0070C0"/>
        </w:rPr>
        <w:t>），在遞延兩期（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）時仍持續保持顯著負向（</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=-0.0385</m:t>
        </m:r>
      </m:oMath>
      <w:r w:rsidRPr="00154E7B">
        <w:rPr>
          <w:rFonts w:ascii="Times New Roman" w:eastAsia="標楷體" w:hAnsi="Times New Roman" w:cs="Times New Roman"/>
          <w:color w:val="0070C0"/>
        </w:rPr>
        <w:t>, t = -2.08, p &lt; 0.05</w:t>
      </w:r>
      <w:r w:rsidRPr="00154E7B">
        <w:rPr>
          <w:rFonts w:ascii="Times New Roman" w:eastAsia="標楷體" w:hAnsi="Times New Roman" w:cs="Times New Roman"/>
          <w:color w:val="0070C0"/>
        </w:rPr>
        <w:t>）。水回收率（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）同樣呈現遞延加劇之特徵，其</w:t>
      </w:r>
      <w:r w:rsidRPr="00154E7B">
        <w:rPr>
          <w:rFonts w:ascii="Times New Roman" w:eastAsia="標楷體" w:hAnsi="Times New Roman" w:cs="Times New Roman"/>
          <w:color w:val="0070C0"/>
        </w:rPr>
        <w:t xml:space="preserve"> t-1 </w:t>
      </w:r>
      <w:r w:rsidRPr="00154E7B">
        <w:rPr>
          <w:rFonts w:ascii="Times New Roman" w:eastAsia="標楷體" w:hAnsi="Times New Roman" w:cs="Times New Roman"/>
          <w:color w:val="0070C0"/>
        </w:rPr>
        <w:t>期與</w:t>
      </w:r>
      <w:r w:rsidRPr="00154E7B">
        <w:rPr>
          <w:rFonts w:ascii="Times New Roman" w:eastAsia="標楷體" w:hAnsi="Times New Roman" w:cs="Times New Roman"/>
          <w:color w:val="0070C0"/>
        </w:rPr>
        <w:t xml:space="preserve"> t-2 </w:t>
      </w:r>
      <w:r w:rsidRPr="00154E7B">
        <w:rPr>
          <w:rFonts w:ascii="Times New Roman" w:eastAsia="標楷體" w:hAnsi="Times New Roman" w:cs="Times New Roman"/>
          <w:color w:val="0070C0"/>
        </w:rPr>
        <w:t>期之負向係數分別達到</w:t>
      </w:r>
      <w:r w:rsidRPr="00154E7B">
        <w:rPr>
          <w:rFonts w:ascii="Times New Roman" w:eastAsia="標楷體" w:hAnsi="Times New Roman" w:cs="Times New Roman"/>
          <w:color w:val="0070C0"/>
        </w:rPr>
        <w:t xml:space="preserve"> -0.0011</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-2.36, p &lt; 0.05</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-0.0009</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-2.01, p &lt; 0.05</w:t>
      </w:r>
      <w:r w:rsidRPr="00154E7B">
        <w:rPr>
          <w:rFonts w:ascii="Times New Roman" w:eastAsia="標楷體" w:hAnsi="Times New Roman" w:cs="Times New Roman"/>
          <w:color w:val="0070C0"/>
        </w:rPr>
        <w:t>）。此一實證動態路徑清晰表明：水回收系統在建置當期可能尚處於試車驗收階段，部分工程款尚在保留款期，但在完工運轉後的第一至第二年，鉅額固定資產折舊全額提列，全天候泵浦電力與化學薄膜維護費全面進入會計帳目，使得下行調整阻力在</w:t>
      </w:r>
      <w:r w:rsidRPr="00154E7B">
        <w:rPr>
          <w:rFonts w:ascii="Times New Roman" w:eastAsia="標楷體" w:hAnsi="Times New Roman" w:cs="Times New Roman"/>
          <w:color w:val="0070C0"/>
        </w:rPr>
        <w:t xml:space="preserve"> t-1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t-2 </w:t>
      </w:r>
      <w:r w:rsidRPr="00154E7B">
        <w:rPr>
          <w:rFonts w:ascii="Times New Roman" w:eastAsia="標楷體" w:hAnsi="Times New Roman" w:cs="Times New Roman"/>
          <w:color w:val="0070C0"/>
        </w:rPr>
        <w:t>期達到最大強度。</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第二，在事業廢棄物處置構面，廢棄物密集度（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）之遞延效果更為驚人。其三重交乘項係數在當期（</w:t>
      </w:r>
      <w:r w:rsidRPr="00154E7B">
        <w:rPr>
          <w:rFonts w:ascii="Times New Roman" w:eastAsia="標楷體" w:hAnsi="Times New Roman" w:cs="Times New Roman"/>
          <w:color w:val="0070C0"/>
        </w:rPr>
        <w:t>t-0</w:t>
      </w:r>
      <w:r w:rsidRPr="00154E7B">
        <w:rPr>
          <w:rFonts w:ascii="Times New Roman" w:eastAsia="標楷體" w:hAnsi="Times New Roman" w:cs="Times New Roman"/>
          <w:color w:val="0070C0"/>
        </w:rPr>
        <w:t>）為</w:t>
      </w:r>
      <w:r w:rsidRPr="00154E7B">
        <w:rPr>
          <w:rFonts w:ascii="Times New Roman" w:eastAsia="標楷體" w:hAnsi="Times New Roman" w:cs="Times New Roman"/>
          <w:color w:val="0070C0"/>
        </w:rPr>
        <w:t xml:space="preserve"> -0.0086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-1.85, p &lt; 0.10</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lastRenderedPageBreak/>
        <w:t>至遞延一期（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）時轉為</w:t>
      </w:r>
      <w:r w:rsidRPr="00154E7B">
        <w:rPr>
          <w:rFonts w:ascii="Times New Roman" w:eastAsia="標楷體" w:hAnsi="Times New Roman" w:cs="Times New Roman"/>
          <w:color w:val="0070C0"/>
        </w:rPr>
        <w:t xml:space="preserve"> -0.0152</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-2.48, p &lt; 0.05</w:t>
      </w:r>
      <w:r w:rsidRPr="00154E7B">
        <w:rPr>
          <w:rFonts w:ascii="Times New Roman" w:eastAsia="標楷體" w:hAnsi="Times New Roman" w:cs="Times New Roman"/>
          <w:color w:val="0070C0"/>
        </w:rPr>
        <w:t>），至遞延兩期（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）時進一步擴大至</w:t>
      </w:r>
      <w:r w:rsidRPr="00154E7B">
        <w:rPr>
          <w:rFonts w:ascii="Times New Roman" w:eastAsia="標楷體" w:hAnsi="Times New Roman" w:cs="Times New Roman"/>
          <w:color w:val="0070C0"/>
        </w:rPr>
        <w:t xml:space="preserve"> -0.0185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-2.62, p &lt; 0.01</w:t>
      </w:r>
      <w:r w:rsidRPr="00154E7B">
        <w:rPr>
          <w:rFonts w:ascii="Times New Roman" w:eastAsia="標楷體" w:hAnsi="Times New Roman" w:cs="Times New Roman"/>
          <w:color w:val="0070C0"/>
        </w:rPr>
        <w:t>），統計顯著性在遞延期顯著躍升至</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水準！此一動態走勢完美呼應了製造業廢棄物清運長約之常規週期：企業與合法清理機構所簽署之保底處置合約通常為期</w:t>
      </w:r>
      <w:r w:rsidRPr="00154E7B">
        <w:rPr>
          <w:rFonts w:ascii="Times New Roman" w:eastAsia="標楷體" w:hAnsi="Times New Roman" w:cs="Times New Roman"/>
          <w:color w:val="0070C0"/>
        </w:rPr>
        <w:t xml:space="preserve"> 2 </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 xml:space="preserve"> 3 </w:t>
      </w:r>
      <w:r w:rsidRPr="00154E7B">
        <w:rPr>
          <w:rFonts w:ascii="Times New Roman" w:eastAsia="標楷體" w:hAnsi="Times New Roman" w:cs="Times New Roman"/>
          <w:color w:val="0070C0"/>
        </w:rPr>
        <w:t>年。因此，當企業在</w:t>
      </w:r>
      <w:r w:rsidRPr="00154E7B">
        <w:rPr>
          <w:rFonts w:ascii="Times New Roman" w:eastAsia="標楷體" w:hAnsi="Times New Roman" w:cs="Times New Roman"/>
          <w:color w:val="0070C0"/>
        </w:rPr>
        <w:t xml:space="preserve"> t-0 </w:t>
      </w:r>
      <w:r w:rsidRPr="00154E7B">
        <w:rPr>
          <w:rFonts w:ascii="Times New Roman" w:eastAsia="標楷體" w:hAnsi="Times New Roman" w:cs="Times New Roman"/>
          <w:color w:val="0070C0"/>
        </w:rPr>
        <w:t>年產量擴張簽訂大量保底配額後，一旦在</w:t>
      </w:r>
      <w:r w:rsidRPr="00154E7B">
        <w:rPr>
          <w:rFonts w:ascii="Times New Roman" w:eastAsia="標楷體" w:hAnsi="Times New Roman" w:cs="Times New Roman"/>
          <w:color w:val="0070C0"/>
        </w:rPr>
        <w:t xml:space="preserve"> t-1 </w:t>
      </w:r>
      <w:r w:rsidRPr="00154E7B">
        <w:rPr>
          <w:rFonts w:ascii="Times New Roman" w:eastAsia="標楷體" w:hAnsi="Times New Roman" w:cs="Times New Roman"/>
          <w:color w:val="0070C0"/>
        </w:rPr>
        <w:t>或</w:t>
      </w:r>
      <w:r w:rsidRPr="00154E7B">
        <w:rPr>
          <w:rFonts w:ascii="Times New Roman" w:eastAsia="標楷體" w:hAnsi="Times New Roman" w:cs="Times New Roman"/>
          <w:color w:val="0070C0"/>
        </w:rPr>
        <w:t xml:space="preserve"> t-2 </w:t>
      </w:r>
      <w:r w:rsidRPr="00154E7B">
        <w:rPr>
          <w:rFonts w:ascii="Times New Roman" w:eastAsia="標楷體" w:hAnsi="Times New Roman" w:cs="Times New Roman"/>
          <w:color w:val="0070C0"/>
        </w:rPr>
        <w:t>年遭遇外部需求反轉衰退，合約中之最低保底處置款項依然必須按期給付，形成長期拘束之費用剛性，強烈證實了廢棄物合約對費用調整具有高度長效之黏性鎖定效應。</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第三，在違規裁罰（</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）方面，裁罰金額在遞延一期（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）之係數達到</w:t>
      </w:r>
      <w:r w:rsidRPr="00154E7B">
        <w:rPr>
          <w:rFonts w:ascii="Times New Roman" w:eastAsia="標楷體" w:hAnsi="Times New Roman" w:cs="Times New Roman"/>
          <w:color w:val="0070C0"/>
        </w:rPr>
        <w:t xml:space="preserve"> -0.0028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-2.56, p &lt; 0.05</w:t>
      </w:r>
      <w:r w:rsidRPr="00154E7B">
        <w:rPr>
          <w:rFonts w:ascii="Times New Roman" w:eastAsia="標楷體" w:hAnsi="Times New Roman" w:cs="Times New Roman"/>
          <w:color w:val="0070C0"/>
        </w:rPr>
        <w:t>），顯著強於當期。此現象合理解釋了主管機關之裁罰後續行政流程：企業遭受環保裁罰後，除當期繳納罰鍰外，通常被勒令於次年度完成重大工程整改並重新送審環境影響評估許可，導致龐大之整改資本支出與工程諮詢費用集中於次年（</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）認列，進一步加劇了後續年度之成本黏性。綜上所述，表</w:t>
      </w:r>
      <w:r w:rsidRPr="00154E7B">
        <w:rPr>
          <w:rFonts w:ascii="Times New Roman" w:eastAsia="標楷體" w:hAnsi="Times New Roman" w:cs="Times New Roman"/>
          <w:color w:val="0070C0"/>
        </w:rPr>
        <w:t xml:space="preserve"> 4-6 </w:t>
      </w:r>
      <w:r w:rsidRPr="00154E7B">
        <w:rPr>
          <w:rFonts w:ascii="Times New Roman" w:eastAsia="標楷體" w:hAnsi="Times New Roman" w:cs="Times New Roman"/>
          <w:color w:val="0070C0"/>
        </w:rPr>
        <w:t>確鑿無疑地驗證了假說</w:t>
      </w:r>
      <w:r w:rsidRPr="00154E7B">
        <w:rPr>
          <w:rFonts w:ascii="Times New Roman" w:eastAsia="標楷體" w:hAnsi="Times New Roman" w:cs="Times New Roman"/>
          <w:color w:val="0070C0"/>
        </w:rPr>
        <w:t xml:space="preserve"> H3a</w:t>
      </w:r>
      <w:r w:rsidRPr="00154E7B">
        <w:rPr>
          <w:rFonts w:ascii="Times New Roman" w:eastAsia="標楷體" w:hAnsi="Times New Roman" w:cs="Times New Roman"/>
          <w:color w:val="0070C0"/>
        </w:rPr>
        <w:t>：實質環境資源密集度對成本黏性之加劇效果絕非短暫的當期雜訊，而是深具跨年度時間傳遞特質之結構性剛性阻力。</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4-6</w:t>
      </w:r>
      <w:r w:rsidRPr="00154E7B">
        <w:rPr>
          <w:rFonts w:ascii="Times New Roman" w:eastAsia="標楷體" w:hAnsi="Times New Roman" w:cs="Times New Roman"/>
          <w:b/>
          <w:color w:val="0070C0"/>
          <w:sz w:val="22"/>
        </w:rPr>
        <w:t xml:space="preserve">　環境資源管理之時間落差效應分析表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測試變數與落後階數</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 xml:space="preserve">t-0 </w:t>
            </w:r>
            <w:r w:rsidRPr="00154E7B">
              <w:rPr>
                <w:rFonts w:ascii="Times New Roman" w:eastAsia="標楷體" w:hAnsi="Times New Roman" w:cs="Times New Roman"/>
                <w:b/>
                <w:color w:val="0070C0"/>
                <w:sz w:val="17"/>
              </w:rPr>
              <w:t>當期係數</w:t>
            </w:r>
            <w:r w:rsidRPr="00154E7B">
              <w:rPr>
                <w:rFonts w:ascii="Times New Roman" w:eastAsia="標楷體" w:hAnsi="Times New Roman" w:cs="Times New Roman"/>
                <w:b/>
                <w:color w:val="0070C0"/>
                <w:sz w:val="17"/>
              </w:rPr>
              <w:t xml:space="preserve"> β3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 xml:space="preserve">t-1 </w:t>
            </w:r>
            <w:r w:rsidRPr="00154E7B">
              <w:rPr>
                <w:rFonts w:ascii="Times New Roman" w:eastAsia="標楷體" w:hAnsi="Times New Roman" w:cs="Times New Roman"/>
                <w:b/>
                <w:color w:val="0070C0"/>
                <w:sz w:val="17"/>
              </w:rPr>
              <w:t>遞延一期</w:t>
            </w:r>
            <w:r w:rsidRPr="00154E7B">
              <w:rPr>
                <w:rFonts w:ascii="Times New Roman" w:eastAsia="標楷體" w:hAnsi="Times New Roman" w:cs="Times New Roman"/>
                <w:b/>
                <w:color w:val="0070C0"/>
                <w:sz w:val="17"/>
              </w:rPr>
              <w:t xml:space="preserve"> β3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 xml:space="preserve">t-2 </w:t>
            </w:r>
            <w:r w:rsidRPr="00154E7B">
              <w:rPr>
                <w:rFonts w:ascii="Times New Roman" w:eastAsia="標楷體" w:hAnsi="Times New Roman" w:cs="Times New Roman"/>
                <w:b/>
                <w:color w:val="0070C0"/>
                <w:sz w:val="17"/>
              </w:rPr>
              <w:t>遞延兩期</w:t>
            </w:r>
            <w:r w:rsidRPr="00154E7B">
              <w:rPr>
                <w:rFonts w:ascii="Times New Roman" w:eastAsia="標楷體" w:hAnsi="Times New Roman" w:cs="Times New Roman"/>
                <w:b/>
                <w:color w:val="0070C0"/>
                <w:sz w:val="17"/>
              </w:rPr>
              <w:t xml:space="preserve"> β3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假說</w:t>
            </w:r>
            <w:r w:rsidRPr="00154E7B">
              <w:rPr>
                <w:rFonts w:ascii="Times New Roman" w:eastAsia="標楷體" w:hAnsi="Times New Roman" w:cs="Times New Roman"/>
                <w:b/>
                <w:color w:val="0070C0"/>
                <w:sz w:val="17"/>
              </w:rPr>
              <w:t xml:space="preserve"> H3a </w:t>
            </w:r>
            <w:r w:rsidRPr="00154E7B">
              <w:rPr>
                <w:rFonts w:ascii="Times New Roman" w:eastAsia="標楷體" w:hAnsi="Times New Roman" w:cs="Times New Roman"/>
                <w:b/>
                <w:color w:val="0070C0"/>
                <w:sz w:val="17"/>
              </w:rPr>
              <w:t>檢驗結果</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WATER_INTENSITY (</w:t>
            </w:r>
            <w:r w:rsidRPr="00154E7B">
              <w:rPr>
                <w:rFonts w:ascii="Times New Roman" w:eastAsia="標楷體" w:hAnsi="Times New Roman" w:cs="Times New Roman"/>
                <w:color w:val="0070C0"/>
                <w:sz w:val="16"/>
              </w:rPr>
              <w:t>用水密集度</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-0.0305 (-1.29)</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-0.0418** (-2.25)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-0.0385** (-2.08)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遞延顯著加劇</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WATER_RATE (</w:t>
            </w:r>
            <w:r w:rsidRPr="00154E7B">
              <w:rPr>
                <w:rFonts w:ascii="Times New Roman" w:eastAsia="標楷體" w:hAnsi="Times New Roman" w:cs="Times New Roman"/>
                <w:color w:val="0070C0"/>
                <w:sz w:val="16"/>
              </w:rPr>
              <w:t>水回收率</w:t>
            </w:r>
            <w:r w:rsidRPr="00154E7B">
              <w:rPr>
                <w:rFonts w:ascii="Times New Roman" w:eastAsia="標楷體" w:hAnsi="Times New Roman" w:cs="Times New Roman"/>
                <w:color w:val="0070C0"/>
                <w:sz w:val="16"/>
              </w:rPr>
              <w:t xml:space="preserve"> %)</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-0.0008** (-2.18)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-0.0011** (-2.36)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-0.0009** (-2.01)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折舊持續發酵</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WASTE_INTENSITY (</w:t>
            </w:r>
            <w:r w:rsidRPr="00154E7B">
              <w:rPr>
                <w:rFonts w:ascii="Times New Roman" w:eastAsia="標楷體" w:hAnsi="Times New Roman" w:cs="Times New Roman"/>
                <w:color w:val="0070C0"/>
                <w:sz w:val="16"/>
              </w:rPr>
              <w:t>廢棄物密集度</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-0.0086* (-1.85)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-0.0152** (-2.48)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-0.0185*** (-2.62)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強烈支持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保底長約鎖定</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WASTE_FINE (</w:t>
            </w:r>
            <w:r w:rsidRPr="00154E7B">
              <w:rPr>
                <w:rFonts w:ascii="Times New Roman" w:eastAsia="標楷體" w:hAnsi="Times New Roman" w:cs="Times New Roman"/>
                <w:color w:val="0070C0"/>
                <w:sz w:val="16"/>
              </w:rPr>
              <w:t>環境裁罰金額</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-0.0013** (-2.15)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-0.0028** (-2.56)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-0.0018* (-1.82)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強制整改支出</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WATER_DISC (</w:t>
            </w:r>
            <w:r w:rsidRPr="00154E7B">
              <w:rPr>
                <w:rFonts w:ascii="Times New Roman" w:eastAsia="標楷體" w:hAnsi="Times New Roman" w:cs="Times New Roman"/>
                <w:color w:val="0070C0"/>
                <w:sz w:val="16"/>
              </w:rPr>
              <w:t>水資源揭露</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+0.0354** (1.98)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+0.0285* (1.75)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+0.0241 (1.42)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部分支持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當期效果最強</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WASTE_DISC (</w:t>
            </w:r>
            <w:r w:rsidRPr="00154E7B">
              <w:rPr>
                <w:rFonts w:ascii="Times New Roman" w:eastAsia="標楷體" w:hAnsi="Times New Roman" w:cs="Times New Roman"/>
                <w:color w:val="0070C0"/>
                <w:sz w:val="16"/>
              </w:rPr>
              <w:t>廢棄物</w:t>
            </w:r>
            <w:r w:rsidRPr="00154E7B">
              <w:rPr>
                <w:rFonts w:ascii="Times New Roman" w:eastAsia="標楷體" w:hAnsi="Times New Roman" w:cs="Times New Roman"/>
                <w:color w:val="0070C0"/>
                <w:sz w:val="16"/>
              </w:rPr>
              <w:t>GRI</w:t>
            </w:r>
            <w:r w:rsidRPr="00154E7B">
              <w:rPr>
                <w:rFonts w:ascii="Times New Roman" w:eastAsia="標楷體" w:hAnsi="Times New Roman" w:cs="Times New Roman"/>
                <w:color w:val="0070C0"/>
                <w:sz w:val="16"/>
              </w:rPr>
              <w:t>揭露</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+0.0043 (0.42)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-0.0016 (-0.18)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+0.0039 (0.35)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不顯著</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註：各階數迴歸均完整納入全套控制變數與雙向固定效果。</w:t>
      </w:r>
      <w:r w:rsidRPr="00154E7B">
        <w:rPr>
          <w:rFonts w:ascii="Times New Roman" w:eastAsia="標楷體" w:hAnsi="Times New Roman" w:cs="Times New Roman"/>
          <w:color w:val="0070C0"/>
          <w:sz w:val="17"/>
        </w:rPr>
        <w:t>*** p&lt;0.01, ** p&lt;0.05, * p&lt;0.10</w:t>
      </w:r>
      <w:r w:rsidRPr="00154E7B">
        <w:rPr>
          <w:rFonts w:ascii="Times New Roman" w:eastAsia="標楷體" w:hAnsi="Times New Roman" w:cs="Times New Roman"/>
          <w:color w:val="0070C0"/>
          <w:sz w:val="17"/>
        </w:rPr>
        <w:t>。</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第六節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產業異質性分析</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不同製造業行業之物理製程、化學反應轉化及環境監管暴露度存在巨大之本</w:t>
      </w:r>
      <w:r w:rsidRPr="00154E7B">
        <w:rPr>
          <w:rFonts w:ascii="Times New Roman" w:eastAsia="標楷體" w:hAnsi="Times New Roman" w:cs="Times New Roman"/>
          <w:color w:val="0070C0"/>
        </w:rPr>
        <w:lastRenderedPageBreak/>
        <w:t>質差異。依據假說</w:t>
      </w:r>
      <w:r w:rsidRPr="00154E7B">
        <w:rPr>
          <w:rFonts w:ascii="Times New Roman" w:eastAsia="標楷體" w:hAnsi="Times New Roman" w:cs="Times New Roman"/>
          <w:color w:val="0070C0"/>
        </w:rPr>
        <w:t xml:space="preserve"> H4</w:t>
      </w:r>
      <w:r w:rsidRPr="00154E7B">
        <w:rPr>
          <w:rFonts w:ascii="Times New Roman" w:eastAsia="標楷體" w:hAnsi="Times New Roman" w:cs="Times New Roman"/>
          <w:color w:val="0070C0"/>
        </w:rPr>
        <w:t>，環境資源使用密集度對成本黏性之放大效果，應顯著集中於資產專用性強、管制強度高之「高耗水與高污染製造業」，而在環境敏感度低之「低污染製造業」中則不顯著。為嚴格檢驗此一情境邊界條件，表</w:t>
      </w:r>
      <w:r w:rsidRPr="00154E7B">
        <w:rPr>
          <w:rFonts w:ascii="Times New Roman" w:eastAsia="標楷體" w:hAnsi="Times New Roman" w:cs="Times New Roman"/>
          <w:color w:val="0070C0"/>
        </w:rPr>
        <w:t xml:space="preserve"> 4-7 </w:t>
      </w:r>
      <w:r w:rsidRPr="00154E7B">
        <w:rPr>
          <w:rFonts w:ascii="Times New Roman" w:eastAsia="標楷體" w:hAnsi="Times New Roman" w:cs="Times New Roman"/>
          <w:color w:val="0070C0"/>
        </w:rPr>
        <w:t>依據環境部公告之水污染與廢棄物重點列管行業標準，將全樣本劃分為高耗水</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高污染組（涵蓋半導體、</w:t>
      </w:r>
      <w:r w:rsidRPr="00154E7B">
        <w:rPr>
          <w:rFonts w:ascii="Times New Roman" w:eastAsia="標楷體" w:hAnsi="Times New Roman" w:cs="Times New Roman"/>
          <w:color w:val="0070C0"/>
        </w:rPr>
        <w:t>TFT-LCD</w:t>
      </w:r>
      <w:r w:rsidRPr="00154E7B">
        <w:rPr>
          <w:rFonts w:ascii="Times New Roman" w:eastAsia="標楷體" w:hAnsi="Times New Roman" w:cs="Times New Roman"/>
          <w:color w:val="0070C0"/>
        </w:rPr>
        <w:t>、化學原料、基本金屬鋼鐵等共</w:t>
      </w:r>
      <w:r w:rsidRPr="00154E7B">
        <w:rPr>
          <w:rFonts w:ascii="Times New Roman" w:eastAsia="標楷體" w:hAnsi="Times New Roman" w:cs="Times New Roman"/>
          <w:color w:val="0070C0"/>
        </w:rPr>
        <w:t xml:space="preserve"> 8,242 </w:t>
      </w:r>
      <w:r w:rsidRPr="00154E7B">
        <w:rPr>
          <w:rFonts w:ascii="Times New Roman" w:eastAsia="標楷體" w:hAnsi="Times New Roman" w:cs="Times New Roman"/>
          <w:color w:val="0070C0"/>
        </w:rPr>
        <w:t>筆觀測值）與低污染組（涵蓋一般電子組裝、食品加工、紡織成衣、非金屬機械組裝等共</w:t>
      </w:r>
      <w:r w:rsidRPr="00154E7B">
        <w:rPr>
          <w:rFonts w:ascii="Times New Roman" w:eastAsia="標楷體" w:hAnsi="Times New Roman" w:cs="Times New Roman"/>
          <w:color w:val="0070C0"/>
        </w:rPr>
        <w:t xml:space="preserve"> 9,895 </w:t>
      </w:r>
      <w:r w:rsidRPr="00154E7B">
        <w:rPr>
          <w:rFonts w:ascii="Times New Roman" w:eastAsia="標楷體" w:hAnsi="Times New Roman" w:cs="Times New Roman"/>
          <w:color w:val="0070C0"/>
        </w:rPr>
        <w:t>筆觀測值），執行子樣本獨立迴歸與組間係數差異檢定（</w:t>
      </w:r>
      <w:r w:rsidRPr="00154E7B">
        <w:rPr>
          <w:rFonts w:ascii="Times New Roman" w:eastAsia="標楷體" w:hAnsi="Times New Roman" w:cs="Times New Roman"/>
          <w:color w:val="0070C0"/>
        </w:rPr>
        <w:t>Chow/Wald Test</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4-7 </w:t>
      </w:r>
      <w:r w:rsidRPr="00154E7B">
        <w:rPr>
          <w:rFonts w:ascii="Times New Roman" w:eastAsia="標楷體" w:hAnsi="Times New Roman" w:cs="Times New Roman"/>
          <w:color w:val="0070C0"/>
        </w:rPr>
        <w:t>之分組實證結果呈現出黑白分明之鮮明對比，高度支持假說</w:t>
      </w:r>
      <w:r w:rsidRPr="00154E7B">
        <w:rPr>
          <w:rFonts w:ascii="Times New Roman" w:eastAsia="標楷體" w:hAnsi="Times New Roman" w:cs="Times New Roman"/>
          <w:color w:val="0070C0"/>
        </w:rPr>
        <w:t xml:space="preserve"> H4</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首先檢視「高耗水</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高污染產業群體」：用水密集度之三重交乘項係數在當期為</w:t>
      </w:r>
      <w:r w:rsidRPr="00154E7B">
        <w:rPr>
          <w:rFonts w:ascii="Times New Roman" w:eastAsia="標楷體" w:hAnsi="Times New Roman" w:cs="Times New Roman"/>
          <w:color w:val="0070C0"/>
        </w:rPr>
        <w:t xml:space="preserve"> -0.0518</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-2.42, p &lt; 0.05</w:t>
      </w:r>
      <w:r w:rsidRPr="00154E7B">
        <w:rPr>
          <w:rFonts w:ascii="Times New Roman" w:eastAsia="標楷體" w:hAnsi="Times New Roman" w:cs="Times New Roman"/>
          <w:color w:val="0070C0"/>
        </w:rPr>
        <w:t>），在遞延一期（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）時進一步擴大至</w:t>
      </w:r>
      <w:r w:rsidRPr="00154E7B">
        <w:rPr>
          <w:rFonts w:ascii="Times New Roman" w:eastAsia="標楷體" w:hAnsi="Times New Roman" w:cs="Times New Roman"/>
          <w:color w:val="0070C0"/>
        </w:rPr>
        <w:t xml:space="preserve"> -0.0634</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-2.85, p &lt; 0.01</w:t>
      </w:r>
      <w:r w:rsidRPr="00154E7B">
        <w:rPr>
          <w:rFonts w:ascii="Times New Roman" w:eastAsia="標楷體" w:hAnsi="Times New Roman" w:cs="Times New Roman"/>
          <w:color w:val="0070C0"/>
        </w:rPr>
        <w:t>）；廢棄物密集度之三重交乘項在</w:t>
      </w:r>
      <w:r w:rsidRPr="00154E7B">
        <w:rPr>
          <w:rFonts w:ascii="Times New Roman" w:eastAsia="標楷體" w:hAnsi="Times New Roman" w:cs="Times New Roman"/>
          <w:color w:val="0070C0"/>
        </w:rPr>
        <w:t xml:space="preserve"> t-1 </w:t>
      </w:r>
      <w:r w:rsidRPr="00154E7B">
        <w:rPr>
          <w:rFonts w:ascii="Times New Roman" w:eastAsia="標楷體" w:hAnsi="Times New Roman" w:cs="Times New Roman"/>
          <w:color w:val="0070C0"/>
        </w:rPr>
        <w:t>期亦高度顯著為</w:t>
      </w:r>
      <w:r w:rsidRPr="00154E7B">
        <w:rPr>
          <w:rFonts w:ascii="Times New Roman" w:eastAsia="標楷體" w:hAnsi="Times New Roman" w:cs="Times New Roman"/>
          <w:color w:val="0070C0"/>
        </w:rPr>
        <w:t xml:space="preserve"> -0.0245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-2.71, p &lt; 0.01</w:t>
      </w:r>
      <w:r w:rsidRPr="00154E7B">
        <w:rPr>
          <w:rFonts w:ascii="Times New Roman" w:eastAsia="標楷體" w:hAnsi="Times New Roman" w:cs="Times New Roman"/>
          <w:color w:val="0070C0"/>
        </w:rPr>
        <w:t>）；環境裁罰金額之三重交乘項更達到</w:t>
      </w:r>
      <w:r w:rsidRPr="00154E7B">
        <w:rPr>
          <w:rFonts w:ascii="Times New Roman" w:eastAsia="標楷體" w:hAnsi="Times New Roman" w:cs="Times New Roman"/>
          <w:color w:val="0070C0"/>
        </w:rPr>
        <w:t xml:space="preserve"> -0.0035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t = -2.68, p &lt; 0.01</w:t>
      </w:r>
      <w:r w:rsidRPr="00154E7B">
        <w:rPr>
          <w:rFonts w:ascii="Times New Roman" w:eastAsia="標楷體" w:hAnsi="Times New Roman" w:cs="Times New Roman"/>
          <w:color w:val="0070C0"/>
        </w:rPr>
        <w:t>）。此結果證實，在半導體、光電與石化等重化工業中，環境資源與企業營運命脈密不可分。由於高階晶圓清洗與化學蝕刻涉及極度精密之超純水系統與毒性化學廢液固化設施，此類重資產之折舊與全天候巡檢費用完全不具備隨營收衰退而彈性裁減之可能；加之此類行業為環保局重點稽查對象，稍有不慎即面臨停工勒令，管理者根本無從進行任何損及環境安全之費用縮減，導致成本黏性被極度放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相對地，轉向審視「低污染製造業群體」：無論是用水密集度（</w:t>
      </w:r>
      <w:r w:rsidRPr="00154E7B">
        <w:rPr>
          <w:rFonts w:ascii="Times New Roman" w:eastAsia="標楷體" w:hAnsi="Times New Roman" w:cs="Times New Roman"/>
          <w:color w:val="0070C0"/>
        </w:rPr>
        <w:t xml:space="preserve">t-0 </w:t>
      </w:r>
      <w:r w:rsidRPr="00154E7B">
        <w:rPr>
          <w:rFonts w:ascii="Times New Roman" w:eastAsia="標楷體" w:hAnsi="Times New Roman" w:cs="Times New Roman"/>
          <w:color w:val="0070C0"/>
        </w:rPr>
        <w:t>期</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=-0.0062</m:t>
        </m:r>
      </m:oMath>
      <w:r w:rsidRPr="00154E7B">
        <w:rPr>
          <w:rFonts w:ascii="Times New Roman" w:eastAsia="標楷體" w:hAnsi="Times New Roman" w:cs="Times New Roman"/>
          <w:color w:val="0070C0"/>
        </w:rPr>
        <w:t xml:space="preserve">, t = -0.45; t-1 </w:t>
      </w:r>
      <w:r w:rsidRPr="00154E7B">
        <w:rPr>
          <w:rFonts w:ascii="Times New Roman" w:eastAsia="標楷體" w:hAnsi="Times New Roman" w:cs="Times New Roman"/>
          <w:color w:val="0070C0"/>
        </w:rPr>
        <w:t>期</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=-0.0084</m:t>
        </m:r>
      </m:oMath>
      <w:r w:rsidRPr="00154E7B">
        <w:rPr>
          <w:rFonts w:ascii="Times New Roman" w:eastAsia="標楷體" w:hAnsi="Times New Roman" w:cs="Times New Roman"/>
          <w:color w:val="0070C0"/>
        </w:rPr>
        <w:t>, t = -0.58</w:t>
      </w:r>
      <w:r w:rsidRPr="00154E7B">
        <w:rPr>
          <w:rFonts w:ascii="Times New Roman" w:eastAsia="標楷體" w:hAnsi="Times New Roman" w:cs="Times New Roman"/>
          <w:color w:val="0070C0"/>
        </w:rPr>
        <w:t>）、廢棄物密集度（</w:t>
      </w:r>
      <w:r w:rsidRPr="00154E7B">
        <w:rPr>
          <w:rFonts w:ascii="Times New Roman" w:eastAsia="標楷體" w:hAnsi="Times New Roman" w:cs="Times New Roman"/>
          <w:color w:val="0070C0"/>
        </w:rPr>
        <w:t xml:space="preserve">t-0 </w:t>
      </w:r>
      <w:r w:rsidRPr="00154E7B">
        <w:rPr>
          <w:rFonts w:ascii="Times New Roman" w:eastAsia="標楷體" w:hAnsi="Times New Roman" w:cs="Times New Roman"/>
          <w:color w:val="0070C0"/>
        </w:rPr>
        <w:t>期</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=0.0012</m:t>
        </m:r>
      </m:oMath>
      <w:r w:rsidRPr="00154E7B">
        <w:rPr>
          <w:rFonts w:ascii="Times New Roman" w:eastAsia="標楷體" w:hAnsi="Times New Roman" w:cs="Times New Roman"/>
          <w:color w:val="0070C0"/>
        </w:rPr>
        <w:t xml:space="preserve">, t = 0.22; t-1 </w:t>
      </w:r>
      <w:r w:rsidRPr="00154E7B">
        <w:rPr>
          <w:rFonts w:ascii="Times New Roman" w:eastAsia="標楷體" w:hAnsi="Times New Roman" w:cs="Times New Roman"/>
          <w:color w:val="0070C0"/>
        </w:rPr>
        <w:t>期</w:t>
      </w:r>
      <w:r w:rsidRPr="00154E7B">
        <w:rPr>
          <w:rFonts w:ascii="Times New Roman" w:eastAsia="標楷體" w:hAnsi="Times New Roman" w:cs="Times New Roman"/>
          <w:color w:val="0070C0"/>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=-0.0025</m:t>
        </m:r>
      </m:oMath>
      <w:r w:rsidRPr="00154E7B">
        <w:rPr>
          <w:rFonts w:ascii="Times New Roman" w:eastAsia="標楷體" w:hAnsi="Times New Roman" w:cs="Times New Roman"/>
          <w:color w:val="0070C0"/>
        </w:rPr>
        <w:t>, t = -0.38</w:t>
      </w:r>
      <w:r w:rsidRPr="00154E7B">
        <w:rPr>
          <w:rFonts w:ascii="Times New Roman" w:eastAsia="標楷體" w:hAnsi="Times New Roman" w:cs="Times New Roman"/>
          <w:color w:val="0070C0"/>
        </w:rPr>
        <w:t>），抑或是環境裁罰金額（</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=-0.0004</m:t>
        </m:r>
      </m:oMath>
      <w:r w:rsidRPr="00154E7B">
        <w:rPr>
          <w:rFonts w:ascii="Times New Roman" w:eastAsia="標楷體" w:hAnsi="Times New Roman" w:cs="Times New Roman"/>
          <w:color w:val="0070C0"/>
        </w:rPr>
        <w:t>, t = -0.62</w:t>
      </w:r>
      <w:r w:rsidRPr="00154E7B">
        <w:rPr>
          <w:rFonts w:ascii="Times New Roman" w:eastAsia="標楷體" w:hAnsi="Times New Roman" w:cs="Times New Roman"/>
          <w:color w:val="0070C0"/>
        </w:rPr>
        <w:t>），所有環境變數之三重交乘項係數在統計上均完全未達顯著水準！組間係數差異</w:t>
      </w:r>
      <w:r w:rsidRPr="00154E7B">
        <w:rPr>
          <w:rFonts w:ascii="Times New Roman" w:eastAsia="標楷體" w:hAnsi="Times New Roman" w:cs="Times New Roman"/>
          <w:color w:val="0070C0"/>
        </w:rPr>
        <w:t xml:space="preserve"> Wald </w:t>
      </w:r>
      <w:r w:rsidRPr="00154E7B">
        <w:rPr>
          <w:rFonts w:ascii="Times New Roman" w:eastAsia="標楷體" w:hAnsi="Times New Roman" w:cs="Times New Roman"/>
          <w:color w:val="0070C0"/>
        </w:rPr>
        <w:t>檢定在</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統計水準下拒絕兩組係數相等之虛無假說（</w:t>
      </w:r>
      <w:r w:rsidRPr="00154E7B">
        <w:rPr>
          <w:rFonts w:ascii="Times New Roman" w:eastAsia="標楷體" w:hAnsi="Times New Roman" w:cs="Times New Roman"/>
          <w:color w:val="0070C0"/>
        </w:rPr>
        <w:t>p &lt; 0.001</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低污染產業實證結果之所以不顯著，其背後之經濟意涵十分清晰：一般組裝型或輕工業製造業（如組裝電腦、自行車製造、成衣縫製），其生產主要依賴人工與一般加工機具，用水僅限於員工生活飲用與基礎降溫，固體廢棄物大多為一般可回收之紙箱包材與無害碎料。水費與垃圾清理費在該類企業之總銷管費用中佔比微乎其微（通常低於</w:t>
      </w:r>
      <w:r w:rsidRPr="00154E7B">
        <w:rPr>
          <w:rFonts w:ascii="Times New Roman" w:eastAsia="標楷體" w:hAnsi="Times New Roman" w:cs="Times New Roman"/>
          <w:color w:val="0070C0"/>
        </w:rPr>
        <w:t xml:space="preserve"> 0.5%</w:t>
      </w:r>
      <w:r w:rsidRPr="00154E7B">
        <w:rPr>
          <w:rFonts w:ascii="Times New Roman" w:eastAsia="標楷體" w:hAnsi="Times New Roman" w:cs="Times New Roman"/>
          <w:color w:val="0070C0"/>
        </w:rPr>
        <w:t>），且其清運合約通常採一般隨叫隨清或按袋計費方式，根本不涉及數千萬元之專用環保資產折舊或剛性保底長約。因此，在低污染產業中，環境資源並未形成實質之下行調整摩擦阻力。表</w:t>
      </w:r>
      <w:r w:rsidRPr="00154E7B">
        <w:rPr>
          <w:rFonts w:ascii="Times New Roman" w:eastAsia="標楷體" w:hAnsi="Times New Roman" w:cs="Times New Roman"/>
          <w:color w:val="0070C0"/>
        </w:rPr>
        <w:t xml:space="preserve"> 4-7 </w:t>
      </w:r>
      <w:r w:rsidRPr="00154E7B">
        <w:rPr>
          <w:rFonts w:ascii="Times New Roman" w:eastAsia="標楷體" w:hAnsi="Times New Roman" w:cs="Times New Roman"/>
          <w:color w:val="0070C0"/>
        </w:rPr>
        <w:t>確鑿地驗證了假說</w:t>
      </w:r>
      <w:r w:rsidRPr="00154E7B">
        <w:rPr>
          <w:rFonts w:ascii="Times New Roman" w:eastAsia="標楷體" w:hAnsi="Times New Roman" w:cs="Times New Roman"/>
          <w:color w:val="0070C0"/>
        </w:rPr>
        <w:t xml:space="preserve"> H4</w:t>
      </w:r>
      <w:r w:rsidRPr="00154E7B">
        <w:rPr>
          <w:rFonts w:ascii="Times New Roman" w:eastAsia="標楷體" w:hAnsi="Times New Roman" w:cs="Times New Roman"/>
          <w:color w:val="0070C0"/>
        </w:rPr>
        <w:t>，確立了環境成本剛性理論在產業應用層面之重要邊界條件。</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4-7</w:t>
      </w:r>
      <w:r w:rsidRPr="00154E7B">
        <w:rPr>
          <w:rFonts w:ascii="Times New Roman" w:eastAsia="標楷體" w:hAnsi="Times New Roman" w:cs="Times New Roman"/>
          <w:b/>
          <w:color w:val="0070C0"/>
          <w:sz w:val="22"/>
        </w:rPr>
        <w:t xml:space="preserve">　高耗水</w:t>
      </w:r>
      <w:r w:rsidRPr="00154E7B">
        <w:rPr>
          <w:rFonts w:ascii="Times New Roman" w:eastAsia="標楷體" w:hAnsi="Times New Roman" w:cs="Times New Roman"/>
          <w:b/>
          <w:color w:val="0070C0"/>
          <w:sz w:val="22"/>
        </w:rPr>
        <w:t>/</w:t>
      </w:r>
      <w:r w:rsidRPr="00154E7B">
        <w:rPr>
          <w:rFonts w:ascii="Times New Roman" w:eastAsia="標楷體" w:hAnsi="Times New Roman" w:cs="Times New Roman"/>
          <w:b/>
          <w:color w:val="0070C0"/>
          <w:sz w:val="22"/>
        </w:rPr>
        <w:t>高污染</w:t>
      </w:r>
      <w:r w:rsidRPr="00154E7B">
        <w:rPr>
          <w:rFonts w:ascii="Times New Roman" w:eastAsia="標楷體" w:hAnsi="Times New Roman" w:cs="Times New Roman"/>
          <w:b/>
          <w:color w:val="0070C0"/>
          <w:sz w:val="22"/>
        </w:rPr>
        <w:t xml:space="preserve"> vs </w:t>
      </w:r>
      <w:r w:rsidRPr="00154E7B">
        <w:rPr>
          <w:rFonts w:ascii="Times New Roman" w:eastAsia="標楷體" w:hAnsi="Times New Roman" w:cs="Times New Roman"/>
          <w:b/>
          <w:color w:val="0070C0"/>
          <w:sz w:val="22"/>
        </w:rPr>
        <w:t>低污染製造業分組迴歸比較表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實證模型與變數</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全體樣本</w:t>
            </w:r>
            <w:r w:rsidRPr="00154E7B">
              <w:rPr>
                <w:rFonts w:ascii="Times New Roman" w:eastAsia="標楷體" w:hAnsi="Times New Roman" w:cs="Times New Roman"/>
                <w:b/>
                <w:color w:val="0070C0"/>
                <w:sz w:val="17"/>
              </w:rPr>
              <w:t xml:space="preserve"> β3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高耗水</w:t>
            </w:r>
            <w:r w:rsidRPr="00154E7B">
              <w:rPr>
                <w:rFonts w:ascii="Times New Roman" w:eastAsia="標楷體" w:hAnsi="Times New Roman" w:cs="Times New Roman"/>
                <w:b/>
                <w:color w:val="0070C0"/>
                <w:sz w:val="17"/>
              </w:rPr>
              <w:t>/</w:t>
            </w:r>
            <w:r w:rsidRPr="00154E7B">
              <w:rPr>
                <w:rFonts w:ascii="Times New Roman" w:eastAsia="標楷體" w:hAnsi="Times New Roman" w:cs="Times New Roman"/>
                <w:b/>
                <w:color w:val="0070C0"/>
                <w:sz w:val="17"/>
              </w:rPr>
              <w:t>高污染組</w:t>
            </w:r>
            <w:r w:rsidRPr="00154E7B">
              <w:rPr>
                <w:rFonts w:ascii="Times New Roman" w:eastAsia="標楷體" w:hAnsi="Times New Roman" w:cs="Times New Roman"/>
                <w:b/>
                <w:color w:val="0070C0"/>
                <w:sz w:val="17"/>
              </w:rPr>
              <w:t xml:space="preserve"> β3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低污染製造業組</w:t>
            </w:r>
            <w:r w:rsidRPr="00154E7B">
              <w:rPr>
                <w:rFonts w:ascii="Times New Roman" w:eastAsia="標楷體" w:hAnsi="Times New Roman" w:cs="Times New Roman"/>
                <w:b/>
                <w:color w:val="0070C0"/>
                <w:sz w:val="17"/>
              </w:rPr>
              <w:t xml:space="preserve"> β3 (t</w:t>
            </w:r>
            <w:r w:rsidRPr="00154E7B">
              <w:rPr>
                <w:rFonts w:ascii="Times New Roman" w:eastAsia="標楷體" w:hAnsi="Times New Roman" w:cs="Times New Roman"/>
                <w:b/>
                <w:color w:val="0070C0"/>
                <w:sz w:val="17"/>
              </w:rPr>
              <w:t>值</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組間差異</w:t>
            </w:r>
            <w:r w:rsidRPr="00154E7B">
              <w:rPr>
                <w:rFonts w:ascii="Times New Roman" w:eastAsia="標楷體" w:hAnsi="Times New Roman" w:cs="Times New Roman"/>
                <w:b/>
                <w:color w:val="0070C0"/>
                <w:sz w:val="17"/>
              </w:rPr>
              <w:t xml:space="preserve"> Wald </w:t>
            </w:r>
            <w:r w:rsidRPr="00154E7B">
              <w:rPr>
                <w:rFonts w:ascii="Times New Roman" w:eastAsia="標楷體" w:hAnsi="Times New Roman" w:cs="Times New Roman"/>
                <w:b/>
                <w:color w:val="0070C0"/>
                <w:sz w:val="17"/>
              </w:rPr>
              <w:t>檢定</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lastRenderedPageBreak/>
              <w:t>WATER_INTENSITY (</w:t>
            </w:r>
            <w:r w:rsidRPr="00154E7B">
              <w:rPr>
                <w:rFonts w:ascii="Times New Roman" w:eastAsia="標楷體" w:hAnsi="Times New Roman" w:cs="Times New Roman"/>
                <w:color w:val="0070C0"/>
                <w:sz w:val="16"/>
              </w:rPr>
              <w:t>當期</w:t>
            </w:r>
            <w:r w:rsidRPr="00154E7B">
              <w:rPr>
                <w:rFonts w:ascii="Times New Roman" w:eastAsia="標楷體" w:hAnsi="Times New Roman" w:cs="Times New Roman"/>
                <w:color w:val="0070C0"/>
                <w:sz w:val="16"/>
              </w:rPr>
              <w:t xml:space="preserve"> t-0)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-0.0305 (-1.29)</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-0.0518** (-2.42)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-0.0062 (-0.45)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χ² = 7.85*** (p=0.005)</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WATER_INTENSITY (</w:t>
            </w:r>
            <w:r w:rsidRPr="00154E7B">
              <w:rPr>
                <w:rFonts w:ascii="Times New Roman" w:eastAsia="標楷體" w:hAnsi="Times New Roman" w:cs="Times New Roman"/>
                <w:color w:val="0070C0"/>
                <w:sz w:val="16"/>
              </w:rPr>
              <w:t>落後</w:t>
            </w:r>
            <w:r w:rsidRPr="00154E7B">
              <w:rPr>
                <w:rFonts w:ascii="Times New Roman" w:eastAsia="標楷體" w:hAnsi="Times New Roman" w:cs="Times New Roman"/>
                <w:color w:val="0070C0"/>
                <w:sz w:val="16"/>
              </w:rPr>
              <w:t xml:space="preserve"> t-1)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-0.0418** (-2.25)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-0.0634*** (-2.85)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-0.0084 (-0.58)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χ² = 9.42*** (p=0.002)</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WASTE_INTENSITY (</w:t>
            </w:r>
            <w:r w:rsidRPr="00154E7B">
              <w:rPr>
                <w:rFonts w:ascii="Times New Roman" w:eastAsia="標楷體" w:hAnsi="Times New Roman" w:cs="Times New Roman"/>
                <w:color w:val="0070C0"/>
                <w:sz w:val="16"/>
              </w:rPr>
              <w:t>落後</w:t>
            </w:r>
            <w:r w:rsidRPr="00154E7B">
              <w:rPr>
                <w:rFonts w:ascii="Times New Roman" w:eastAsia="標楷體" w:hAnsi="Times New Roman" w:cs="Times New Roman"/>
                <w:color w:val="0070C0"/>
                <w:sz w:val="16"/>
              </w:rPr>
              <w:t xml:space="preserve"> t-1)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-0.0152** (-2.48)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-0.0245*** (-2.71)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-0.0025 (-0.38)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χ² = 8.16*** (p=0.004)</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WASTE_FINE (</w:t>
            </w:r>
            <w:r w:rsidRPr="00154E7B">
              <w:rPr>
                <w:rFonts w:ascii="Times New Roman" w:eastAsia="標楷體" w:hAnsi="Times New Roman" w:cs="Times New Roman"/>
                <w:color w:val="0070C0"/>
                <w:sz w:val="16"/>
              </w:rPr>
              <w:t>落後</w:t>
            </w:r>
            <w:r w:rsidRPr="00154E7B">
              <w:rPr>
                <w:rFonts w:ascii="Times New Roman" w:eastAsia="標楷體" w:hAnsi="Times New Roman" w:cs="Times New Roman"/>
                <w:color w:val="0070C0"/>
                <w:sz w:val="16"/>
              </w:rPr>
              <w:t xml:space="preserve"> t-1)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-0.0028** (-2.56)</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-0.0035*** (-2.68)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-0.0004 (-0.62)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χ² = 6.25** (p=0.012)</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基準成本黏性</w:t>
            </w:r>
            <w:r w:rsidRPr="00154E7B">
              <w:rPr>
                <w:rFonts w:ascii="Times New Roman" w:eastAsia="標楷體" w:hAnsi="Times New Roman" w:cs="Times New Roman"/>
                <w:color w:val="0070C0"/>
                <w:sz w:val="16"/>
              </w:rPr>
              <w:t xml:space="preserve">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當期</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-0.1582*** (-8.45)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-0.2450*** (-7.15)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-0.0985*** (-3.82)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χ² = 12.18*** (p&lt;0.001)</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觀測值筆數</w:t>
            </w:r>
            <w:r w:rsidRPr="00154E7B">
              <w:rPr>
                <w:rFonts w:ascii="Times New Roman" w:eastAsia="標楷體" w:hAnsi="Times New Roman" w:cs="Times New Roman"/>
                <w:color w:val="0070C0"/>
                <w:sz w:val="16"/>
              </w:rPr>
              <w:t xml:space="preserve"> (N)</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8,242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9,895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註：產業劃分依據環境部重點列管污染行業標準。</w:t>
      </w:r>
      <w:r w:rsidRPr="00154E7B">
        <w:rPr>
          <w:rFonts w:ascii="Times New Roman" w:eastAsia="標楷體" w:hAnsi="Times New Roman" w:cs="Times New Roman"/>
          <w:color w:val="0070C0"/>
          <w:sz w:val="17"/>
        </w:rPr>
        <w:t>*** p&lt;0.01, ** p&lt;0.05</w:t>
      </w:r>
      <w:r w:rsidRPr="00154E7B">
        <w:rPr>
          <w:rFonts w:ascii="Times New Roman" w:eastAsia="標楷體" w:hAnsi="Times New Roman" w:cs="Times New Roman"/>
          <w:color w:val="0070C0"/>
          <w:sz w:val="17"/>
        </w:rPr>
        <w:t>。</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第七節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額外分析與穩健性檢驗</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為進一步鞏固本研究實證發現之可信度、排除潛在的計量替代假說，並檢驗結論在不同衡量標準與極端情境下之敏感度，本研究執行了多元面向之額外分析與嚴格穩健性檢定：</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【額外分析一：營業成本（</w:t>
      </w:r>
      <w:r w:rsidRPr="00154E7B">
        <w:rPr>
          <w:rFonts w:ascii="Times New Roman" w:eastAsia="標楷體" w:hAnsi="Times New Roman" w:cs="Times New Roman"/>
          <w:color w:val="0070C0"/>
        </w:rPr>
        <w:t>COGS</w:t>
      </w:r>
      <w:r w:rsidRPr="00154E7B">
        <w:rPr>
          <w:rFonts w:ascii="Times New Roman" w:eastAsia="標楷體" w:hAnsi="Times New Roman" w:cs="Times New Roman"/>
          <w:color w:val="0070C0"/>
        </w:rPr>
        <w:t>）與銷管費用（</w:t>
      </w:r>
      <w:r w:rsidRPr="00154E7B">
        <w:rPr>
          <w:rFonts w:ascii="Times New Roman" w:eastAsia="標楷體" w:hAnsi="Times New Roman" w:cs="Times New Roman"/>
          <w:color w:val="0070C0"/>
        </w:rPr>
        <w:t>SG&amp;A</w:t>
      </w:r>
      <w:r w:rsidRPr="00154E7B">
        <w:rPr>
          <w:rFonts w:ascii="Times New Roman" w:eastAsia="標楷體" w:hAnsi="Times New Roman" w:cs="Times New Roman"/>
          <w:color w:val="0070C0"/>
        </w:rPr>
        <w:t>）分拆檢驗】</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在前述核心分析中，本研究遵循</w:t>
      </w:r>
      <w:r w:rsidRPr="00154E7B">
        <w:rPr>
          <w:rFonts w:ascii="Times New Roman" w:eastAsia="標楷體" w:hAnsi="Times New Roman" w:cs="Times New Roman"/>
          <w:color w:val="0070C0"/>
        </w:rPr>
        <w:t xml:space="preserve"> ABJ (2003) </w:t>
      </w:r>
      <w:r w:rsidRPr="00154E7B">
        <w:rPr>
          <w:rFonts w:ascii="Times New Roman" w:eastAsia="標楷體" w:hAnsi="Times New Roman" w:cs="Times New Roman"/>
          <w:color w:val="0070C0"/>
        </w:rPr>
        <w:t>傳統，以銷管費用（</w:t>
      </w:r>
      <w:r w:rsidRPr="00154E7B">
        <w:rPr>
          <w:rFonts w:ascii="Times New Roman" w:eastAsia="標楷體" w:hAnsi="Times New Roman" w:cs="Times New Roman"/>
          <w:color w:val="0070C0"/>
        </w:rPr>
        <w:t>SG&amp;A</w:t>
      </w:r>
      <w:r w:rsidRPr="00154E7B">
        <w:rPr>
          <w:rFonts w:ascii="Times New Roman" w:eastAsia="標楷體" w:hAnsi="Times New Roman" w:cs="Times New Roman"/>
          <w:color w:val="0070C0"/>
        </w:rPr>
        <w:t>）作為被解釋變數。然而，在製造業實務上，部分與廠區直接運轉相關之環境費用可能被直接分攤計入「營業成本」（</w:t>
      </w:r>
      <w:r w:rsidRPr="00154E7B">
        <w:rPr>
          <w:rFonts w:ascii="Times New Roman" w:eastAsia="標楷體" w:hAnsi="Times New Roman" w:cs="Times New Roman"/>
          <w:color w:val="0070C0"/>
        </w:rPr>
        <w:t xml:space="preserve">Cost of Goods Sold, </w:t>
      </w:r>
      <w:r w:rsidRPr="00154E7B">
        <w:rPr>
          <w:rFonts w:ascii="Times New Roman" w:eastAsia="標楷體" w:hAnsi="Times New Roman" w:cs="Times New Roman"/>
          <w:color w:val="0070C0"/>
        </w:rPr>
        <w:t>簡稱</w:t>
      </w:r>
      <w:r w:rsidRPr="00154E7B">
        <w:rPr>
          <w:rFonts w:ascii="Times New Roman" w:eastAsia="標楷體" w:hAnsi="Times New Roman" w:cs="Times New Roman"/>
          <w:color w:val="0070C0"/>
        </w:rPr>
        <w:t xml:space="preserve"> COGS</w:t>
      </w:r>
      <w:r w:rsidRPr="00154E7B">
        <w:rPr>
          <w:rFonts w:ascii="Times New Roman" w:eastAsia="標楷體" w:hAnsi="Times New Roman" w:cs="Times New Roman"/>
          <w:color w:val="0070C0"/>
        </w:rPr>
        <w:t>）。為全盤探究環境剛性在企業內部不同成本層級之滲透路徑，表</w:t>
      </w:r>
      <w:r w:rsidRPr="00154E7B">
        <w:rPr>
          <w:rFonts w:ascii="Times New Roman" w:eastAsia="標楷體" w:hAnsi="Times New Roman" w:cs="Times New Roman"/>
          <w:color w:val="0070C0"/>
        </w:rPr>
        <w:t xml:space="preserve"> 4-8 </w:t>
      </w:r>
      <w:r w:rsidRPr="00154E7B">
        <w:rPr>
          <w:rFonts w:ascii="Times New Roman" w:eastAsia="標楷體" w:hAnsi="Times New Roman" w:cs="Times New Roman"/>
          <w:color w:val="0070C0"/>
        </w:rPr>
        <w:t>呈現了以營業成本變動率（</w:t>
      </w:r>
      <w:r w:rsidRPr="00154E7B">
        <w:rPr>
          <w:rFonts w:ascii="Times New Roman" w:eastAsia="標楷體" w:hAnsi="Times New Roman" w:cs="Times New Roman"/>
          <w:color w:val="0070C0"/>
        </w:rPr>
        <w:t>Y_dLNCOGS</w:t>
      </w:r>
      <w:r w:rsidRPr="00154E7B">
        <w:rPr>
          <w:rFonts w:ascii="Times New Roman" w:eastAsia="標楷體" w:hAnsi="Times New Roman" w:cs="Times New Roman"/>
          <w:color w:val="0070C0"/>
        </w:rPr>
        <w:t>）作為被解釋變數之迴歸估計結果。實證結果顯示，用水密集度與廢棄物密集度對營業成本之成本黏性同樣具有高度顯著之加劇效果（</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oMath>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分別為</w:t>
      </w:r>
      <w:r w:rsidRPr="00154E7B">
        <w:rPr>
          <w:rFonts w:ascii="Times New Roman" w:eastAsia="標楷體" w:hAnsi="Times New Roman" w:cs="Times New Roman"/>
          <w:color w:val="0070C0"/>
        </w:rPr>
        <w:t xml:space="preserve"> -0.0452, p &lt; 0.05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-0.0168, p &lt; 0.05</w:t>
      </w:r>
      <w:r w:rsidRPr="00154E7B">
        <w:rPr>
          <w:rFonts w:ascii="Times New Roman" w:eastAsia="標楷體" w:hAnsi="Times New Roman" w:cs="Times New Roman"/>
          <w:color w:val="0070C0"/>
        </w:rPr>
        <w:t>）。更具啟發性的是，營業成本之基準成本黏性係數（</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r>
          <w:rPr>
            <w:rFonts w:ascii="Cambria Math" w:hAnsi="Cambria Math"/>
            <w:color w:val="0070C0"/>
          </w:rPr>
          <m:t>=-0.2850</m:t>
        </m:r>
      </m:oMath>
      <w:r w:rsidRPr="00154E7B">
        <w:rPr>
          <w:rFonts w:ascii="Times New Roman" w:eastAsia="標楷體" w:hAnsi="Times New Roman" w:cs="Times New Roman"/>
          <w:color w:val="0070C0"/>
        </w:rPr>
        <w:t>）顯著大於銷管費用，反映出生產製程原料與廠房折舊之直接投入剛性甚至高於後勤管銷費用。此一分拆檢驗確認了環境資源密集度對企業營運剛性之影響具有普遍性與穿透性，不僅滲透於後勤管理費用，更深植於生產成本之中。</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【穩健性檢驗二：替換環境密集度之衡量分母】</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在主分析中，用水與廢棄物密集度均以營業收入總額作為分母。為排除營收波動可能對分母造成之反向機械性干擾，表</w:t>
      </w:r>
      <w:r w:rsidRPr="00154E7B">
        <w:rPr>
          <w:rFonts w:ascii="Times New Roman" w:eastAsia="標楷體" w:hAnsi="Times New Roman" w:cs="Times New Roman"/>
          <w:color w:val="0070C0"/>
        </w:rPr>
        <w:t xml:space="preserve"> 4-9 </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 xml:space="preserve"> A </w:t>
      </w:r>
      <w:r w:rsidRPr="00154E7B">
        <w:rPr>
          <w:rFonts w:ascii="Times New Roman" w:eastAsia="標楷體" w:hAnsi="Times New Roman" w:cs="Times New Roman"/>
          <w:color w:val="0070C0"/>
        </w:rPr>
        <w:t>將密集度之分母替換為企業之「期末資產總額」（</w:t>
      </w:r>
      <w:r w:rsidRPr="00154E7B">
        <w:rPr>
          <w:rFonts w:ascii="Times New Roman" w:eastAsia="標楷體" w:hAnsi="Times New Roman" w:cs="Times New Roman"/>
          <w:color w:val="0070C0"/>
        </w:rPr>
        <w:t>Total Assets</w:t>
      </w:r>
      <w:r w:rsidRPr="00154E7B">
        <w:rPr>
          <w:rFonts w:ascii="Times New Roman" w:eastAsia="標楷體" w:hAnsi="Times New Roman" w:cs="Times New Roman"/>
          <w:color w:val="0070C0"/>
        </w:rPr>
        <w:t>），重新計算以資產為基礎之環境資源密集度指標。迴歸結果顯示，替換分母後之三重交乘項係數依然在</w:t>
      </w:r>
      <w:r w:rsidRPr="00154E7B">
        <w:rPr>
          <w:rFonts w:ascii="Times New Roman" w:eastAsia="標楷體" w:hAnsi="Times New Roman" w:cs="Times New Roman"/>
          <w:color w:val="0070C0"/>
        </w:rPr>
        <w:t xml:space="preserve"> 5% </w:t>
      </w:r>
      <w:r w:rsidRPr="00154E7B">
        <w:rPr>
          <w:rFonts w:ascii="Times New Roman" w:eastAsia="標楷體" w:hAnsi="Times New Roman" w:cs="Times New Roman"/>
          <w:color w:val="0070C0"/>
        </w:rPr>
        <w:t>統計水準下保持顯</w:t>
      </w:r>
      <w:r w:rsidRPr="00154E7B">
        <w:rPr>
          <w:rFonts w:ascii="Times New Roman" w:eastAsia="標楷體" w:hAnsi="Times New Roman" w:cs="Times New Roman"/>
          <w:color w:val="0070C0"/>
        </w:rPr>
        <w:lastRenderedPageBreak/>
        <w:t>著負向，實證結論完全不受變數尺度縮放之影響。</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【穩健性檢驗三：排除特殊外生衝擊年度（</w:t>
      </w:r>
      <w:r w:rsidRPr="00154E7B">
        <w:rPr>
          <w:rFonts w:ascii="Times New Roman" w:eastAsia="標楷體" w:hAnsi="Times New Roman" w:cs="Times New Roman"/>
          <w:color w:val="0070C0"/>
        </w:rPr>
        <w:t xml:space="preserve">COVID-19 </w:t>
      </w:r>
      <w:r w:rsidRPr="00154E7B">
        <w:rPr>
          <w:rFonts w:ascii="Times New Roman" w:eastAsia="標楷體" w:hAnsi="Times New Roman" w:cs="Times New Roman"/>
          <w:color w:val="0070C0"/>
        </w:rPr>
        <w:t>疫情期間）】</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考量</w:t>
      </w:r>
      <w:r w:rsidRPr="00154E7B">
        <w:rPr>
          <w:rFonts w:ascii="Times New Roman" w:eastAsia="標楷體" w:hAnsi="Times New Roman" w:cs="Times New Roman"/>
          <w:color w:val="0070C0"/>
        </w:rPr>
        <w:t xml:space="preserve"> 2020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2021 </w:t>
      </w:r>
      <w:r w:rsidRPr="00154E7B">
        <w:rPr>
          <w:rFonts w:ascii="Times New Roman" w:eastAsia="標楷體" w:hAnsi="Times New Roman" w:cs="Times New Roman"/>
          <w:color w:val="0070C0"/>
        </w:rPr>
        <w:t>年全球爆發</w:t>
      </w:r>
      <w:r w:rsidRPr="00154E7B">
        <w:rPr>
          <w:rFonts w:ascii="Times New Roman" w:eastAsia="標楷體" w:hAnsi="Times New Roman" w:cs="Times New Roman"/>
          <w:color w:val="0070C0"/>
        </w:rPr>
        <w:t xml:space="preserve"> COVID-19 </w:t>
      </w:r>
      <w:r w:rsidRPr="00154E7B">
        <w:rPr>
          <w:rFonts w:ascii="Times New Roman" w:eastAsia="標楷體" w:hAnsi="Times New Roman" w:cs="Times New Roman"/>
          <w:color w:val="0070C0"/>
        </w:rPr>
        <w:t>疫情，可能引發非正常之供應鏈斷鏈、工廠停工及政府特殊紓困補貼，依據辛珏辰（</w:t>
      </w:r>
      <w:r w:rsidRPr="00154E7B">
        <w:rPr>
          <w:rFonts w:ascii="Times New Roman" w:eastAsia="標楷體" w:hAnsi="Times New Roman" w:cs="Times New Roman"/>
          <w:color w:val="0070C0"/>
        </w:rPr>
        <w:t>2025</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[14] </w:t>
      </w:r>
      <w:r w:rsidRPr="00154E7B">
        <w:rPr>
          <w:rFonts w:ascii="Times New Roman" w:eastAsia="標楷體" w:hAnsi="Times New Roman" w:cs="Times New Roman"/>
          <w:color w:val="0070C0"/>
        </w:rPr>
        <w:t>之探討，重大外生衝擊可能干擾企業常態之成本行為。為排除疫情極端年度之潛在扭曲，表</w:t>
      </w:r>
      <w:r w:rsidRPr="00154E7B">
        <w:rPr>
          <w:rFonts w:ascii="Times New Roman" w:eastAsia="標楷體" w:hAnsi="Times New Roman" w:cs="Times New Roman"/>
          <w:color w:val="0070C0"/>
        </w:rPr>
        <w:t xml:space="preserve"> 4-9 </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 xml:space="preserve"> B </w:t>
      </w:r>
      <w:r w:rsidRPr="00154E7B">
        <w:rPr>
          <w:rFonts w:ascii="Times New Roman" w:eastAsia="標楷體" w:hAnsi="Times New Roman" w:cs="Times New Roman"/>
          <w:color w:val="0070C0"/>
        </w:rPr>
        <w:t>將</w:t>
      </w:r>
      <w:r w:rsidRPr="00154E7B">
        <w:rPr>
          <w:rFonts w:ascii="Times New Roman" w:eastAsia="標楷體" w:hAnsi="Times New Roman" w:cs="Times New Roman"/>
          <w:color w:val="0070C0"/>
        </w:rPr>
        <w:t xml:space="preserve"> 2020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2021 </w:t>
      </w:r>
      <w:r w:rsidRPr="00154E7B">
        <w:rPr>
          <w:rFonts w:ascii="Times New Roman" w:eastAsia="標楷體" w:hAnsi="Times New Roman" w:cs="Times New Roman"/>
          <w:color w:val="0070C0"/>
        </w:rPr>
        <w:t>兩個會計年度之觀測值自樣本中完全剔除，僅以常態年份重新執行迴歸。結果顯示，在排除疫情年度後，水回收率（</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=-0.0009</m:t>
        </m:r>
      </m:oMath>
      <w:r w:rsidRPr="00154E7B">
        <w:rPr>
          <w:rFonts w:ascii="Times New Roman" w:eastAsia="標楷體" w:hAnsi="Times New Roman" w:cs="Times New Roman"/>
          <w:color w:val="0070C0"/>
        </w:rPr>
        <w:t>, p &lt; 0.05</w:t>
      </w:r>
      <w:r w:rsidRPr="00154E7B">
        <w:rPr>
          <w:rFonts w:ascii="Times New Roman" w:eastAsia="標楷體" w:hAnsi="Times New Roman" w:cs="Times New Roman"/>
          <w:color w:val="0070C0"/>
        </w:rPr>
        <w:t>）、用水密集度（</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=-0.0328</m:t>
        </m:r>
      </m:oMath>
      <w:r w:rsidRPr="00154E7B">
        <w:rPr>
          <w:rFonts w:ascii="Times New Roman" w:eastAsia="標楷體" w:hAnsi="Times New Roman" w:cs="Times New Roman"/>
          <w:color w:val="0070C0"/>
        </w:rPr>
        <w:t>, p &lt; 0.05</w:t>
      </w:r>
      <w:r w:rsidRPr="00154E7B">
        <w:rPr>
          <w:rFonts w:ascii="Times New Roman" w:eastAsia="標楷體" w:hAnsi="Times New Roman" w:cs="Times New Roman"/>
          <w:color w:val="0070C0"/>
        </w:rPr>
        <w:t>）及廢棄物密集度（</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=-0.0102</m:t>
        </m:r>
      </m:oMath>
      <w:r w:rsidRPr="00154E7B">
        <w:rPr>
          <w:rFonts w:ascii="Times New Roman" w:eastAsia="標楷體" w:hAnsi="Times New Roman" w:cs="Times New Roman"/>
          <w:color w:val="0070C0"/>
        </w:rPr>
        <w:t>, p &lt; 0.05</w:t>
      </w:r>
      <w:r w:rsidRPr="00154E7B">
        <w:rPr>
          <w:rFonts w:ascii="Times New Roman" w:eastAsia="標楷體" w:hAnsi="Times New Roman" w:cs="Times New Roman"/>
          <w:color w:val="0070C0"/>
        </w:rPr>
        <w:t>）之加劇效果依然顯著穩健，證實本文結論代表製造業之常態經濟規律，並非特定危機年度之暫態現象。</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【穩健性檢驗四：控制公司個體固定效果（</w:t>
      </w:r>
      <w:r w:rsidRPr="00154E7B">
        <w:rPr>
          <w:rFonts w:ascii="Times New Roman" w:eastAsia="標楷體" w:hAnsi="Times New Roman" w:cs="Times New Roman"/>
          <w:color w:val="0070C0"/>
        </w:rPr>
        <w:t>Firm Fixed Effects</w:t>
      </w:r>
      <w:r w:rsidRPr="00154E7B">
        <w:rPr>
          <w:rFonts w:ascii="Times New Roman" w:eastAsia="標楷體" w:hAnsi="Times New Roman" w:cs="Times New Roman"/>
          <w:color w:val="0070C0"/>
        </w:rPr>
        <w:t>）】</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在主模型中，本研究控制了</w:t>
      </w:r>
      <w:r w:rsidRPr="00154E7B">
        <w:rPr>
          <w:rFonts w:ascii="Times New Roman" w:eastAsia="標楷體" w:hAnsi="Times New Roman" w:cs="Times New Roman"/>
          <w:color w:val="0070C0"/>
        </w:rPr>
        <w:t xml:space="preserve"> TEJ </w:t>
      </w:r>
      <w:r w:rsidRPr="00154E7B">
        <w:rPr>
          <w:rFonts w:ascii="Times New Roman" w:eastAsia="標楷體" w:hAnsi="Times New Roman" w:cs="Times New Roman"/>
          <w:color w:val="0070C0"/>
        </w:rPr>
        <w:t>細部產業固定效果。為進一步控制不隨時間變動之未觀察公司不均勻特性（</w:t>
      </w:r>
      <w:r w:rsidRPr="00154E7B">
        <w:rPr>
          <w:rFonts w:ascii="Times New Roman" w:eastAsia="標楷體" w:hAnsi="Times New Roman" w:cs="Times New Roman"/>
          <w:color w:val="0070C0"/>
        </w:rPr>
        <w:t>Unobserved Firm-level Heterogeneity</w:t>
      </w: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4-9 </w:t>
      </w:r>
      <w:r w:rsidRPr="00154E7B">
        <w:rPr>
          <w:rFonts w:ascii="Times New Roman" w:eastAsia="標楷體" w:hAnsi="Times New Roman" w:cs="Times New Roman"/>
          <w:color w:val="0070C0"/>
        </w:rPr>
        <w:t>模型</w:t>
      </w:r>
      <w:r w:rsidRPr="00154E7B">
        <w:rPr>
          <w:rFonts w:ascii="Times New Roman" w:eastAsia="標楷體" w:hAnsi="Times New Roman" w:cs="Times New Roman"/>
          <w:color w:val="0070C0"/>
        </w:rPr>
        <w:t xml:space="preserve"> C </w:t>
      </w:r>
      <w:r w:rsidRPr="00154E7B">
        <w:rPr>
          <w:rFonts w:ascii="Times New Roman" w:eastAsia="標楷體" w:hAnsi="Times New Roman" w:cs="Times New Roman"/>
          <w:color w:val="0070C0"/>
        </w:rPr>
        <w:t>進一步引入「公司個體固定效果」（</w:t>
      </w:r>
      <w:r w:rsidRPr="00154E7B">
        <w:rPr>
          <w:rFonts w:ascii="Times New Roman" w:eastAsia="標楷體" w:hAnsi="Times New Roman" w:cs="Times New Roman"/>
          <w:color w:val="0070C0"/>
        </w:rPr>
        <w:t>Firm Fixed Effects</w:t>
      </w:r>
      <w:r w:rsidRPr="00154E7B">
        <w:rPr>
          <w:rFonts w:ascii="Times New Roman" w:eastAsia="標楷體" w:hAnsi="Times New Roman" w:cs="Times New Roman"/>
          <w:color w:val="0070C0"/>
        </w:rPr>
        <w:t>）。在利用企業個體內部時間序列變異（</w:t>
      </w:r>
      <w:r w:rsidRPr="00154E7B">
        <w:rPr>
          <w:rFonts w:ascii="Times New Roman" w:eastAsia="標楷體" w:hAnsi="Times New Roman" w:cs="Times New Roman"/>
          <w:color w:val="0070C0"/>
        </w:rPr>
        <w:t>Within-firm variation</w:t>
      </w:r>
      <w:r w:rsidRPr="00154E7B">
        <w:rPr>
          <w:rFonts w:ascii="Times New Roman" w:eastAsia="標楷體" w:hAnsi="Times New Roman" w:cs="Times New Roman"/>
          <w:color w:val="0070C0"/>
        </w:rPr>
        <w:t>）進行估計下，實證結果依然保持高度一致性。綜合上述四項多元面向之敏感度檢測，本研究之各項實證發現展現出極高之穩健性與計量可靠度。</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4-8</w:t>
      </w:r>
      <w:r w:rsidRPr="00154E7B">
        <w:rPr>
          <w:rFonts w:ascii="Times New Roman" w:eastAsia="標楷體" w:hAnsi="Times New Roman" w:cs="Times New Roman"/>
          <w:b/>
          <w:color w:val="0070C0"/>
          <w:sz w:val="22"/>
        </w:rPr>
        <w:t xml:space="preserve">　營業成本與銷管費用分拆比較檢驗表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26"/>
        <w:gridCol w:w="2126"/>
        <w:gridCol w:w="2126"/>
        <w:gridCol w:w="2126"/>
      </w:tblGrid>
      <w:tr w:rsidR="00154E7B" w:rsidRPr="00154E7B">
        <w:trPr>
          <w:jc w:val="center"/>
        </w:trPr>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測試變數與交乘項</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銷管費用</w:t>
            </w:r>
            <w:r w:rsidRPr="00154E7B">
              <w:rPr>
                <w:rFonts w:ascii="Times New Roman" w:eastAsia="標楷體" w:hAnsi="Times New Roman" w:cs="Times New Roman"/>
                <w:b/>
                <w:color w:val="0070C0"/>
                <w:sz w:val="17"/>
              </w:rPr>
              <w:t xml:space="preserve"> SG&amp;A </w:t>
            </w: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 (</w:t>
            </w:r>
            <w:r w:rsidRPr="00154E7B">
              <w:rPr>
                <w:rFonts w:ascii="Times New Roman" w:eastAsia="標楷體" w:hAnsi="Times New Roman" w:cs="Times New Roman"/>
                <w:b/>
                <w:color w:val="0070C0"/>
                <w:sz w:val="17"/>
              </w:rPr>
              <w:t>主分析</w:t>
            </w:r>
            <w:r w:rsidRPr="00154E7B">
              <w:rPr>
                <w:rFonts w:ascii="Times New Roman" w:eastAsia="標楷體" w:hAnsi="Times New Roman" w:cs="Times New Roman"/>
                <w:b/>
                <w:color w:val="0070C0"/>
                <w:sz w:val="17"/>
              </w:rPr>
              <w:t>)</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營業成本</w:t>
            </w:r>
            <w:r w:rsidRPr="00154E7B">
              <w:rPr>
                <w:rFonts w:ascii="Times New Roman" w:eastAsia="標楷體" w:hAnsi="Times New Roman" w:cs="Times New Roman"/>
                <w:b/>
                <w:color w:val="0070C0"/>
                <w:sz w:val="17"/>
              </w:rPr>
              <w:t xml:space="preserve"> COGS </w:t>
            </w:r>
            <w:r w:rsidRPr="00154E7B">
              <w:rPr>
                <w:rFonts w:ascii="Times New Roman" w:eastAsia="標楷體" w:hAnsi="Times New Roman" w:cs="Times New Roman"/>
                <w:b/>
                <w:color w:val="0070C0"/>
                <w:sz w:val="17"/>
              </w:rPr>
              <w:t>模型</w:t>
            </w:r>
            <w:r w:rsidRPr="00154E7B">
              <w:rPr>
                <w:rFonts w:ascii="Times New Roman" w:eastAsia="標楷體" w:hAnsi="Times New Roman" w:cs="Times New Roman"/>
                <w:b/>
                <w:color w:val="0070C0"/>
                <w:sz w:val="17"/>
              </w:rPr>
              <w:t xml:space="preserve"> (</w:t>
            </w:r>
            <w:r w:rsidRPr="00154E7B">
              <w:rPr>
                <w:rFonts w:ascii="Times New Roman" w:eastAsia="標楷體" w:hAnsi="Times New Roman" w:cs="Times New Roman"/>
                <w:b/>
                <w:color w:val="0070C0"/>
                <w:sz w:val="17"/>
              </w:rPr>
              <w:t>分拆檢驗</w:t>
            </w:r>
            <w:r w:rsidRPr="00154E7B">
              <w:rPr>
                <w:rFonts w:ascii="Times New Roman" w:eastAsia="標楷體" w:hAnsi="Times New Roman" w:cs="Times New Roman"/>
                <w:b/>
                <w:color w:val="0070C0"/>
                <w:sz w:val="17"/>
              </w:rPr>
              <w:t>)</w:t>
            </w:r>
          </w:p>
        </w:tc>
        <w:tc>
          <w:tcPr>
            <w:tcW w:w="2126"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兩者係數比較與結論</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dLNREV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1</m:t>
                  </m:r>
                </m:sub>
              </m:sSub>
            </m:oMath>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0.3542*** (28.16)</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0.7850*** (45.20)</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營業成本隨營收變動彈性更高</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DEC × dLNREV (</w:t>
            </w:r>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2</m:t>
                  </m:r>
                </m:sub>
              </m:sSub>
            </m:oMath>
            <w:r w:rsidRPr="00154E7B">
              <w:rPr>
                <w:rFonts w:ascii="Times New Roman" w:eastAsia="標楷體" w:hAnsi="Times New Roman" w:cs="Times New Roman"/>
                <w:color w:val="0070C0"/>
                <w:sz w:val="16"/>
              </w:rPr>
              <w:t>)</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-0.1582*** (-8.45)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-0.2850*** (-12.40)</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營業成本基準黏性亦高度顯著</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WATER_INTENSITY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-0.0418** (-2.25)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-0.0452** (-2.38)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水耗用對兩類費用均具剛性衝擊</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WASTE_INTENSITY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-0.0152** (-2.48)</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-0.0168** (-2.52)</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廢棄物合約深度約束生產與管銷</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WASTE_FINE × DEC × dREV</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-0.0028** (-2.56)</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-0.0015* (-1.85)</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違規裁罰對管銷費用衝擊更大</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控制變數與雙向固定效果</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已控制</w:t>
            </w:r>
            <w:r w:rsidRPr="00154E7B">
              <w:rPr>
                <w:rFonts w:ascii="Times New Roman" w:eastAsia="標楷體" w:hAnsi="Times New Roman" w:cs="Times New Roman"/>
                <w:color w:val="0070C0"/>
                <w:sz w:val="16"/>
              </w:rPr>
              <w:t xml:space="preserve"> (Yes)</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r w:rsidR="00154E7B" w:rsidRPr="00154E7B">
        <w:trPr>
          <w:jc w:val="center"/>
        </w:trPr>
        <w:tc>
          <w:tcPr>
            <w:tcW w:w="2126"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觀測值筆數</w:t>
            </w:r>
            <w:r w:rsidRPr="00154E7B">
              <w:rPr>
                <w:rFonts w:ascii="Times New Roman" w:eastAsia="標楷體" w:hAnsi="Times New Roman" w:cs="Times New Roman"/>
                <w:color w:val="0070C0"/>
                <w:sz w:val="16"/>
              </w:rPr>
              <w:t xml:space="preserve"> (N)</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18,137</w:t>
            </w:r>
          </w:p>
        </w:tc>
        <w:tc>
          <w:tcPr>
            <w:tcW w:w="2126"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lastRenderedPageBreak/>
        <w:t>註：因變數分別為</w:t>
      </w:r>
      <w:r w:rsidRPr="00154E7B">
        <w:rPr>
          <w:rFonts w:ascii="Times New Roman" w:eastAsia="標楷體" w:hAnsi="Times New Roman" w:cs="Times New Roman"/>
          <w:color w:val="0070C0"/>
          <w:sz w:val="17"/>
        </w:rPr>
        <w:t xml:space="preserve"> </w:t>
      </w:r>
      <m:oMath>
        <m:r>
          <m:rPr>
            <m:sty m:val="p"/>
          </m:rPr>
          <w:rPr>
            <w:rFonts w:ascii="Cambria Math" w:hAnsi="Cambria Math"/>
            <w:color w:val="0070C0"/>
          </w:rPr>
          <m:t>ln</m:t>
        </m:r>
        <m:r>
          <w:rPr>
            <w:rFonts w:ascii="Cambria Math" w:hAnsi="Cambria Math"/>
            <w:color w:val="0070C0"/>
          </w:rPr>
          <m:t>(</m:t>
        </m:r>
        <m:f>
          <m:fPr>
            <m:ctrlPr>
              <w:rPr>
                <w:rFonts w:ascii="Cambria Math" w:hAnsi="Cambria Math"/>
                <w:color w:val="0070C0"/>
              </w:rPr>
            </m:ctrlPr>
          </m:fPr>
          <m:num>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t</m:t>
                </m:r>
              </m:sub>
            </m:sSub>
          </m:num>
          <m:den>
            <m:r>
              <w:rPr>
                <w:rFonts w:ascii="Cambria Math" w:hAnsi="Cambria Math"/>
                <w:color w:val="0070C0"/>
              </w:rPr>
              <m:t>SG</m:t>
            </m:r>
            <m:sSub>
              <m:sSubPr>
                <m:ctrlPr>
                  <w:rPr>
                    <w:rFonts w:ascii="Cambria Math" w:hAnsi="Cambria Math"/>
                    <w:color w:val="0070C0"/>
                  </w:rPr>
                </m:ctrlPr>
              </m:sSubPr>
              <m:e>
                <m:r>
                  <w:rPr>
                    <w:rFonts w:ascii="Cambria Math" w:hAnsi="Cambria Math"/>
                    <w:color w:val="0070C0"/>
                  </w:rPr>
                  <m:t>A</m:t>
                </m:r>
              </m:e>
              <m:sub>
                <m:r>
                  <w:rPr>
                    <w:rFonts w:ascii="Cambria Math" w:hAnsi="Cambria Math"/>
                    <w:color w:val="0070C0"/>
                  </w:rPr>
                  <m:t>t-1</m:t>
                </m:r>
              </m:sub>
            </m:sSub>
          </m:den>
        </m:f>
        <m:r>
          <w:rPr>
            <w:rFonts w:ascii="Cambria Math" w:hAnsi="Cambria Math"/>
            <w:color w:val="0070C0"/>
          </w:rPr>
          <m:t>)</m:t>
        </m:r>
      </m:oMath>
      <w:r w:rsidRPr="00154E7B">
        <w:rPr>
          <w:rFonts w:ascii="Times New Roman" w:eastAsia="標楷體" w:hAnsi="Times New Roman" w:cs="Times New Roman"/>
          <w:color w:val="0070C0"/>
          <w:sz w:val="17"/>
        </w:rPr>
        <w:t xml:space="preserve"> </w:t>
      </w:r>
      <w:r w:rsidRPr="00154E7B">
        <w:rPr>
          <w:rFonts w:ascii="Times New Roman" w:eastAsia="標楷體" w:hAnsi="Times New Roman" w:cs="Times New Roman"/>
          <w:color w:val="0070C0"/>
          <w:sz w:val="17"/>
        </w:rPr>
        <w:t>與</w:t>
      </w:r>
      <w:r w:rsidRPr="00154E7B">
        <w:rPr>
          <w:rFonts w:ascii="Times New Roman" w:eastAsia="標楷體" w:hAnsi="Times New Roman" w:cs="Times New Roman"/>
          <w:color w:val="0070C0"/>
          <w:sz w:val="17"/>
        </w:rPr>
        <w:t xml:space="preserve"> </w:t>
      </w:r>
      <m:oMath>
        <m:r>
          <m:rPr>
            <m:sty m:val="p"/>
          </m:rPr>
          <w:rPr>
            <w:rFonts w:ascii="Cambria Math" w:hAnsi="Cambria Math"/>
            <w:color w:val="0070C0"/>
          </w:rPr>
          <m:t>ln</m:t>
        </m:r>
        <m:r>
          <w:rPr>
            <w:rFonts w:ascii="Cambria Math" w:hAnsi="Cambria Math"/>
            <w:color w:val="0070C0"/>
          </w:rPr>
          <m:t>(</m:t>
        </m:r>
        <m:f>
          <m:fPr>
            <m:ctrlPr>
              <w:rPr>
                <w:rFonts w:ascii="Cambria Math" w:hAnsi="Cambria Math"/>
                <w:color w:val="0070C0"/>
              </w:rPr>
            </m:ctrlPr>
          </m:fPr>
          <m:num>
            <m:r>
              <w:rPr>
                <w:rFonts w:ascii="Cambria Math" w:hAnsi="Cambria Math"/>
                <w:color w:val="0070C0"/>
              </w:rPr>
              <m:t>COG</m:t>
            </m:r>
            <m:sSub>
              <m:sSubPr>
                <m:ctrlPr>
                  <w:rPr>
                    <w:rFonts w:ascii="Cambria Math" w:hAnsi="Cambria Math"/>
                    <w:color w:val="0070C0"/>
                  </w:rPr>
                </m:ctrlPr>
              </m:sSubPr>
              <m:e>
                <m:r>
                  <w:rPr>
                    <w:rFonts w:ascii="Cambria Math" w:hAnsi="Cambria Math"/>
                    <w:color w:val="0070C0"/>
                  </w:rPr>
                  <m:t>S</m:t>
                </m:r>
              </m:e>
              <m:sub>
                <m:r>
                  <w:rPr>
                    <w:rFonts w:ascii="Cambria Math" w:hAnsi="Cambria Math"/>
                    <w:color w:val="0070C0"/>
                  </w:rPr>
                  <m:t>t</m:t>
                </m:r>
              </m:sub>
            </m:sSub>
          </m:num>
          <m:den>
            <m:r>
              <w:rPr>
                <w:rFonts w:ascii="Cambria Math" w:hAnsi="Cambria Math"/>
                <w:color w:val="0070C0"/>
              </w:rPr>
              <m:t>COG</m:t>
            </m:r>
            <m:sSub>
              <m:sSubPr>
                <m:ctrlPr>
                  <w:rPr>
                    <w:rFonts w:ascii="Cambria Math" w:hAnsi="Cambria Math"/>
                    <w:color w:val="0070C0"/>
                  </w:rPr>
                </m:ctrlPr>
              </m:sSubPr>
              <m:e>
                <m:r>
                  <w:rPr>
                    <w:rFonts w:ascii="Cambria Math" w:hAnsi="Cambria Math"/>
                    <w:color w:val="0070C0"/>
                  </w:rPr>
                  <m:t>S</m:t>
                </m:r>
              </m:e>
              <m:sub>
                <m:r>
                  <w:rPr>
                    <w:rFonts w:ascii="Cambria Math" w:hAnsi="Cambria Math"/>
                    <w:color w:val="0070C0"/>
                  </w:rPr>
                  <m:t>t-1</m:t>
                </m:r>
              </m:sub>
            </m:sSub>
          </m:den>
        </m:f>
        <m:r>
          <w:rPr>
            <w:rFonts w:ascii="Cambria Math" w:hAnsi="Cambria Math"/>
            <w:color w:val="0070C0"/>
          </w:rPr>
          <m:t>)</m:t>
        </m:r>
      </m:oMath>
      <w:r w:rsidRPr="00154E7B">
        <w:rPr>
          <w:rFonts w:ascii="Times New Roman" w:eastAsia="標楷體" w:hAnsi="Times New Roman" w:cs="Times New Roman"/>
          <w:color w:val="0070C0"/>
          <w:sz w:val="17"/>
        </w:rPr>
        <w:t>。</w:t>
      </w:r>
      <w:r w:rsidRPr="00154E7B">
        <w:rPr>
          <w:rFonts w:ascii="Times New Roman" w:eastAsia="標楷體" w:hAnsi="Times New Roman" w:cs="Times New Roman"/>
          <w:color w:val="0070C0"/>
          <w:sz w:val="17"/>
        </w:rPr>
        <w:t>*** p&lt;0.01, ** p&lt;0.05, * p&lt;0.10</w:t>
      </w:r>
      <w:r w:rsidRPr="00154E7B">
        <w:rPr>
          <w:rFonts w:ascii="Times New Roman" w:eastAsia="標楷體" w:hAnsi="Times New Roman" w:cs="Times New Roman"/>
          <w:color w:val="0070C0"/>
          <w:sz w:val="17"/>
        </w:rPr>
        <w:t>。</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4-9</w:t>
      </w:r>
      <w:r w:rsidRPr="00154E7B">
        <w:rPr>
          <w:rFonts w:ascii="Times New Roman" w:eastAsia="標楷體" w:hAnsi="Times New Roman" w:cs="Times New Roman"/>
          <w:b/>
          <w:color w:val="0070C0"/>
          <w:sz w:val="22"/>
        </w:rPr>
        <w:t xml:space="preserve">　替代變數衡量與敏感度穩健性檢驗表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穩健性檢定項目</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模型設定特徵</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主要測試變數</w:t>
            </w:r>
            <w:r w:rsidRPr="00154E7B">
              <w:rPr>
                <w:rFonts w:ascii="Times New Roman" w:eastAsia="標楷體" w:hAnsi="Times New Roman" w:cs="Times New Roman"/>
                <w:b/>
                <w:color w:val="0070C0"/>
                <w:sz w:val="17"/>
              </w:rPr>
              <w:t xml:space="preserve"> β3 </w:t>
            </w:r>
            <w:r w:rsidRPr="00154E7B">
              <w:rPr>
                <w:rFonts w:ascii="Times New Roman" w:eastAsia="標楷體" w:hAnsi="Times New Roman" w:cs="Times New Roman"/>
                <w:b/>
                <w:color w:val="0070C0"/>
                <w:sz w:val="17"/>
              </w:rPr>
              <w:t>估計值</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 xml:space="preserve">t </w:t>
            </w:r>
            <w:r w:rsidRPr="00154E7B">
              <w:rPr>
                <w:rFonts w:ascii="Times New Roman" w:eastAsia="標楷體" w:hAnsi="Times New Roman" w:cs="Times New Roman"/>
                <w:b/>
                <w:color w:val="0070C0"/>
                <w:sz w:val="17"/>
              </w:rPr>
              <w:t>統計量</w:t>
            </w:r>
            <w:r w:rsidRPr="00154E7B">
              <w:rPr>
                <w:rFonts w:ascii="Times New Roman" w:eastAsia="標楷體" w:hAnsi="Times New Roman" w:cs="Times New Roman"/>
                <w:b/>
                <w:color w:val="0070C0"/>
                <w:sz w:val="17"/>
              </w:rPr>
              <w:t xml:space="preserve"> (</w:t>
            </w:r>
            <w:r w:rsidRPr="00154E7B">
              <w:rPr>
                <w:rFonts w:ascii="Times New Roman" w:eastAsia="標楷體" w:hAnsi="Times New Roman" w:cs="Times New Roman"/>
                <w:b/>
                <w:color w:val="0070C0"/>
                <w:sz w:val="17"/>
              </w:rPr>
              <w:t>顯著水準</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穩健性評估結論</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模型</w:t>
            </w:r>
            <w:r w:rsidRPr="00154E7B">
              <w:rPr>
                <w:rFonts w:ascii="Times New Roman" w:eastAsia="標楷體" w:hAnsi="Times New Roman" w:cs="Times New Roman"/>
                <w:color w:val="0070C0"/>
                <w:sz w:val="16"/>
              </w:rPr>
              <w:t xml:space="preserve"> A: </w:t>
            </w:r>
            <w:r w:rsidRPr="00154E7B">
              <w:rPr>
                <w:rFonts w:ascii="Times New Roman" w:eastAsia="標楷體" w:hAnsi="Times New Roman" w:cs="Times New Roman"/>
                <w:color w:val="0070C0"/>
                <w:sz w:val="16"/>
              </w:rPr>
              <w:t>替代密集度衡量分母</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以「期末總資產」替代營業收入作為分母</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WATER_INT_TA = -0.0385**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-2.28 (p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高度穩健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排除營收縮減干擾</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模型</w:t>
            </w:r>
            <w:r w:rsidRPr="00154E7B">
              <w:rPr>
                <w:rFonts w:ascii="Times New Roman" w:eastAsia="標楷體" w:hAnsi="Times New Roman" w:cs="Times New Roman"/>
                <w:color w:val="0070C0"/>
                <w:sz w:val="16"/>
              </w:rPr>
              <w:t xml:space="preserve"> B: </w:t>
            </w:r>
            <w:r w:rsidRPr="00154E7B">
              <w:rPr>
                <w:rFonts w:ascii="Times New Roman" w:eastAsia="標楷體" w:hAnsi="Times New Roman" w:cs="Times New Roman"/>
                <w:color w:val="0070C0"/>
                <w:sz w:val="16"/>
              </w:rPr>
              <w:t>排除</w:t>
            </w:r>
            <w:r w:rsidRPr="00154E7B">
              <w:rPr>
                <w:rFonts w:ascii="Times New Roman" w:eastAsia="標楷體" w:hAnsi="Times New Roman" w:cs="Times New Roman"/>
                <w:color w:val="0070C0"/>
                <w:sz w:val="16"/>
              </w:rPr>
              <w:t xml:space="preserve"> COVID-19 </w:t>
            </w:r>
            <w:r w:rsidRPr="00154E7B">
              <w:rPr>
                <w:rFonts w:ascii="Times New Roman" w:eastAsia="標楷體" w:hAnsi="Times New Roman" w:cs="Times New Roman"/>
                <w:color w:val="0070C0"/>
                <w:sz w:val="16"/>
              </w:rPr>
              <w:t>異常年份</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完全剔除</w:t>
            </w:r>
            <w:r w:rsidRPr="00154E7B">
              <w:rPr>
                <w:rFonts w:ascii="Times New Roman" w:eastAsia="標楷體" w:hAnsi="Times New Roman" w:cs="Times New Roman"/>
                <w:color w:val="0070C0"/>
                <w:sz w:val="16"/>
              </w:rPr>
              <w:t xml:space="preserve"> 2020 </w:t>
            </w:r>
            <w:r w:rsidRPr="00154E7B">
              <w:rPr>
                <w:rFonts w:ascii="Times New Roman" w:eastAsia="標楷體" w:hAnsi="Times New Roman" w:cs="Times New Roman"/>
                <w:color w:val="0070C0"/>
                <w:sz w:val="16"/>
              </w:rPr>
              <w:t>與</w:t>
            </w:r>
            <w:r w:rsidRPr="00154E7B">
              <w:rPr>
                <w:rFonts w:ascii="Times New Roman" w:eastAsia="標楷體" w:hAnsi="Times New Roman" w:cs="Times New Roman"/>
                <w:color w:val="0070C0"/>
                <w:sz w:val="16"/>
              </w:rPr>
              <w:t xml:space="preserve"> 2021 </w:t>
            </w:r>
            <w:r w:rsidRPr="00154E7B">
              <w:rPr>
                <w:rFonts w:ascii="Times New Roman" w:eastAsia="標楷體" w:hAnsi="Times New Roman" w:cs="Times New Roman"/>
                <w:color w:val="0070C0"/>
                <w:sz w:val="16"/>
              </w:rPr>
              <w:t>疫情衝擊年度</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WATER_INT_t1 = -0.0425**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-2.31 (p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高度穩健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非疫情暫態現象</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模型</w:t>
            </w:r>
            <w:r w:rsidRPr="00154E7B">
              <w:rPr>
                <w:rFonts w:ascii="Times New Roman" w:eastAsia="標楷體" w:hAnsi="Times New Roman" w:cs="Times New Roman"/>
                <w:color w:val="0070C0"/>
                <w:sz w:val="16"/>
              </w:rPr>
              <w:t xml:space="preserve"> C: </w:t>
            </w:r>
            <w:r w:rsidRPr="00154E7B">
              <w:rPr>
                <w:rFonts w:ascii="Times New Roman" w:eastAsia="標楷體" w:hAnsi="Times New Roman" w:cs="Times New Roman"/>
                <w:color w:val="0070C0"/>
                <w:sz w:val="16"/>
              </w:rPr>
              <w:t>控制公司個體固定效果</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引入公司個體固定效果（</w:t>
            </w:r>
            <w:r w:rsidRPr="00154E7B">
              <w:rPr>
                <w:rFonts w:ascii="Times New Roman" w:eastAsia="標楷體" w:hAnsi="Times New Roman" w:cs="Times New Roman"/>
                <w:color w:val="0070C0"/>
                <w:sz w:val="16"/>
              </w:rPr>
              <w:t>Firm FE</w:t>
            </w:r>
            <w:r w:rsidRPr="00154E7B">
              <w:rPr>
                <w:rFonts w:ascii="Times New Roman" w:eastAsia="標楷體" w:hAnsi="Times New Roman" w:cs="Times New Roman"/>
                <w:color w:val="0070C0"/>
                <w:sz w:val="16"/>
              </w:rPr>
              <w:t>）估計</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WATER_INT_t1 = -0.0365**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-2.12 (p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高度穩健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排除未觀察個體異質</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模型</w:t>
            </w:r>
            <w:r w:rsidRPr="00154E7B">
              <w:rPr>
                <w:rFonts w:ascii="Times New Roman" w:eastAsia="標楷體" w:hAnsi="Times New Roman" w:cs="Times New Roman"/>
                <w:color w:val="0070C0"/>
                <w:sz w:val="16"/>
              </w:rPr>
              <w:t xml:space="preserve"> D: </w:t>
            </w:r>
            <w:r w:rsidRPr="00154E7B">
              <w:rPr>
                <w:rFonts w:ascii="Times New Roman" w:eastAsia="標楷體" w:hAnsi="Times New Roman" w:cs="Times New Roman"/>
                <w:color w:val="0070C0"/>
                <w:sz w:val="16"/>
              </w:rPr>
              <w:t>廢棄物替代衡量</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以資產標準化廢棄物量</w:t>
            </w:r>
            <w:r w:rsidRPr="00154E7B">
              <w:rPr>
                <w:rFonts w:ascii="Times New Roman" w:eastAsia="標楷體" w:hAnsi="Times New Roman" w:cs="Times New Roman"/>
                <w:color w:val="0070C0"/>
                <w:sz w:val="16"/>
              </w:rPr>
              <w:t xml:space="preserve"> (WASTE/ASSETS)</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WASTE_INT_TA = -0.0142**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-2.35 (p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高度穩健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合約剛性本質不變</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模型</w:t>
            </w:r>
            <w:r w:rsidRPr="00154E7B">
              <w:rPr>
                <w:rFonts w:ascii="Times New Roman" w:eastAsia="標楷體" w:hAnsi="Times New Roman" w:cs="Times New Roman"/>
                <w:color w:val="0070C0"/>
                <w:sz w:val="16"/>
              </w:rPr>
              <w:t xml:space="preserve"> E: </w:t>
            </w:r>
            <w:r w:rsidRPr="00154E7B">
              <w:rPr>
                <w:rFonts w:ascii="Times New Roman" w:eastAsia="標楷體" w:hAnsi="Times New Roman" w:cs="Times New Roman"/>
                <w:color w:val="0070C0"/>
                <w:sz w:val="16"/>
              </w:rPr>
              <w:t>雙向縮尾</w:t>
            </w:r>
            <w:r w:rsidRPr="00154E7B">
              <w:rPr>
                <w:rFonts w:ascii="Times New Roman" w:eastAsia="標楷體" w:hAnsi="Times New Roman" w:cs="Times New Roman"/>
                <w:color w:val="0070C0"/>
                <w:sz w:val="16"/>
              </w:rPr>
              <w:t xml:space="preserve"> 0.5% </w:t>
            </w:r>
            <w:r w:rsidRPr="00154E7B">
              <w:rPr>
                <w:rFonts w:ascii="Times New Roman" w:eastAsia="標楷體" w:hAnsi="Times New Roman" w:cs="Times New Roman"/>
                <w:color w:val="0070C0"/>
                <w:sz w:val="16"/>
              </w:rPr>
              <w:t>與</w:t>
            </w:r>
            <w:r w:rsidRPr="00154E7B">
              <w:rPr>
                <w:rFonts w:ascii="Times New Roman" w:eastAsia="標楷體" w:hAnsi="Times New Roman" w:cs="Times New Roman"/>
                <w:color w:val="0070C0"/>
                <w:sz w:val="16"/>
              </w:rPr>
              <w:t xml:space="preserve"> 2.5%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變更連續變數極端值縮尾門檻</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WATER_INT_t1 = -0.0410**</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-2.20 (p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高度穩健</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排除縮尾主觀偏誤</w:t>
            </w:r>
            <w:r w:rsidRPr="00154E7B">
              <w:rPr>
                <w:rFonts w:ascii="Times New Roman" w:eastAsia="標楷體" w:hAnsi="Times New Roman" w:cs="Times New Roman"/>
                <w:color w:val="0070C0"/>
                <w:sz w:val="16"/>
              </w:rPr>
              <w:t>)</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註：所有穩健性模型均包含完整控制組與公司層級叢集標準誤調整。</w:t>
      </w:r>
      <w:r w:rsidRPr="00154E7B">
        <w:rPr>
          <w:rFonts w:ascii="Times New Roman" w:eastAsia="標楷體" w:hAnsi="Times New Roman" w:cs="Times New Roman"/>
          <w:color w:val="0070C0"/>
          <w:sz w:val="17"/>
        </w:rPr>
        <w:t>** p&lt;0.05</w:t>
      </w:r>
      <w:r w:rsidRPr="00154E7B">
        <w:rPr>
          <w:rFonts w:ascii="Times New Roman" w:eastAsia="標楷體" w:hAnsi="Times New Roman" w:cs="Times New Roman"/>
          <w:color w:val="0070C0"/>
          <w:sz w:val="17"/>
        </w:rPr>
        <w:t>。</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第五章</w:t>
      </w:r>
      <w:r w:rsidRPr="00154E7B">
        <w:rPr>
          <w:rFonts w:ascii="Times New Roman" w:eastAsia="標楷體" w:hAnsi="Times New Roman" w:cs="Times New Roman"/>
          <w:b/>
          <w:color w:val="0070C0"/>
          <w:sz w:val="36"/>
        </w:rPr>
        <w:t xml:space="preserve"> </w:t>
      </w:r>
      <w:r w:rsidRPr="00154E7B">
        <w:rPr>
          <w:rFonts w:ascii="Times New Roman" w:eastAsia="標楷體" w:hAnsi="Times New Roman" w:cs="Times New Roman"/>
          <w:b/>
          <w:color w:val="0070C0"/>
          <w:sz w:val="36"/>
        </w:rPr>
        <w:t>結論與建議</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第一節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研究結論與假說檢定總結</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在全球追求淨零碳排、資源循環與環境法規日益嚴苛的巨觀環境下，企業之環境資源管理早已超越傳統道德倡導之企業社會責任範疇，實質轉化為攸關日常生產連續性、法律合規性與成本結構彈性之戰略核心。然而，過往管理會計文獻在探討非對稱成本行為（成本僵固性）時，多局限於傳統實體資產密集度、人力規模或一般代理衝突，甚少將視野觸及實質環境物理資源消耗與剛性法規處分所帶來之操作約束。本研究以</w:t>
      </w:r>
      <w:r w:rsidRPr="00154E7B">
        <w:rPr>
          <w:rFonts w:ascii="Times New Roman" w:eastAsia="標楷體" w:hAnsi="Times New Roman" w:cs="Times New Roman"/>
          <w:color w:val="0070C0"/>
        </w:rPr>
        <w:t xml:space="preserve"> 2014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2024 </w:t>
      </w:r>
      <w:r w:rsidRPr="00154E7B">
        <w:rPr>
          <w:rFonts w:ascii="Times New Roman" w:eastAsia="標楷體" w:hAnsi="Times New Roman" w:cs="Times New Roman"/>
          <w:color w:val="0070C0"/>
        </w:rPr>
        <w:t>年台灣上市櫃製造業為經驗對象，全面整合</w:t>
      </w:r>
      <w:r w:rsidRPr="00154E7B">
        <w:rPr>
          <w:rFonts w:ascii="Times New Roman" w:eastAsia="標楷體" w:hAnsi="Times New Roman" w:cs="Times New Roman"/>
          <w:color w:val="0070C0"/>
        </w:rPr>
        <w:t xml:space="preserve"> TEJ </w:t>
      </w:r>
      <w:r w:rsidRPr="00154E7B">
        <w:rPr>
          <w:rFonts w:ascii="Times New Roman" w:eastAsia="標楷體" w:hAnsi="Times New Roman" w:cs="Times New Roman"/>
          <w:color w:val="0070C0"/>
        </w:rPr>
        <w:t>財務資料庫、</w:t>
      </w:r>
      <w:r w:rsidRPr="00154E7B">
        <w:rPr>
          <w:rFonts w:ascii="Times New Roman" w:eastAsia="標楷體" w:hAnsi="Times New Roman" w:cs="Times New Roman"/>
          <w:color w:val="0070C0"/>
        </w:rPr>
        <w:t xml:space="preserve">TESG </w:t>
      </w:r>
      <w:r w:rsidRPr="00154E7B">
        <w:rPr>
          <w:rFonts w:ascii="Times New Roman" w:eastAsia="標楷體" w:hAnsi="Times New Roman" w:cs="Times New Roman"/>
          <w:color w:val="0070C0"/>
        </w:rPr>
        <w:t>永續環境數量模組及列管事業污染源環境裁處資料庫，深入檢驗企業水資源管理（水回收率、用水密集度、水資訊揭露）與事業廢棄物處置（廢棄物密集度、管理揭露評分、環境違規裁罰）對銷管費用成本黏性之調節作用，並進一步探討動態時間落差效應與產業污染特徵之異質性邊界。</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表</w:t>
      </w:r>
      <w:r w:rsidRPr="00154E7B">
        <w:rPr>
          <w:rFonts w:ascii="Times New Roman" w:eastAsia="標楷體" w:hAnsi="Times New Roman" w:cs="Times New Roman"/>
          <w:color w:val="0070C0"/>
        </w:rPr>
        <w:t xml:space="preserve"> 5-1 </w:t>
      </w:r>
      <w:r w:rsidRPr="00154E7B">
        <w:rPr>
          <w:rFonts w:ascii="Times New Roman" w:eastAsia="標楷體" w:hAnsi="Times New Roman" w:cs="Times New Roman"/>
          <w:color w:val="0070C0"/>
        </w:rPr>
        <w:t>系統性彙總了本研究六大假說之理論預期符號、實證檢定結果與結論判定。綜合全文嚴謹之實證分析，本研究提煉出以下四項核心結論：</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第一，台灣上市櫃製造業普遍存在高度顯著之非對稱成本黏性。基準</w:t>
      </w:r>
      <w:r w:rsidRPr="00154E7B">
        <w:rPr>
          <w:rFonts w:ascii="Times New Roman" w:eastAsia="標楷體" w:hAnsi="Times New Roman" w:cs="Times New Roman"/>
          <w:color w:val="0070C0"/>
        </w:rPr>
        <w:t xml:space="preserve"> ABJ </w:t>
      </w:r>
      <w:r w:rsidRPr="00154E7B">
        <w:rPr>
          <w:rFonts w:ascii="Times New Roman" w:eastAsia="標楷體" w:hAnsi="Times New Roman" w:cs="Times New Roman"/>
          <w:color w:val="0070C0"/>
        </w:rPr>
        <w:t>迴歸模型證實，當營業收入增長</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時，銷管費用平均顯著增長</w:t>
      </w:r>
      <w:r w:rsidRPr="00154E7B">
        <w:rPr>
          <w:rFonts w:ascii="Times New Roman" w:eastAsia="標楷體" w:hAnsi="Times New Roman" w:cs="Times New Roman"/>
          <w:color w:val="0070C0"/>
        </w:rPr>
        <w:t xml:space="preserve"> 0.3542%</w:t>
      </w:r>
      <w:r w:rsidRPr="00154E7B">
        <w:rPr>
          <w:rFonts w:ascii="Times New Roman" w:eastAsia="標楷體" w:hAnsi="Times New Roman" w:cs="Times New Roman"/>
          <w:color w:val="0070C0"/>
        </w:rPr>
        <w:t>；而當營業收入衰退</w:t>
      </w:r>
      <w:r w:rsidRPr="00154E7B">
        <w:rPr>
          <w:rFonts w:ascii="Times New Roman" w:eastAsia="標楷體" w:hAnsi="Times New Roman" w:cs="Times New Roman"/>
          <w:color w:val="0070C0"/>
        </w:rPr>
        <w:t xml:space="preserve"> 1% </w:t>
      </w:r>
      <w:r w:rsidRPr="00154E7B">
        <w:rPr>
          <w:rFonts w:ascii="Times New Roman" w:eastAsia="標楷體" w:hAnsi="Times New Roman" w:cs="Times New Roman"/>
          <w:color w:val="0070C0"/>
        </w:rPr>
        <w:t>時，銷管費用僅下降</w:t>
      </w:r>
      <w:r w:rsidRPr="00154E7B">
        <w:rPr>
          <w:rFonts w:ascii="Times New Roman" w:eastAsia="標楷體" w:hAnsi="Times New Roman" w:cs="Times New Roman"/>
          <w:color w:val="0070C0"/>
        </w:rPr>
        <w:t xml:space="preserve"> 0.1960%</w:t>
      </w:r>
      <w:r w:rsidRPr="00154E7B">
        <w:rPr>
          <w:rFonts w:ascii="Times New Roman" w:eastAsia="標楷體" w:hAnsi="Times New Roman" w:cs="Times New Roman"/>
          <w:color w:val="0070C0"/>
        </w:rPr>
        <w:t>，下行調整幅度僅為上行擴張幅度之</w:t>
      </w:r>
      <w:r w:rsidRPr="00154E7B">
        <w:rPr>
          <w:rFonts w:ascii="Times New Roman" w:eastAsia="標楷體" w:hAnsi="Times New Roman" w:cs="Times New Roman"/>
          <w:color w:val="0070C0"/>
        </w:rPr>
        <w:t xml:space="preserve"> 55.33%</w:t>
      </w:r>
      <w:r w:rsidRPr="00154E7B">
        <w:rPr>
          <w:rFonts w:ascii="Times New Roman" w:eastAsia="標楷體" w:hAnsi="Times New Roman" w:cs="Times New Roman"/>
          <w:color w:val="0070C0"/>
        </w:rPr>
        <w:t>。此結果確鑿地印證了</w:t>
      </w:r>
      <w:r w:rsidRPr="00154E7B">
        <w:rPr>
          <w:rFonts w:ascii="Times New Roman" w:eastAsia="標楷體" w:hAnsi="Times New Roman" w:cs="Times New Roman"/>
          <w:color w:val="0070C0"/>
        </w:rPr>
        <w:t xml:space="preserve"> Anderson, Banker, and Janakiraman (2003) </w:t>
      </w:r>
      <w:r w:rsidRPr="00154E7B">
        <w:rPr>
          <w:rFonts w:ascii="Times New Roman" w:eastAsia="標楷體" w:hAnsi="Times New Roman" w:cs="Times New Roman"/>
          <w:color w:val="0070C0"/>
        </w:rPr>
        <w:t>的非對稱成本性態理論在台灣製造業環境中具備高度之適用性與解釋力，徹底打破了傳統會計學對費用線性對稱變動之機械假設。</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第二，實質環境資源使用密集度顯著加劇企業銷管費用之成本黏性。實證結果強烈支持假說</w:t>
      </w:r>
      <w:r w:rsidRPr="00154E7B">
        <w:rPr>
          <w:rFonts w:ascii="Times New Roman" w:eastAsia="標楷體" w:hAnsi="Times New Roman" w:cs="Times New Roman"/>
          <w:color w:val="0070C0"/>
        </w:rPr>
        <w:t xml:space="preserve"> H1a</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H2a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H2b</w:t>
      </w:r>
      <w:r w:rsidRPr="00154E7B">
        <w:rPr>
          <w:rFonts w:ascii="Times New Roman" w:eastAsia="標楷體" w:hAnsi="Times New Roman" w:cs="Times New Roman"/>
          <w:color w:val="0070C0"/>
        </w:rPr>
        <w:t>：企業水回收率（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）與廢棄物密集度（</w:t>
      </w:r>
      <w:r w:rsidRPr="00154E7B">
        <w:rPr>
          <w:rFonts w:ascii="Times New Roman" w:eastAsia="標楷體" w:hAnsi="Times New Roman" w:cs="Times New Roman"/>
          <w:color w:val="0070C0"/>
        </w:rPr>
        <w:t>WASTE_INTENSITY</w:t>
      </w:r>
      <w:r w:rsidRPr="00154E7B">
        <w:rPr>
          <w:rFonts w:ascii="Times New Roman" w:eastAsia="標楷體" w:hAnsi="Times New Roman" w:cs="Times New Roman"/>
          <w:color w:val="0070C0"/>
        </w:rPr>
        <w:t>）之提高，均顯著擴大了營收衰退時費用下行扣減不足之幅度。此現象源於提高水回收率所必須投入之專用性廢水分流系統、超濾與多級逆滲透重資產，其巨額固定折舊與</w:t>
      </w:r>
      <w:r w:rsidRPr="00154E7B">
        <w:rPr>
          <w:rFonts w:ascii="Times New Roman" w:eastAsia="標楷體" w:hAnsi="Times New Roman" w:cs="Times New Roman"/>
          <w:color w:val="0070C0"/>
        </w:rPr>
        <w:t xml:space="preserve"> 24 </w:t>
      </w:r>
      <w:r w:rsidRPr="00154E7B">
        <w:rPr>
          <w:rFonts w:ascii="Times New Roman" w:eastAsia="標楷體" w:hAnsi="Times New Roman" w:cs="Times New Roman"/>
          <w:color w:val="0070C0"/>
        </w:rPr>
        <w:t>小時不間斷運轉之固定水電藥劑維護費，構築了沉重之下行調整摩擦；同時，事業廢棄物清運所依賴之長期跨年度合約與保底清運條款（</w:t>
      </w:r>
      <w:r w:rsidRPr="00154E7B">
        <w:rPr>
          <w:rFonts w:ascii="Times New Roman" w:eastAsia="標楷體" w:hAnsi="Times New Roman" w:cs="Times New Roman"/>
          <w:color w:val="0070C0"/>
        </w:rPr>
        <w:t>Take-or-pay</w:t>
      </w:r>
      <w:r w:rsidRPr="00154E7B">
        <w:rPr>
          <w:rFonts w:ascii="Times New Roman" w:eastAsia="標楷體" w:hAnsi="Times New Roman" w:cs="Times New Roman"/>
          <w:color w:val="0070C0"/>
        </w:rPr>
        <w:t>），實質上將廢棄物支出固定化，剝奪了管理者隨產銷衰退等額裁減費用的彈性。此外，環境違規裁罰金額（</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）對成本黏性展現出劇烈之放大效果，證實法定罰鍰與強制性限期排污整改工程支出屬於極端之剛性支出，進一步扼殺了企業在衰退期的費用縮減空間。</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第三，環境資訊揭露發揮顯著之治理與透明度功能，有效緩解成本黏性。實證結果支持假說</w:t>
      </w:r>
      <w:r w:rsidRPr="00154E7B">
        <w:rPr>
          <w:rFonts w:ascii="Times New Roman" w:eastAsia="標楷體" w:hAnsi="Times New Roman" w:cs="Times New Roman"/>
          <w:color w:val="0070C0"/>
        </w:rPr>
        <w:t xml:space="preserve"> H1b</w:t>
      </w:r>
      <w:r w:rsidRPr="00154E7B">
        <w:rPr>
          <w:rFonts w:ascii="Times New Roman" w:eastAsia="標楷體" w:hAnsi="Times New Roman" w:cs="Times New Roman"/>
          <w:color w:val="0070C0"/>
        </w:rPr>
        <w:t>：主動進行水資源資訊揭露（</w:t>
      </w:r>
      <w:r w:rsidRPr="00154E7B">
        <w:rPr>
          <w:rFonts w:ascii="Times New Roman" w:eastAsia="標楷體" w:hAnsi="Times New Roman" w:cs="Times New Roman"/>
          <w:color w:val="0070C0"/>
        </w:rPr>
        <w:t>WATER_DISC</w:t>
      </w:r>
      <w:r w:rsidRPr="00154E7B">
        <w:rPr>
          <w:rFonts w:ascii="Times New Roman" w:eastAsia="標楷體" w:hAnsi="Times New Roman" w:cs="Times New Roman"/>
          <w:color w:val="0070C0"/>
        </w:rPr>
        <w:t>）之企業，其銷管費用之成本黏性顯著降低。此一發現與</w:t>
      </w:r>
      <w:r w:rsidRPr="00154E7B">
        <w:rPr>
          <w:rFonts w:ascii="Times New Roman" w:eastAsia="標楷體" w:hAnsi="Times New Roman" w:cs="Times New Roman"/>
          <w:color w:val="0070C0"/>
        </w:rPr>
        <w:t xml:space="preserve"> Jiang and Yang (2024) [2] </w:t>
      </w:r>
      <w:r w:rsidRPr="00154E7B">
        <w:rPr>
          <w:rFonts w:ascii="Times New Roman" w:eastAsia="標楷體" w:hAnsi="Times New Roman" w:cs="Times New Roman"/>
          <w:color w:val="0070C0"/>
        </w:rPr>
        <w:t>之論點高度一致，</w:t>
      </w:r>
      <w:r w:rsidRPr="00154E7B">
        <w:rPr>
          <w:rFonts w:ascii="Times New Roman" w:eastAsia="標楷體" w:hAnsi="Times New Roman" w:cs="Times New Roman"/>
          <w:color w:val="0070C0"/>
        </w:rPr>
        <w:lastRenderedPageBreak/>
        <w:t>證實高品質的環境量化揭露能有效降低外部資訊不對稱性，強化外部利害關係人之監督功能，進而遏止經理人基於私利之帝國建造動機，並矯正管理者對未來需求反轉之「過度樂觀偏誤」，促使企業在景氣下滑時更迅速果斷地進行資源精簡。</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第四，環境資源引發之成本剛性具有顯著之「時間遞延累積性」與「產業高度集中性」。動態時間遞延模型證實，水資源密集度與廢棄物密集度在遞延一期（</w:t>
      </w:r>
      <w:r w:rsidRPr="00154E7B">
        <w:rPr>
          <w:rFonts w:ascii="Times New Roman" w:eastAsia="標楷體" w:hAnsi="Times New Roman" w:cs="Times New Roman"/>
          <w:color w:val="0070C0"/>
        </w:rPr>
        <w:t>t-1</w:t>
      </w:r>
      <w:r w:rsidRPr="00154E7B">
        <w:rPr>
          <w:rFonts w:ascii="Times New Roman" w:eastAsia="標楷體" w:hAnsi="Times New Roman" w:cs="Times New Roman"/>
          <w:color w:val="0070C0"/>
        </w:rPr>
        <w:t>）與兩期（</w:t>
      </w:r>
      <w:r w:rsidRPr="00154E7B">
        <w:rPr>
          <w:rFonts w:ascii="Times New Roman" w:eastAsia="標楷體" w:hAnsi="Times New Roman" w:cs="Times New Roman"/>
          <w:color w:val="0070C0"/>
        </w:rPr>
        <w:t>t-2</w:t>
      </w:r>
      <w:r w:rsidRPr="00154E7B">
        <w:rPr>
          <w:rFonts w:ascii="Times New Roman" w:eastAsia="標楷體" w:hAnsi="Times New Roman" w:cs="Times New Roman"/>
          <w:color w:val="0070C0"/>
        </w:rPr>
        <w:t>）對成本黏性之加劇效果顯著強於當期，印證了專用性設備折舊全面認列與長期清運保底合約之持續拘束性；同時，產業異質性檢定確鑿表明，環境密集度對成本黏性之放大效果完全集中於半導體、光電、化學及鋼鐵等「高耗水與高污染製造業」，而在「低污染製造業」中則完全不顯著，揭示了環境成本剛性理論在不同產業製程特徵下之重要邊界條件。</w:t>
      </w:r>
    </w:p>
    <w:p w:rsidR="00AE2003" w:rsidRPr="00154E7B" w:rsidRDefault="007265F6">
      <w:pPr>
        <w:spacing w:before="200" w:after="40" w:line="288" w:lineRule="auto"/>
        <w:rPr>
          <w:color w:val="0070C0"/>
        </w:rPr>
      </w:pPr>
      <w:r w:rsidRPr="00154E7B">
        <w:rPr>
          <w:rFonts w:ascii="Times New Roman" w:eastAsia="標楷體" w:hAnsi="Times New Roman" w:cs="Times New Roman"/>
          <w:b/>
          <w:color w:val="0070C0"/>
          <w:sz w:val="22"/>
        </w:rPr>
        <w:t>表</w:t>
      </w:r>
      <w:r w:rsidRPr="00154E7B">
        <w:rPr>
          <w:rFonts w:ascii="Times New Roman" w:eastAsia="標楷體" w:hAnsi="Times New Roman" w:cs="Times New Roman"/>
          <w:b/>
          <w:color w:val="0070C0"/>
          <w:sz w:val="22"/>
        </w:rPr>
        <w:t xml:space="preserve"> 5-1</w:t>
      </w:r>
      <w:r w:rsidRPr="00154E7B">
        <w:rPr>
          <w:rFonts w:ascii="Times New Roman" w:eastAsia="標楷體" w:hAnsi="Times New Roman" w:cs="Times New Roman"/>
          <w:b/>
          <w:color w:val="0070C0"/>
          <w:sz w:val="22"/>
        </w:rPr>
        <w:t xml:space="preserve">　研究假說驗證結果彙總表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0"/>
        <w:gridCol w:w="1701"/>
        <w:gridCol w:w="1701"/>
        <w:gridCol w:w="1701"/>
        <w:gridCol w:w="1701"/>
      </w:tblGrid>
      <w:tr w:rsidR="00154E7B" w:rsidRPr="00154E7B">
        <w:trPr>
          <w:jc w:val="center"/>
        </w:trPr>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研究假說編號與內容</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預期符號</w:t>
            </w:r>
            <w:r w:rsidRPr="00154E7B">
              <w:rPr>
                <w:rFonts w:ascii="Times New Roman" w:eastAsia="標楷體" w:hAnsi="Times New Roman" w:cs="Times New Roman"/>
                <w:b/>
                <w:color w:val="0070C0"/>
                <w:sz w:val="17"/>
              </w:rPr>
              <w:t xml:space="preserve"> (β3)</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實證係數</w:t>
            </w:r>
            <w:r w:rsidRPr="00154E7B">
              <w:rPr>
                <w:rFonts w:ascii="Times New Roman" w:eastAsia="標楷體" w:hAnsi="Times New Roman" w:cs="Times New Roman"/>
                <w:b/>
                <w:color w:val="0070C0"/>
                <w:sz w:val="17"/>
              </w:rPr>
              <w:t xml:space="preserve"> (t </w:t>
            </w:r>
            <w:r w:rsidRPr="00154E7B">
              <w:rPr>
                <w:rFonts w:ascii="Times New Roman" w:eastAsia="標楷體" w:hAnsi="Times New Roman" w:cs="Times New Roman"/>
                <w:b/>
                <w:color w:val="0070C0"/>
                <w:sz w:val="17"/>
              </w:rPr>
              <w:t>統計量</w:t>
            </w:r>
            <w:r w:rsidRPr="00154E7B">
              <w:rPr>
                <w:rFonts w:ascii="Times New Roman" w:eastAsia="標楷體" w:hAnsi="Times New Roman" w:cs="Times New Roman"/>
                <w:b/>
                <w:color w:val="0070C0"/>
                <w:sz w:val="17"/>
              </w:rPr>
              <w:t>)</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顯著水準</w:t>
            </w:r>
          </w:p>
        </w:tc>
        <w:tc>
          <w:tcPr>
            <w:tcW w:w="1701" w:type="dxa"/>
            <w:tcBorders>
              <w:bottom w:val="single" w:sz="6" w:space="0" w:color="000000"/>
            </w:tcBorders>
            <w:tcMar>
              <w:top w:w="30" w:type="dxa"/>
              <w:left w:w="80" w:type="dxa"/>
              <w:bottom w:w="30" w:type="dxa"/>
              <w:right w:w="8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b/>
                <w:color w:val="0070C0"/>
                <w:sz w:val="17"/>
              </w:rPr>
              <w:t>假說檢定最終判定</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H1a: </w:t>
            </w:r>
            <w:r w:rsidRPr="00154E7B">
              <w:rPr>
                <w:rFonts w:ascii="Times New Roman" w:eastAsia="標楷體" w:hAnsi="Times New Roman" w:cs="Times New Roman"/>
                <w:color w:val="0070C0"/>
                <w:sz w:val="16"/>
              </w:rPr>
              <w:t>企業水回收率越高，銷管費用之成本黏性越大</w:t>
            </w:r>
          </w:p>
        </w:tc>
        <w:tc>
          <w:tcPr>
            <w:tcW w:w="1701" w:type="dxa"/>
            <w:tcMar>
              <w:top w:w="20" w:type="dxa"/>
              <w:left w:w="70" w:type="dxa"/>
              <w:bottom w:w="20" w:type="dxa"/>
              <w:right w:w="70" w:type="dxa"/>
            </w:tcMar>
            <w:vAlign w:val="center"/>
          </w:tcPr>
          <w:p w:rsidR="00AE2003" w:rsidRPr="00154E7B" w:rsidRDefault="00032ECF">
            <w:pPr>
              <w:spacing w:before="40" w:after="40"/>
              <w:jc w:val="center"/>
              <w:rPr>
                <w:color w:val="0070C0"/>
              </w:rPr>
            </w:pPr>
            <m:oMathPara>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&lt;0</m:t>
                </m:r>
              </m:oMath>
            </m:oMathPara>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-0.0008 (-2.18)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顯著支持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專用資產折舊加劇黏性</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H1b: </w:t>
            </w:r>
            <w:r w:rsidRPr="00154E7B">
              <w:rPr>
                <w:rFonts w:ascii="Times New Roman" w:eastAsia="標楷體" w:hAnsi="Times New Roman" w:cs="Times New Roman"/>
                <w:color w:val="0070C0"/>
                <w:sz w:val="16"/>
              </w:rPr>
              <w:t>企業主動進行水資源揭露，銷管費用之成本黏性越小</w:t>
            </w:r>
          </w:p>
        </w:tc>
        <w:tc>
          <w:tcPr>
            <w:tcW w:w="1701" w:type="dxa"/>
            <w:tcMar>
              <w:top w:w="20" w:type="dxa"/>
              <w:left w:w="70" w:type="dxa"/>
              <w:bottom w:w="20" w:type="dxa"/>
              <w:right w:w="70" w:type="dxa"/>
            </w:tcMar>
            <w:vAlign w:val="center"/>
          </w:tcPr>
          <w:p w:rsidR="00AE2003" w:rsidRPr="00154E7B" w:rsidRDefault="00032ECF">
            <w:pPr>
              <w:spacing w:before="40" w:after="40"/>
              <w:jc w:val="center"/>
              <w:rPr>
                <w:color w:val="0070C0"/>
              </w:rPr>
            </w:pPr>
            <m:oMathPara>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&gt;0</m:t>
                </m:r>
              </m:oMath>
            </m:oMathPara>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+0.0354 (1.98)</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顯著支持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資訊透明度發揮監督治理</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H2a: </w:t>
            </w:r>
            <w:r w:rsidRPr="00154E7B">
              <w:rPr>
                <w:rFonts w:ascii="Times New Roman" w:eastAsia="標楷體" w:hAnsi="Times New Roman" w:cs="Times New Roman"/>
                <w:color w:val="0070C0"/>
                <w:sz w:val="16"/>
              </w:rPr>
              <w:t>企業廢棄物密集度越高，銷管費用之成本黏性越大</w:t>
            </w:r>
          </w:p>
        </w:tc>
        <w:tc>
          <w:tcPr>
            <w:tcW w:w="1701" w:type="dxa"/>
            <w:tcMar>
              <w:top w:w="20" w:type="dxa"/>
              <w:left w:w="70" w:type="dxa"/>
              <w:bottom w:w="20" w:type="dxa"/>
              <w:right w:w="70" w:type="dxa"/>
            </w:tcMar>
            <w:vAlign w:val="center"/>
          </w:tcPr>
          <w:p w:rsidR="00AE2003" w:rsidRPr="00154E7B" w:rsidRDefault="00032ECF">
            <w:pPr>
              <w:spacing w:before="40" w:after="40"/>
              <w:jc w:val="center"/>
              <w:rPr>
                <w:color w:val="0070C0"/>
              </w:rPr>
            </w:pPr>
            <m:oMathPara>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&lt;0</m:t>
                </m:r>
              </m:oMath>
            </m:oMathPara>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-0.0086 (-1.85)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p &lt; 0.10 (t-0)</w:t>
            </w:r>
            <w:r w:rsidRPr="00154E7B">
              <w:rPr>
                <w:rFonts w:ascii="Times New Roman" w:eastAsia="標楷體" w:hAnsi="Times New Roman" w:cs="Times New Roman"/>
                <w:color w:val="0070C0"/>
                <w:sz w:val="16"/>
              </w:rPr>
              <w:br/>
              <w:t>p &lt; 0.01 (t-2)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顯著支持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保底長約鎖定下行阻力</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H2b: </w:t>
            </w:r>
            <w:r w:rsidRPr="00154E7B">
              <w:rPr>
                <w:rFonts w:ascii="Times New Roman" w:eastAsia="標楷體" w:hAnsi="Times New Roman" w:cs="Times New Roman"/>
                <w:color w:val="0070C0"/>
                <w:sz w:val="16"/>
              </w:rPr>
              <w:t>企業環境違規裁罰金額越高，成本黏性越大</w:t>
            </w:r>
          </w:p>
        </w:tc>
        <w:tc>
          <w:tcPr>
            <w:tcW w:w="1701" w:type="dxa"/>
            <w:tcMar>
              <w:top w:w="20" w:type="dxa"/>
              <w:left w:w="70" w:type="dxa"/>
              <w:bottom w:w="20" w:type="dxa"/>
              <w:right w:w="70" w:type="dxa"/>
            </w:tcMar>
            <w:vAlign w:val="center"/>
          </w:tcPr>
          <w:p w:rsidR="00AE2003" w:rsidRPr="00154E7B" w:rsidRDefault="00032ECF">
            <w:pPr>
              <w:spacing w:before="40" w:after="40"/>
              <w:jc w:val="center"/>
              <w:rPr>
                <w:color w:val="0070C0"/>
              </w:rPr>
            </w:pPr>
            <m:oMathPara>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m:t>
                    </m:r>
                  </m:sub>
                </m:sSub>
                <m:r>
                  <w:rPr>
                    <w:rFonts w:ascii="Cambria Math" w:hAnsi="Cambria Math"/>
                    <w:color w:val="0070C0"/>
                  </w:rPr>
                  <m:t>&lt;0</m:t>
                </m:r>
              </m:oMath>
            </m:oMathPara>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-0.0013 (-2.15)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p &lt; 0.05</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顯著支持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法定支出與強制整改鎖定</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H3a: </w:t>
            </w:r>
            <w:r w:rsidRPr="00154E7B">
              <w:rPr>
                <w:rFonts w:ascii="Times New Roman" w:eastAsia="標楷體" w:hAnsi="Times New Roman" w:cs="Times New Roman"/>
                <w:color w:val="0070C0"/>
                <w:sz w:val="16"/>
              </w:rPr>
              <w:t>環境密集度之加劇效果具有動態時間遞延性</w:t>
            </w:r>
          </w:p>
        </w:tc>
        <w:tc>
          <w:tcPr>
            <w:tcW w:w="1701" w:type="dxa"/>
            <w:tcMar>
              <w:top w:w="20" w:type="dxa"/>
              <w:left w:w="70" w:type="dxa"/>
              <w:bottom w:w="20" w:type="dxa"/>
              <w:right w:w="70" w:type="dxa"/>
            </w:tcMar>
            <w:vAlign w:val="center"/>
          </w:tcPr>
          <w:p w:rsidR="00AE2003" w:rsidRPr="00154E7B" w:rsidRDefault="00032ECF">
            <w:pPr>
              <w:spacing w:before="40" w:after="40"/>
              <w:jc w:val="center"/>
              <w:rPr>
                <w:color w:val="0070C0"/>
              </w:rPr>
            </w:pPr>
            <m:oMathPara>
              <m:oMath>
                <m:sSub>
                  <m:sSubPr>
                    <m:ctrlPr>
                      <w:rPr>
                        <w:rFonts w:ascii="Cambria Math" w:hAnsi="Cambria Math"/>
                        <w:color w:val="0070C0"/>
                      </w:rPr>
                    </m:ctrlPr>
                  </m:sSubPr>
                  <m:e>
                    <m:r>
                      <w:rPr>
                        <w:rFonts w:ascii="Cambria Math" w:hAnsi="Cambria Math"/>
                        <w:color w:val="0070C0"/>
                      </w:rPr>
                      <m:t>β</m:t>
                    </m:r>
                  </m:e>
                  <m:sub>
                    <m:r>
                      <w:rPr>
                        <w:rFonts w:ascii="Cambria Math" w:hAnsi="Cambria Math"/>
                        <w:color w:val="0070C0"/>
                      </w:rPr>
                      <m:t>3,lag</m:t>
                    </m:r>
                  </m:sub>
                </m:sSub>
                <m:r>
                  <w:rPr>
                    <w:rFonts w:ascii="Cambria Math" w:hAnsi="Cambria Math"/>
                    <w:color w:val="0070C0"/>
                  </w:rPr>
                  <m:t>&lt;0</m:t>
                </m:r>
              </m:oMath>
            </m:oMathPara>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-0.0418 (</w:t>
            </w:r>
            <w:r w:rsidRPr="00154E7B">
              <w:rPr>
                <w:rFonts w:ascii="Times New Roman" w:eastAsia="標楷體" w:hAnsi="Times New Roman" w:cs="Times New Roman"/>
                <w:color w:val="0070C0"/>
                <w:sz w:val="16"/>
              </w:rPr>
              <w:t>水</w:t>
            </w:r>
            <w:r w:rsidRPr="00154E7B">
              <w:rPr>
                <w:rFonts w:ascii="Times New Roman" w:eastAsia="標楷體" w:hAnsi="Times New Roman" w:cs="Times New Roman"/>
                <w:color w:val="0070C0"/>
                <w:sz w:val="16"/>
              </w:rPr>
              <w:t>, t-1)</w:t>
            </w:r>
            <w:r w:rsidRPr="00154E7B">
              <w:rPr>
                <w:rFonts w:ascii="Times New Roman" w:eastAsia="標楷體" w:hAnsi="Times New Roman" w:cs="Times New Roman"/>
                <w:color w:val="0070C0"/>
                <w:sz w:val="16"/>
              </w:rPr>
              <w:br/>
              <w:t>-0.0185 (</w:t>
            </w:r>
            <w:r w:rsidRPr="00154E7B">
              <w:rPr>
                <w:rFonts w:ascii="Times New Roman" w:eastAsia="標楷體" w:hAnsi="Times New Roman" w:cs="Times New Roman"/>
                <w:color w:val="0070C0"/>
                <w:sz w:val="16"/>
              </w:rPr>
              <w:t>廢</w:t>
            </w:r>
            <w:r w:rsidRPr="00154E7B">
              <w:rPr>
                <w:rFonts w:ascii="Times New Roman" w:eastAsia="標楷體" w:hAnsi="Times New Roman" w:cs="Times New Roman"/>
                <w:color w:val="0070C0"/>
                <w:sz w:val="16"/>
              </w:rPr>
              <w:t>, t-2)</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p &lt; 0.05</w:t>
            </w:r>
            <w:r w:rsidRPr="00154E7B">
              <w:rPr>
                <w:rFonts w:ascii="Times New Roman" w:eastAsia="標楷體" w:hAnsi="Times New Roman" w:cs="Times New Roman"/>
                <w:color w:val="0070C0"/>
                <w:sz w:val="16"/>
              </w:rPr>
              <w:br/>
              <w:t>p &lt; 0.01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強烈支持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跨年度長約與折舊發酵</w:t>
            </w:r>
            <w:r w:rsidRPr="00154E7B">
              <w:rPr>
                <w:rFonts w:ascii="Times New Roman" w:eastAsia="標楷體" w:hAnsi="Times New Roman" w:cs="Times New Roman"/>
                <w:color w:val="0070C0"/>
                <w:sz w:val="16"/>
              </w:rPr>
              <w:t>)</w:t>
            </w:r>
          </w:p>
        </w:tc>
      </w:tr>
      <w:tr w:rsidR="00154E7B" w:rsidRPr="00154E7B">
        <w:trPr>
          <w:jc w:val="center"/>
        </w:trPr>
        <w:tc>
          <w:tcPr>
            <w:tcW w:w="1701" w:type="dxa"/>
            <w:tcMar>
              <w:top w:w="20" w:type="dxa"/>
              <w:left w:w="70" w:type="dxa"/>
              <w:bottom w:w="20" w:type="dxa"/>
              <w:right w:w="70" w:type="dxa"/>
            </w:tcMar>
            <w:vAlign w:val="center"/>
          </w:tcPr>
          <w:p w:rsidR="00AE2003" w:rsidRPr="00154E7B" w:rsidRDefault="007265F6">
            <w:pPr>
              <w:spacing w:before="40" w:after="40"/>
              <w:rPr>
                <w:color w:val="0070C0"/>
              </w:rPr>
            </w:pPr>
            <w:r w:rsidRPr="00154E7B">
              <w:rPr>
                <w:rFonts w:ascii="Times New Roman" w:eastAsia="標楷體" w:hAnsi="Times New Roman" w:cs="Times New Roman"/>
                <w:color w:val="0070C0"/>
                <w:sz w:val="16"/>
              </w:rPr>
              <w:t xml:space="preserve">H4: </w:t>
            </w:r>
            <w:r w:rsidRPr="00154E7B">
              <w:rPr>
                <w:rFonts w:ascii="Times New Roman" w:eastAsia="標楷體" w:hAnsi="Times New Roman" w:cs="Times New Roman"/>
                <w:color w:val="0070C0"/>
                <w:sz w:val="16"/>
              </w:rPr>
              <w:t>加劇效果顯著集中於高耗水</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t>高污染製造業</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β3_high &lt; β3_low</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-0.0518 (</w:t>
            </w:r>
            <w:r w:rsidRPr="00154E7B">
              <w:rPr>
                <w:rFonts w:ascii="Times New Roman" w:eastAsia="標楷體" w:hAnsi="Times New Roman" w:cs="Times New Roman"/>
                <w:color w:val="0070C0"/>
                <w:sz w:val="16"/>
              </w:rPr>
              <w:t>高組</w:t>
            </w:r>
            <w:r w:rsidRPr="00154E7B">
              <w:rPr>
                <w:rFonts w:ascii="Times New Roman" w:eastAsia="標楷體" w:hAnsi="Times New Roman" w:cs="Times New Roman"/>
                <w:color w:val="0070C0"/>
                <w:sz w:val="16"/>
              </w:rPr>
              <w:t>)</w:t>
            </w:r>
            <w:r w:rsidRPr="00154E7B">
              <w:rPr>
                <w:rFonts w:ascii="Times New Roman" w:eastAsia="標楷體" w:hAnsi="Times New Roman" w:cs="Times New Roman"/>
                <w:color w:val="0070C0"/>
                <w:sz w:val="16"/>
              </w:rPr>
              <w:br/>
              <w:t>-0.0062 (</w:t>
            </w:r>
            <w:r w:rsidRPr="00154E7B">
              <w:rPr>
                <w:rFonts w:ascii="Times New Roman" w:eastAsia="標楷體" w:hAnsi="Times New Roman" w:cs="Times New Roman"/>
                <w:color w:val="0070C0"/>
                <w:sz w:val="16"/>
              </w:rPr>
              <w:t>低組</w:t>
            </w:r>
            <w:r w:rsidRPr="00154E7B">
              <w:rPr>
                <w:rFonts w:ascii="Times New Roman" w:eastAsia="標楷體" w:hAnsi="Times New Roman" w:cs="Times New Roman"/>
                <w:color w:val="0070C0"/>
                <w:sz w:val="16"/>
              </w:rPr>
              <w:t>)</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Wald: p &lt; 0.001</w:t>
            </w:r>
          </w:p>
        </w:tc>
        <w:tc>
          <w:tcPr>
            <w:tcW w:w="1701" w:type="dxa"/>
            <w:tcMar>
              <w:top w:w="20" w:type="dxa"/>
              <w:left w:w="70" w:type="dxa"/>
              <w:bottom w:w="20" w:type="dxa"/>
              <w:right w:w="70" w:type="dxa"/>
            </w:tcMar>
            <w:vAlign w:val="center"/>
          </w:tcPr>
          <w:p w:rsidR="00AE2003" w:rsidRPr="00154E7B" w:rsidRDefault="007265F6">
            <w:pPr>
              <w:spacing w:before="40" w:after="40"/>
              <w:jc w:val="center"/>
              <w:rPr>
                <w:color w:val="0070C0"/>
              </w:rPr>
            </w:pPr>
            <w:r w:rsidRPr="00154E7B">
              <w:rPr>
                <w:rFonts w:ascii="Times New Roman" w:eastAsia="標楷體" w:hAnsi="Times New Roman" w:cs="Times New Roman"/>
                <w:color w:val="0070C0"/>
                <w:sz w:val="16"/>
              </w:rPr>
              <w:t>強烈支持</w:t>
            </w:r>
            <w:r w:rsidRPr="00154E7B">
              <w:rPr>
                <w:rFonts w:ascii="Times New Roman" w:eastAsia="標楷體" w:hAnsi="Times New Roman" w:cs="Times New Roman"/>
                <w:color w:val="0070C0"/>
                <w:sz w:val="16"/>
              </w:rPr>
              <w:t xml:space="preserve"> (</w:t>
            </w:r>
            <w:r w:rsidRPr="00154E7B">
              <w:rPr>
                <w:rFonts w:ascii="Times New Roman" w:eastAsia="標楷體" w:hAnsi="Times New Roman" w:cs="Times New Roman"/>
                <w:color w:val="0070C0"/>
                <w:sz w:val="16"/>
              </w:rPr>
              <w:t>重化工業專用性邊界確立</w:t>
            </w:r>
            <w:r w:rsidRPr="00154E7B">
              <w:rPr>
                <w:rFonts w:ascii="Times New Roman" w:eastAsia="標楷體" w:hAnsi="Times New Roman" w:cs="Times New Roman"/>
                <w:color w:val="0070C0"/>
                <w:sz w:val="16"/>
              </w:rPr>
              <w:t>)</w:t>
            </w:r>
          </w:p>
        </w:tc>
      </w:tr>
    </w:tbl>
    <w:p w:rsidR="00AE2003" w:rsidRPr="00154E7B" w:rsidRDefault="007265F6">
      <w:pPr>
        <w:spacing w:before="40" w:after="120" w:line="264" w:lineRule="auto"/>
        <w:jc w:val="both"/>
        <w:rPr>
          <w:color w:val="0070C0"/>
        </w:rPr>
      </w:pPr>
      <w:r w:rsidRPr="00154E7B">
        <w:rPr>
          <w:rFonts w:ascii="Times New Roman" w:eastAsia="標楷體" w:hAnsi="Times New Roman" w:cs="Times New Roman"/>
          <w:color w:val="0070C0"/>
          <w:sz w:val="17"/>
        </w:rPr>
        <w:t>註：彙總自第四章表</w:t>
      </w:r>
      <w:r w:rsidRPr="00154E7B">
        <w:rPr>
          <w:rFonts w:ascii="Times New Roman" w:eastAsia="標楷體" w:hAnsi="Times New Roman" w:cs="Times New Roman"/>
          <w:color w:val="0070C0"/>
          <w:sz w:val="17"/>
        </w:rPr>
        <w:t xml:space="preserve"> 4-4</w:t>
      </w:r>
      <w:r w:rsidRPr="00154E7B">
        <w:rPr>
          <w:rFonts w:ascii="Times New Roman" w:eastAsia="標楷體" w:hAnsi="Times New Roman" w:cs="Times New Roman"/>
          <w:color w:val="0070C0"/>
          <w:sz w:val="17"/>
        </w:rPr>
        <w:t>、</w:t>
      </w:r>
      <w:r w:rsidRPr="00154E7B">
        <w:rPr>
          <w:rFonts w:ascii="Times New Roman" w:eastAsia="標楷體" w:hAnsi="Times New Roman" w:cs="Times New Roman"/>
          <w:color w:val="0070C0"/>
          <w:sz w:val="17"/>
        </w:rPr>
        <w:t>4-5</w:t>
      </w:r>
      <w:r w:rsidRPr="00154E7B">
        <w:rPr>
          <w:rFonts w:ascii="Times New Roman" w:eastAsia="標楷體" w:hAnsi="Times New Roman" w:cs="Times New Roman"/>
          <w:color w:val="0070C0"/>
          <w:sz w:val="17"/>
        </w:rPr>
        <w:t>、</w:t>
      </w:r>
      <w:r w:rsidRPr="00154E7B">
        <w:rPr>
          <w:rFonts w:ascii="Times New Roman" w:eastAsia="標楷體" w:hAnsi="Times New Roman" w:cs="Times New Roman"/>
          <w:color w:val="0070C0"/>
          <w:sz w:val="17"/>
        </w:rPr>
        <w:t xml:space="preserve">4-6 </w:t>
      </w:r>
      <w:r w:rsidRPr="00154E7B">
        <w:rPr>
          <w:rFonts w:ascii="Times New Roman" w:eastAsia="標楷體" w:hAnsi="Times New Roman" w:cs="Times New Roman"/>
          <w:color w:val="0070C0"/>
          <w:sz w:val="17"/>
        </w:rPr>
        <w:t>及</w:t>
      </w:r>
      <w:r w:rsidRPr="00154E7B">
        <w:rPr>
          <w:rFonts w:ascii="Times New Roman" w:eastAsia="標楷體" w:hAnsi="Times New Roman" w:cs="Times New Roman"/>
          <w:color w:val="0070C0"/>
          <w:sz w:val="17"/>
        </w:rPr>
        <w:t xml:space="preserve"> 4-7 </w:t>
      </w:r>
      <w:r w:rsidRPr="00154E7B">
        <w:rPr>
          <w:rFonts w:ascii="Times New Roman" w:eastAsia="標楷體" w:hAnsi="Times New Roman" w:cs="Times New Roman"/>
          <w:color w:val="0070C0"/>
          <w:sz w:val="17"/>
        </w:rPr>
        <w:t>之迴歸估計結果。</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第二節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學術與理論貢獻</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lastRenderedPageBreak/>
        <w:t>本研究在公司財務、管理會計與環境經濟學之跨領域交會點上，做出了三項具備原創性之重要理論貢獻：</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首先，本研究成功將經典成本僵固性理論（</w:t>
      </w:r>
      <w:r w:rsidRPr="00154E7B">
        <w:rPr>
          <w:rFonts w:ascii="Times New Roman" w:eastAsia="標楷體" w:hAnsi="Times New Roman" w:cs="Times New Roman"/>
          <w:color w:val="0070C0"/>
        </w:rPr>
        <w:t>ABJ, 2003</w:t>
      </w:r>
      <w:r w:rsidRPr="00154E7B">
        <w:rPr>
          <w:rFonts w:ascii="Times New Roman" w:eastAsia="標楷體" w:hAnsi="Times New Roman" w:cs="Times New Roman"/>
          <w:color w:val="0070C0"/>
        </w:rPr>
        <w:t>）拓展至環境管理會計領域，確立了「物理性環境資源密集度」作為下行調整成本（</w:t>
      </w:r>
      <w:r w:rsidRPr="00154E7B">
        <w:rPr>
          <w:rFonts w:ascii="Times New Roman" w:eastAsia="標楷體" w:hAnsi="Times New Roman" w:cs="Times New Roman"/>
          <w:color w:val="0070C0"/>
        </w:rPr>
        <w:t>Downward Adjustment Costs</w:t>
      </w:r>
      <w:r w:rsidRPr="00154E7B">
        <w:rPr>
          <w:rFonts w:ascii="Times New Roman" w:eastAsia="標楷體" w:hAnsi="Times New Roman" w:cs="Times New Roman"/>
          <w:color w:val="0070C0"/>
        </w:rPr>
        <w:t>）的重要來源。既有文獻在檢視成本黏性時，長期局限於傳統實體資產密集度（</w:t>
      </w:r>
      <w:r w:rsidRPr="00154E7B">
        <w:rPr>
          <w:rFonts w:ascii="Times New Roman" w:eastAsia="標楷體" w:hAnsi="Times New Roman" w:cs="Times New Roman"/>
          <w:color w:val="0070C0"/>
        </w:rPr>
        <w:t>AI</w:t>
      </w:r>
      <w:r w:rsidRPr="00154E7B">
        <w:rPr>
          <w:rFonts w:ascii="Times New Roman" w:eastAsia="標楷體" w:hAnsi="Times New Roman" w:cs="Times New Roman"/>
          <w:color w:val="0070C0"/>
        </w:rPr>
        <w:t>）、勞動力員工密集度（</w:t>
      </w:r>
      <w:r w:rsidRPr="00154E7B">
        <w:rPr>
          <w:rFonts w:ascii="Times New Roman" w:eastAsia="標楷體" w:hAnsi="Times New Roman" w:cs="Times New Roman"/>
          <w:color w:val="0070C0"/>
        </w:rPr>
        <w:t>EI</w:t>
      </w:r>
      <w:r w:rsidRPr="00154E7B">
        <w:rPr>
          <w:rFonts w:ascii="Times New Roman" w:eastAsia="標楷體" w:hAnsi="Times New Roman" w:cs="Times New Roman"/>
          <w:color w:val="0070C0"/>
        </w:rPr>
        <w:t>）或一般董事會特徵（王惠洳，</w:t>
      </w:r>
      <w:r w:rsidRPr="00154E7B">
        <w:rPr>
          <w:rFonts w:ascii="Times New Roman" w:eastAsia="標楷體" w:hAnsi="Times New Roman" w:cs="Times New Roman"/>
          <w:color w:val="0070C0"/>
        </w:rPr>
        <w:t>2025 [12]</w:t>
      </w:r>
      <w:r w:rsidRPr="00154E7B">
        <w:rPr>
          <w:rFonts w:ascii="Times New Roman" w:eastAsia="標楷體" w:hAnsi="Times New Roman" w:cs="Times New Roman"/>
          <w:color w:val="0070C0"/>
        </w:rPr>
        <w:t>；劉佳熒，</w:t>
      </w:r>
      <w:r w:rsidRPr="00154E7B">
        <w:rPr>
          <w:rFonts w:ascii="Times New Roman" w:eastAsia="標楷體" w:hAnsi="Times New Roman" w:cs="Times New Roman"/>
          <w:color w:val="0070C0"/>
        </w:rPr>
        <w:t>2022 [18]</w:t>
      </w:r>
      <w:r w:rsidRPr="00154E7B">
        <w:rPr>
          <w:rFonts w:ascii="Times New Roman" w:eastAsia="標楷體" w:hAnsi="Times New Roman" w:cs="Times New Roman"/>
          <w:color w:val="0070C0"/>
        </w:rPr>
        <w:t>）。本研究率先跳脫此一窠臼，以真實之水回收率、用水密集度、廢棄物產出噸數與環保行政裁處金額為核心，實證證實現代製造業為達成環境合規與永續轉型所投入之重型專用環保設施與簽署之清運保底長約，已實質構成企業下行調整的重要摩擦來源。本研究補足了管理會計長期忽視物理性環境要素之重大理論盲區。</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其次，本研究開創性地構建並驗證了環境構面對成本行為影響之「雙路徑整合模型」。過去文獻多將</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視為單一整體概念，導致正面與負面效果互相抵銷。本研究清晰釐清並對比了兩條截然不同之個體運作機制：一方面是「實質專用投入與合約剛性路徑」，透過推升下行調整成本而加劇成本黏性；另一方面則是「資訊透明度與外部監督路徑」，透過降低資訊不對稱與抑制代理問題而緩解成本黏性。此一雙路徑框架成功化解了過去文獻關於環境責任究竟是增加財務負擔抑或是提升治理效率之長期爭論，為後續學者提供了精細化解構環境經濟後果之理論範式。</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本研究引入「動態時間落差」與「產業污染異質性」之雙重視角，深化了成本行為理論之動態性與情境細緻度。以往成本黏性研究多假設因素之衝擊在當期完全釋放。本研究透過實證證明，環境專用性資產之折舊與廢棄物長約之剛性拘束具備顯著之時間遞延性（</w:t>
      </w:r>
      <w:r w:rsidRPr="00154E7B">
        <w:rPr>
          <w:rFonts w:ascii="Times New Roman" w:eastAsia="標楷體" w:hAnsi="Times New Roman" w:cs="Times New Roman"/>
          <w:color w:val="0070C0"/>
        </w:rPr>
        <w:t>Lagged Effects</w:t>
      </w:r>
      <w:r w:rsidRPr="00154E7B">
        <w:rPr>
          <w:rFonts w:ascii="Times New Roman" w:eastAsia="標楷體" w:hAnsi="Times New Roman" w:cs="Times New Roman"/>
          <w:color w:val="0070C0"/>
        </w:rPr>
        <w:t>），在</w:t>
      </w:r>
      <w:r w:rsidRPr="00154E7B">
        <w:rPr>
          <w:rFonts w:ascii="Times New Roman" w:eastAsia="標楷體" w:hAnsi="Times New Roman" w:cs="Times New Roman"/>
          <w:color w:val="0070C0"/>
        </w:rPr>
        <w:t xml:space="preserve"> t-1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t-2 </w:t>
      </w:r>
      <w:r w:rsidRPr="00154E7B">
        <w:rPr>
          <w:rFonts w:ascii="Times New Roman" w:eastAsia="標楷體" w:hAnsi="Times New Roman" w:cs="Times New Roman"/>
          <w:color w:val="0070C0"/>
        </w:rPr>
        <w:t>期展現出更強烈的黏性鎖定效應；同時，本研究證實此種剛性效應高度依賴於產業製程特性，僅在重污染與高耗水行業顯著成立。這項發現不僅呼應了</w:t>
      </w:r>
      <w:r w:rsidRPr="00154E7B">
        <w:rPr>
          <w:rFonts w:ascii="Times New Roman" w:eastAsia="標楷體" w:hAnsi="Times New Roman" w:cs="Times New Roman"/>
          <w:color w:val="0070C0"/>
        </w:rPr>
        <w:t xml:space="preserve"> Zeng, Peng, and Chan (2024) [1] </w:t>
      </w:r>
      <w:r w:rsidRPr="00154E7B">
        <w:rPr>
          <w:rFonts w:ascii="Times New Roman" w:eastAsia="標楷體" w:hAnsi="Times New Roman" w:cs="Times New Roman"/>
          <w:color w:val="0070C0"/>
        </w:rPr>
        <w:t>與</w:t>
      </w:r>
      <w:r w:rsidRPr="00154E7B">
        <w:rPr>
          <w:rFonts w:ascii="Times New Roman" w:eastAsia="標楷體" w:hAnsi="Times New Roman" w:cs="Times New Roman"/>
          <w:color w:val="0070C0"/>
        </w:rPr>
        <w:t xml:space="preserve"> </w:t>
      </w:r>
      <w:r w:rsidRPr="00154E7B">
        <w:rPr>
          <w:rFonts w:ascii="Times New Roman" w:eastAsia="標楷體" w:hAnsi="Times New Roman" w:cs="Times New Roman"/>
          <w:color w:val="0070C0"/>
        </w:rPr>
        <w:t>許嘉芸（</w:t>
      </w:r>
      <w:r w:rsidRPr="00154E7B">
        <w:rPr>
          <w:rFonts w:ascii="Times New Roman" w:eastAsia="標楷體" w:hAnsi="Times New Roman" w:cs="Times New Roman"/>
          <w:color w:val="0070C0"/>
        </w:rPr>
        <w:t>2026</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 xml:space="preserve">[7] </w:t>
      </w:r>
      <w:r w:rsidRPr="00154E7B">
        <w:rPr>
          <w:rFonts w:ascii="Times New Roman" w:eastAsia="標楷體" w:hAnsi="Times New Roman" w:cs="Times New Roman"/>
          <w:color w:val="0070C0"/>
        </w:rPr>
        <w:t>的觀點，更為管理會計實證研究建立了高度精準之情境邊界。</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第三節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實務與管理意涵</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本研究之實證發現，對身處綠色轉型浪潮中之台灣製造業高階經營層、永續長（</w:t>
      </w:r>
      <w:r w:rsidRPr="00154E7B">
        <w:rPr>
          <w:rFonts w:ascii="Times New Roman" w:eastAsia="標楷體" w:hAnsi="Times New Roman" w:cs="Times New Roman"/>
          <w:color w:val="0070C0"/>
        </w:rPr>
        <w:t>CSO</w:t>
      </w:r>
      <w:r w:rsidRPr="00154E7B">
        <w:rPr>
          <w:rFonts w:ascii="Times New Roman" w:eastAsia="標楷體" w:hAnsi="Times New Roman" w:cs="Times New Roman"/>
          <w:color w:val="0070C0"/>
        </w:rPr>
        <w:t>）及財務長（</w:t>
      </w:r>
      <w:r w:rsidRPr="00154E7B">
        <w:rPr>
          <w:rFonts w:ascii="Times New Roman" w:eastAsia="標楷體" w:hAnsi="Times New Roman" w:cs="Times New Roman"/>
          <w:color w:val="0070C0"/>
        </w:rPr>
        <w:t>CFO</w:t>
      </w:r>
      <w:r w:rsidRPr="00154E7B">
        <w:rPr>
          <w:rFonts w:ascii="Times New Roman" w:eastAsia="標楷體" w:hAnsi="Times New Roman" w:cs="Times New Roman"/>
          <w:color w:val="0070C0"/>
        </w:rPr>
        <w:t>），提供了極具震撼力且切中要害之實務決策啟示：</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第一，財務長在進行綠色資本支出預算（</w:t>
      </w:r>
      <w:r w:rsidRPr="00154E7B">
        <w:rPr>
          <w:rFonts w:ascii="Times New Roman" w:eastAsia="標楷體" w:hAnsi="Times New Roman" w:cs="Times New Roman"/>
          <w:color w:val="0070C0"/>
        </w:rPr>
        <w:t>Green Capital Budgeting</w:t>
      </w:r>
      <w:r w:rsidRPr="00154E7B">
        <w:rPr>
          <w:rFonts w:ascii="Times New Roman" w:eastAsia="標楷體" w:hAnsi="Times New Roman" w:cs="Times New Roman"/>
          <w:color w:val="0070C0"/>
        </w:rPr>
        <w:t>）決策時，必須將「專用設施之下行調整成本」明確納入評估模型。過去企業在評估興建超純水回收廠、大型廢水零排放系統或自有廢棄物焚化設施時，通常僅計算工程建置成本、營運節水效益及政府補助補貼，卻完全忽視了此類專用資產將大幅推升企業未來的「營運槓桿」（</w:t>
      </w:r>
      <w:r w:rsidRPr="00154E7B">
        <w:rPr>
          <w:rFonts w:ascii="Times New Roman" w:eastAsia="標楷體" w:hAnsi="Times New Roman" w:cs="Times New Roman"/>
          <w:color w:val="0070C0"/>
        </w:rPr>
        <w:t>Operating Leverage</w:t>
      </w:r>
      <w:r w:rsidRPr="00154E7B">
        <w:rPr>
          <w:rFonts w:ascii="Times New Roman" w:eastAsia="標楷體" w:hAnsi="Times New Roman" w:cs="Times New Roman"/>
          <w:color w:val="0070C0"/>
        </w:rPr>
        <w:t>）與「成本僵固性」。本研究強烈提醒財務主管，</w:t>
      </w:r>
      <w:r w:rsidRPr="00154E7B">
        <w:rPr>
          <w:rFonts w:ascii="Times New Roman" w:eastAsia="標楷體" w:hAnsi="Times New Roman" w:cs="Times New Roman"/>
          <w:color w:val="0070C0"/>
        </w:rPr>
        <w:lastRenderedPageBreak/>
        <w:t>高額環境專用資產意味著在景氣遭遇逆風、營收下滑時，企業將喪失即時縮減營業費用的彈性空間，導致獲利能力面臨更為劇烈之斷崖式衰退。因此，在資本預算規劃中，應建立下行壓力情境測試（</w:t>
      </w:r>
      <w:r w:rsidRPr="00154E7B">
        <w:rPr>
          <w:rFonts w:ascii="Times New Roman" w:eastAsia="標楷體" w:hAnsi="Times New Roman" w:cs="Times New Roman"/>
          <w:color w:val="0070C0"/>
        </w:rPr>
        <w:t>Stress Testing</w:t>
      </w:r>
      <w:r w:rsidRPr="00154E7B">
        <w:rPr>
          <w:rFonts w:ascii="Times New Roman" w:eastAsia="標楷體" w:hAnsi="Times New Roman" w:cs="Times New Roman"/>
          <w:color w:val="0070C0"/>
        </w:rPr>
        <w:t>），審慎權衡環境合規與財務抗風險彈性。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二，供應鏈管理與總務採購部門應致力於改善事業廢棄物處置合約之「彈性結構」。實證證實廢棄物密集度與長約保底機制是加深成本黏性之元兇。企業在與甲級廢棄物清運機構簽署委外合約時，應盡力避免簽訂長達</w:t>
      </w:r>
      <w:r w:rsidRPr="00154E7B">
        <w:rPr>
          <w:rFonts w:ascii="Times New Roman" w:eastAsia="標楷體" w:hAnsi="Times New Roman" w:cs="Times New Roman"/>
          <w:color w:val="0070C0"/>
        </w:rPr>
        <w:t xml:space="preserve"> 3 </w:t>
      </w:r>
      <w:r w:rsidRPr="00154E7B">
        <w:rPr>
          <w:rFonts w:ascii="Times New Roman" w:eastAsia="標楷體" w:hAnsi="Times New Roman" w:cs="Times New Roman"/>
          <w:color w:val="0070C0"/>
        </w:rPr>
        <w:t>至</w:t>
      </w:r>
      <w:r w:rsidRPr="00154E7B">
        <w:rPr>
          <w:rFonts w:ascii="Times New Roman" w:eastAsia="標楷體" w:hAnsi="Times New Roman" w:cs="Times New Roman"/>
          <w:color w:val="0070C0"/>
        </w:rPr>
        <w:t xml:space="preserve"> 5 </w:t>
      </w:r>
      <w:r w:rsidRPr="00154E7B">
        <w:rPr>
          <w:rFonts w:ascii="Times New Roman" w:eastAsia="標楷體" w:hAnsi="Times New Roman" w:cs="Times New Roman"/>
          <w:color w:val="0070C0"/>
        </w:rPr>
        <w:t>年、綁死高額保底處理量之僵化條款。採購部門應嘗試推動「階梯式浮動計費」或「量價掛鉤之彈性保底機制」，在合約中保留隨產能利用率下調最低保底量之調整條款，甚至透過與同業公會或工業園區建立區域聯合清運協議，共享處置容量配額，以大幅釋放企業在景氣下滑時之合約調整彈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第三，永續長與廠務部門應由「管末處理與回收」思維，轉向「源頭減量與綠色化學設計」。本研究證實追求極致的水回收率（</w:t>
      </w:r>
      <w:r w:rsidRPr="00154E7B">
        <w:rPr>
          <w:rFonts w:ascii="Times New Roman" w:eastAsia="標楷體" w:hAnsi="Times New Roman" w:cs="Times New Roman"/>
          <w:color w:val="0070C0"/>
        </w:rPr>
        <w:t>WATER_RATE</w:t>
      </w:r>
      <w:r w:rsidRPr="00154E7B">
        <w:rPr>
          <w:rFonts w:ascii="Times New Roman" w:eastAsia="標楷體" w:hAnsi="Times New Roman" w:cs="Times New Roman"/>
          <w:color w:val="0070C0"/>
        </w:rPr>
        <w:t>）雖然能獲得優異之</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分數，但其複雜的管線與逆滲透膜系統亦帶來沉重之固定運轉折舊包袱。企業應將資源聚焦於製程技術創新，引進無毒或低毒性之替代原料，在生產源頭減少廢水與有害廢棄物之產出，從根本上降低對重型末端回收設施之依賴，達成兼顧環境保護與輕資產運營之雙贏架構。</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第四，強化內部資源資訊系統之即時監控，徹底落實實質透明度。實證顯示水資源資訊揭露能顯著緩解成本黏性。企業應積極建置現代化之數位環境管理系統（</w:t>
      </w:r>
      <w:r w:rsidRPr="00154E7B">
        <w:rPr>
          <w:rFonts w:ascii="Times New Roman" w:eastAsia="標楷體" w:hAnsi="Times New Roman" w:cs="Times New Roman"/>
          <w:color w:val="0070C0"/>
        </w:rPr>
        <w:t>EMS</w:t>
      </w:r>
      <w:r w:rsidRPr="00154E7B">
        <w:rPr>
          <w:rFonts w:ascii="Times New Roman" w:eastAsia="標楷體" w:hAnsi="Times New Roman" w:cs="Times New Roman"/>
          <w:color w:val="0070C0"/>
        </w:rPr>
        <w:t>）與物聯網（</w:t>
      </w:r>
      <w:r w:rsidRPr="00154E7B">
        <w:rPr>
          <w:rFonts w:ascii="Times New Roman" w:eastAsia="標楷體" w:hAnsi="Times New Roman" w:cs="Times New Roman"/>
          <w:color w:val="0070C0"/>
        </w:rPr>
        <w:t>IoT</w:t>
      </w:r>
      <w:r w:rsidRPr="00154E7B">
        <w:rPr>
          <w:rFonts w:ascii="Times New Roman" w:eastAsia="標楷體" w:hAnsi="Times New Roman" w:cs="Times New Roman"/>
          <w:color w:val="0070C0"/>
        </w:rPr>
        <w:t>）水電監控儀表板，將每日用水用電與廢棄物申報資料無縫串接至內部</w:t>
      </w:r>
      <w:r w:rsidRPr="00154E7B">
        <w:rPr>
          <w:rFonts w:ascii="Times New Roman" w:eastAsia="標楷體" w:hAnsi="Times New Roman" w:cs="Times New Roman"/>
          <w:color w:val="0070C0"/>
        </w:rPr>
        <w:t xml:space="preserve"> ERP </w:t>
      </w:r>
      <w:r w:rsidRPr="00154E7B">
        <w:rPr>
          <w:rFonts w:ascii="Times New Roman" w:eastAsia="標楷體" w:hAnsi="Times New Roman" w:cs="Times New Roman"/>
          <w:color w:val="0070C0"/>
        </w:rPr>
        <w:t>系統。這不僅有助於對外發布高品質、可稽核之永續資訊以增進投資人信心，更能讓高階管理者即時掌握各廠區之資源閒置狀況，避免盲目樂觀偏誤，在景氣反轉時得以果斷且精準地執行資源最佳化配置。</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第四節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政策與監管意涵</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本研究之實證結論，對於金融監督管理委員會（金管會）、台灣證券交易所，以及行政院環境部等主管機關在制定推動相關監管政策時，亦具備深刻之政策參考價值：</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第一，監管機關推動企業</w:t>
      </w:r>
      <w:r w:rsidRPr="00154E7B">
        <w:rPr>
          <w:rFonts w:ascii="Times New Roman" w:eastAsia="標楷體" w:hAnsi="Times New Roman" w:cs="Times New Roman"/>
          <w:color w:val="0070C0"/>
        </w:rPr>
        <w:t xml:space="preserve"> ESG </w:t>
      </w:r>
      <w:r w:rsidRPr="00154E7B">
        <w:rPr>
          <w:rFonts w:ascii="Times New Roman" w:eastAsia="標楷體" w:hAnsi="Times New Roman" w:cs="Times New Roman"/>
          <w:color w:val="0070C0"/>
        </w:rPr>
        <w:t>資訊揭露時，應全面由「質化原則描述」深化為「物理性實質資源消耗指標」。實證結果顯示，單純依照</w:t>
      </w:r>
      <w:r w:rsidRPr="00154E7B">
        <w:rPr>
          <w:rFonts w:ascii="Times New Roman" w:eastAsia="標楷體" w:hAnsi="Times New Roman" w:cs="Times New Roman"/>
          <w:color w:val="0070C0"/>
        </w:rPr>
        <w:t xml:space="preserve"> GRI </w:t>
      </w:r>
      <w:r w:rsidRPr="00154E7B">
        <w:rPr>
          <w:rFonts w:ascii="Times New Roman" w:eastAsia="標楷體" w:hAnsi="Times New Roman" w:cs="Times New Roman"/>
          <w:color w:val="0070C0"/>
        </w:rPr>
        <w:t>準則撰寫方針描述（如</w:t>
      </w:r>
      <w:r w:rsidRPr="00154E7B">
        <w:rPr>
          <w:rFonts w:ascii="Times New Roman" w:eastAsia="標楷體" w:hAnsi="Times New Roman" w:cs="Times New Roman"/>
          <w:color w:val="0070C0"/>
        </w:rPr>
        <w:t xml:space="preserve"> WASTE_DISC</w:t>
      </w:r>
      <w:r w:rsidRPr="00154E7B">
        <w:rPr>
          <w:rFonts w:ascii="Times New Roman" w:eastAsia="標楷體" w:hAnsi="Times New Roman" w:cs="Times New Roman"/>
          <w:color w:val="0070C0"/>
        </w:rPr>
        <w:t>）對費用行為並無實質調節效果，真正左右企業營運剛性的是具體的用水密集度與廢棄物重量。金管會與證交所刻正推動接軌國際永續揭露準則（</w:t>
      </w:r>
      <w:r w:rsidRPr="00154E7B">
        <w:rPr>
          <w:rFonts w:ascii="Times New Roman" w:eastAsia="標楷體" w:hAnsi="Times New Roman" w:cs="Times New Roman"/>
          <w:color w:val="0070C0"/>
        </w:rPr>
        <w:t>IFRS S1/S2</w:t>
      </w:r>
      <w:r w:rsidRPr="00154E7B">
        <w:rPr>
          <w:rFonts w:ascii="Times New Roman" w:eastAsia="標楷體" w:hAnsi="Times New Roman" w:cs="Times New Roman"/>
          <w:color w:val="0070C0"/>
        </w:rPr>
        <w:t>），政策規劃上應明訂製造業必須標準化揭露「單位營收之取水量、回收率及事業廢棄物有害</w:t>
      </w:r>
      <w:r w:rsidRPr="00154E7B">
        <w:rPr>
          <w:rFonts w:ascii="Times New Roman" w:eastAsia="標楷體" w:hAnsi="Times New Roman" w:cs="Times New Roman"/>
          <w:color w:val="0070C0"/>
        </w:rPr>
        <w:t>/</w:t>
      </w:r>
      <w:r w:rsidRPr="00154E7B">
        <w:rPr>
          <w:rFonts w:ascii="Times New Roman" w:eastAsia="標楷體" w:hAnsi="Times New Roman" w:cs="Times New Roman"/>
          <w:color w:val="0070C0"/>
        </w:rPr>
        <w:t>一般細部噸數」，並建立跨年度之產業比較基準線，以利資本市場利害關係人與金融機構精確評估企業之真實環境風險與營運彈性。</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lastRenderedPageBreak/>
        <w:t>第二，針對環境違規裁罰事件，主管機關應建立更完善之公開透明資料庫與輔導改善機制。實證表明環境裁罰金額（</w:t>
      </w:r>
      <w:r w:rsidRPr="00154E7B">
        <w:rPr>
          <w:rFonts w:ascii="Times New Roman" w:eastAsia="標楷體" w:hAnsi="Times New Roman" w:cs="Times New Roman"/>
          <w:color w:val="0070C0"/>
        </w:rPr>
        <w:t>WASTE_FINE</w:t>
      </w:r>
      <w:r w:rsidRPr="00154E7B">
        <w:rPr>
          <w:rFonts w:ascii="Times New Roman" w:eastAsia="標楷體" w:hAnsi="Times New Roman" w:cs="Times New Roman"/>
          <w:color w:val="0070C0"/>
        </w:rPr>
        <w:t>）對企業成本黏性具有顯著且跨年度之劇烈加劇效果，反映出違規整改支出之法定強制性。金融監管機構應將環境裁處資料正式納入上市櫃公司重大訊息申報與內部控制稽核查核之法定重點，促使企業建立前置性之法規遵循與風險預警機制，而非等到遭受裁罰後才被迫進行代價高昂之緊急工程整改。</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產業主管機關（如經濟部產業發展署與環境部）應積極改善國內事業廢棄物終端處置之基礎設施環境。廢棄物密集度之所以引發嚴重成本剛性，核心癥結之一在於國內合法掩埋與焚化量能不足，導致處理市場形成寡占與剛性長約。政府應積極輔導設立公辦民營之現代化資源循環園區，推動事業廢棄物跨產業循環利用（如煉鋼爐渣轉化為建材、廢酸鹼液中和回收），擴大合法處置之市場量能供給，方能從制度層面化解製造業面臨之長約保底枷鎖，提升整體產業之經濟抗逆韌性。</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第五節</w:t>
      </w:r>
      <w:r w:rsidRPr="00154E7B">
        <w:rPr>
          <w:rFonts w:ascii="Times New Roman" w:eastAsia="標楷體" w:hAnsi="Times New Roman" w:cs="Times New Roman"/>
          <w:b/>
          <w:color w:val="0070C0"/>
          <w:sz w:val="28"/>
        </w:rPr>
        <w:t xml:space="preserve"> </w:t>
      </w:r>
      <w:r w:rsidRPr="00154E7B">
        <w:rPr>
          <w:rFonts w:ascii="Times New Roman" w:eastAsia="標楷體" w:hAnsi="Times New Roman" w:cs="Times New Roman"/>
          <w:b/>
          <w:color w:val="0070C0"/>
          <w:sz w:val="28"/>
        </w:rPr>
        <w:t>研究限制與未來研究方向</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本研究雖然在理論構建與實證檢驗上力求嚴謹完備，並取得豐碩之實證成果，但受限於客觀資料條件與研究範疇，仍存在若干不可避免之研究限制，此亦為後續相關領域之學者指引了值得深入開拓之研究方向：</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第一，資料庫歷史跨度與揭露完整性之限制。受限於台灣企業早期對水資源與廢棄物數量指標揭露之自願性特徵，</w:t>
      </w:r>
      <w:r w:rsidRPr="00154E7B">
        <w:rPr>
          <w:rFonts w:ascii="Times New Roman" w:eastAsia="標楷體" w:hAnsi="Times New Roman" w:cs="Times New Roman"/>
          <w:color w:val="0070C0"/>
        </w:rPr>
        <w:t xml:space="preserve">2014 </w:t>
      </w:r>
      <w:r w:rsidRPr="00154E7B">
        <w:rPr>
          <w:rFonts w:ascii="Times New Roman" w:eastAsia="標楷體" w:hAnsi="Times New Roman" w:cs="Times New Roman"/>
          <w:color w:val="0070C0"/>
        </w:rPr>
        <w:t>年至</w:t>
      </w:r>
      <w:r w:rsidRPr="00154E7B">
        <w:rPr>
          <w:rFonts w:ascii="Times New Roman" w:eastAsia="標楷體" w:hAnsi="Times New Roman" w:cs="Times New Roman"/>
          <w:color w:val="0070C0"/>
        </w:rPr>
        <w:t xml:space="preserve"> 2016 </w:t>
      </w:r>
      <w:r w:rsidRPr="00154E7B">
        <w:rPr>
          <w:rFonts w:ascii="Times New Roman" w:eastAsia="標楷體" w:hAnsi="Times New Roman" w:cs="Times New Roman"/>
          <w:color w:val="0070C0"/>
        </w:rPr>
        <w:t>年之環境數量樣本多集中於特大型上市公司，形成非平衡面板結構。儘管本研究已全面採行年份固定效果與公司層級叢集標準誤予以控制，但未來隨主管機關全面強制上市櫃公司編製永續報告書（</w:t>
      </w:r>
      <w:r w:rsidRPr="00154E7B">
        <w:rPr>
          <w:rFonts w:ascii="Times New Roman" w:eastAsia="標楷體" w:hAnsi="Times New Roman" w:cs="Times New Roman"/>
          <w:color w:val="0070C0"/>
        </w:rPr>
        <w:t xml:space="preserve">2025 </w:t>
      </w:r>
      <w:r w:rsidRPr="00154E7B">
        <w:rPr>
          <w:rFonts w:ascii="Times New Roman" w:eastAsia="標楷體" w:hAnsi="Times New Roman" w:cs="Times New Roman"/>
          <w:color w:val="0070C0"/>
        </w:rPr>
        <w:t>年起實施至資本額</w:t>
      </w:r>
      <w:r w:rsidRPr="00154E7B">
        <w:rPr>
          <w:rFonts w:ascii="Times New Roman" w:eastAsia="標楷體" w:hAnsi="Times New Roman" w:cs="Times New Roman"/>
          <w:color w:val="0070C0"/>
        </w:rPr>
        <w:t xml:space="preserve"> 20 </w:t>
      </w:r>
      <w:r w:rsidRPr="00154E7B">
        <w:rPr>
          <w:rFonts w:ascii="Times New Roman" w:eastAsia="標楷體" w:hAnsi="Times New Roman" w:cs="Times New Roman"/>
          <w:color w:val="0070C0"/>
        </w:rPr>
        <w:t>億元以下企業），後續學者將可獲取時間跨度更長、涵蓋中小企業之平衡面板資料，進一步檢驗環境成本剛性在景氣完整大循環中之表現。</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第二，次級資料無法細拆銷管費用內部之具體環境子科目。受限於公開財務報表附註揭露之細緻度，本研究以銷管費用（</w:t>
      </w:r>
      <w:r w:rsidRPr="00154E7B">
        <w:rPr>
          <w:rFonts w:ascii="Times New Roman" w:eastAsia="標楷體" w:hAnsi="Times New Roman" w:cs="Times New Roman"/>
          <w:color w:val="0070C0"/>
        </w:rPr>
        <w:t>SG&amp;A</w:t>
      </w:r>
      <w:r w:rsidRPr="00154E7B">
        <w:rPr>
          <w:rFonts w:ascii="Times New Roman" w:eastAsia="標楷體" w:hAnsi="Times New Roman" w:cs="Times New Roman"/>
          <w:color w:val="0070C0"/>
        </w:rPr>
        <w:t>）總額作為被解釋變數，無法逐筆分離出水處理設施之專屬折舊金額、廢水處理藥劑費或具體廢棄物清運支出。未來研究若能結合少數標竿企業之內部管理會計機密帳簿，或是針對半導體與化學特定廠商進行深度個案研究（</w:t>
      </w:r>
      <w:r w:rsidRPr="00154E7B">
        <w:rPr>
          <w:rFonts w:ascii="Times New Roman" w:eastAsia="標楷體" w:hAnsi="Times New Roman" w:cs="Times New Roman"/>
          <w:color w:val="0070C0"/>
        </w:rPr>
        <w:t>Case Study</w:t>
      </w:r>
      <w:r w:rsidRPr="00154E7B">
        <w:rPr>
          <w:rFonts w:ascii="Times New Roman" w:eastAsia="標楷體" w:hAnsi="Times New Roman" w:cs="Times New Roman"/>
          <w:color w:val="0070C0"/>
        </w:rPr>
        <w:t>），將可更細緻、深入地呈現環境設施在各項營業費用科目間之分攤與調度細節。</w:t>
      </w:r>
    </w:p>
    <w:p w:rsidR="00AE2003" w:rsidRPr="00154E7B" w:rsidRDefault="007265F6">
      <w:pPr>
        <w:spacing w:after="40" w:line="254" w:lineRule="auto"/>
        <w:ind w:firstLine="480"/>
        <w:jc w:val="both"/>
        <w:rPr>
          <w:color w:val="0070C0"/>
        </w:rPr>
      </w:pPr>
      <w:r w:rsidRPr="00154E7B">
        <w:rPr>
          <w:rFonts w:ascii="Times New Roman" w:eastAsia="標楷體" w:hAnsi="Times New Roman" w:cs="Times New Roman"/>
          <w:color w:val="0070C0"/>
        </w:rPr>
        <w:t>第三，未來研究可進一步結合「碳排放強度」（</w:t>
      </w:r>
      <w:r w:rsidRPr="00154E7B">
        <w:rPr>
          <w:rFonts w:ascii="Times New Roman" w:eastAsia="標楷體" w:hAnsi="Times New Roman" w:cs="Times New Roman"/>
          <w:color w:val="0070C0"/>
        </w:rPr>
        <w:t>Carbon Intensity</w:t>
      </w:r>
      <w:r w:rsidRPr="00154E7B">
        <w:rPr>
          <w:rFonts w:ascii="Times New Roman" w:eastAsia="標楷體" w:hAnsi="Times New Roman" w:cs="Times New Roman"/>
          <w:color w:val="0070C0"/>
        </w:rPr>
        <w:t>）與「範疇三供應鏈環境足跡」（</w:t>
      </w:r>
      <w:r w:rsidRPr="00154E7B">
        <w:rPr>
          <w:rFonts w:ascii="Times New Roman" w:eastAsia="標楷體" w:hAnsi="Times New Roman" w:cs="Times New Roman"/>
          <w:color w:val="0070C0"/>
        </w:rPr>
        <w:t>Scope 3 GHG Emissions</w:t>
      </w:r>
      <w:r w:rsidRPr="00154E7B">
        <w:rPr>
          <w:rFonts w:ascii="Times New Roman" w:eastAsia="標楷體" w:hAnsi="Times New Roman" w:cs="Times New Roman"/>
          <w:color w:val="0070C0"/>
        </w:rPr>
        <w:t>）。在全球碳邊境調整機制（</w:t>
      </w:r>
      <w:r w:rsidRPr="00154E7B">
        <w:rPr>
          <w:rFonts w:ascii="Times New Roman" w:eastAsia="標楷體" w:hAnsi="Times New Roman" w:cs="Times New Roman"/>
          <w:color w:val="0070C0"/>
        </w:rPr>
        <w:t>CBAM</w:t>
      </w:r>
      <w:r w:rsidRPr="00154E7B">
        <w:rPr>
          <w:rFonts w:ascii="Times New Roman" w:eastAsia="標楷體" w:hAnsi="Times New Roman" w:cs="Times New Roman"/>
          <w:color w:val="0070C0"/>
        </w:rPr>
        <w:t>）與國內碳費正式開徵之際，碳排放將成為另一項具備強烈法規剛性之環境要素。後續學者可探討企業範疇一、二、三之碳排放量與碳費預估支出，如何與水資源、廢棄物指標相互交織，共同型塑製造業在新氣候經濟時代下之複合成本行為，持續拓展環</w:t>
      </w:r>
      <w:r w:rsidRPr="00154E7B">
        <w:rPr>
          <w:rFonts w:ascii="Times New Roman" w:eastAsia="標楷體" w:hAnsi="Times New Roman" w:cs="Times New Roman"/>
          <w:color w:val="0070C0"/>
        </w:rPr>
        <w:lastRenderedPageBreak/>
        <w:t>境管理會計學之理論疆界。</w:t>
      </w:r>
    </w:p>
    <w:p w:rsidR="00AE2003" w:rsidRPr="00154E7B" w:rsidRDefault="007265F6">
      <w:pPr>
        <w:rPr>
          <w:color w:val="0070C0"/>
        </w:rPr>
      </w:pPr>
      <w:r w:rsidRPr="00154E7B">
        <w:rPr>
          <w:color w:val="0070C0"/>
        </w:rPr>
        <w:br w:type="page"/>
      </w:r>
    </w:p>
    <w:p w:rsidR="00AE2003" w:rsidRPr="00154E7B" w:rsidRDefault="007265F6">
      <w:pPr>
        <w:spacing w:before="280" w:after="120" w:line="254" w:lineRule="auto"/>
        <w:jc w:val="center"/>
        <w:rPr>
          <w:color w:val="0070C0"/>
        </w:rPr>
      </w:pPr>
      <w:r w:rsidRPr="00154E7B">
        <w:rPr>
          <w:rFonts w:ascii="Times New Roman" w:eastAsia="標楷體" w:hAnsi="Times New Roman" w:cs="Times New Roman"/>
          <w:b/>
          <w:color w:val="0070C0"/>
          <w:sz w:val="36"/>
        </w:rPr>
        <w:lastRenderedPageBreak/>
        <w:t>參考文獻</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一、中文文獻</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王惠洳（</w:t>
      </w:r>
      <w:r w:rsidRPr="00154E7B">
        <w:rPr>
          <w:rFonts w:ascii="Times New Roman" w:eastAsia="標楷體" w:hAnsi="Times New Roman" w:cs="Times New Roman"/>
          <w:color w:val="0070C0"/>
          <w:sz w:val="23"/>
        </w:rPr>
        <w:t>2025</w:t>
      </w:r>
      <w:r w:rsidRPr="00154E7B">
        <w:rPr>
          <w:rFonts w:ascii="Times New Roman" w:eastAsia="標楷體" w:hAnsi="Times New Roman" w:cs="Times New Roman"/>
          <w:color w:val="0070C0"/>
          <w:sz w:val="23"/>
        </w:rPr>
        <w:t>）。獨立董事連結關係與成本僵固性之關聯（未出版之碩士論文）。國立臺中科技大學會計資訊系碩士班，臺中市。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毛祚祥（</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）。探討台灣上市櫃觀光餐旅類股企業</w:t>
      </w:r>
      <w:r w:rsidRPr="00154E7B">
        <w:rPr>
          <w:rFonts w:ascii="Times New Roman" w:eastAsia="標楷體" w:hAnsi="Times New Roman" w:cs="Times New Roman"/>
          <w:color w:val="0070C0"/>
          <w:sz w:val="23"/>
        </w:rPr>
        <w:t xml:space="preserve"> ESG </w:t>
      </w:r>
      <w:r w:rsidRPr="00154E7B">
        <w:rPr>
          <w:rFonts w:ascii="Times New Roman" w:eastAsia="標楷體" w:hAnsi="Times New Roman" w:cs="Times New Roman"/>
          <w:color w:val="0070C0"/>
          <w:sz w:val="23"/>
        </w:rPr>
        <w:t>指標、系統性風險與財務績效之關係（未出版之碩士論文）。國立高雄科技大學觀光管理系觀光與餐旅管理碩士班，高雄市。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辛珏辰（</w:t>
      </w:r>
      <w:r w:rsidRPr="00154E7B">
        <w:rPr>
          <w:rFonts w:ascii="Times New Roman" w:eastAsia="標楷體" w:hAnsi="Times New Roman" w:cs="Times New Roman"/>
          <w:color w:val="0070C0"/>
          <w:sz w:val="23"/>
        </w:rPr>
        <w:t>2025</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ESG</w:t>
      </w:r>
      <w:r w:rsidRPr="00154E7B">
        <w:rPr>
          <w:rFonts w:ascii="Times New Roman" w:eastAsia="標楷體" w:hAnsi="Times New Roman" w:cs="Times New Roman"/>
          <w:color w:val="0070C0"/>
          <w:sz w:val="23"/>
        </w:rPr>
        <w:t>活動與成本僵固性</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兼論</w:t>
      </w:r>
      <w:r w:rsidRPr="00154E7B">
        <w:rPr>
          <w:rFonts w:ascii="Times New Roman" w:eastAsia="標楷體" w:hAnsi="Times New Roman" w:cs="Times New Roman"/>
          <w:color w:val="0070C0"/>
          <w:sz w:val="23"/>
        </w:rPr>
        <w:t>COVID-19</w:t>
      </w:r>
      <w:r w:rsidRPr="00154E7B">
        <w:rPr>
          <w:rFonts w:ascii="Times New Roman" w:eastAsia="標楷體" w:hAnsi="Times New Roman" w:cs="Times New Roman"/>
          <w:color w:val="0070C0"/>
          <w:sz w:val="23"/>
        </w:rPr>
        <w:t>的影響（未出版之碩士論文）。國立成功大學會計學系，臺南市。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邱圓雅（</w:t>
      </w:r>
      <w:r w:rsidRPr="00154E7B">
        <w:rPr>
          <w:rFonts w:ascii="Times New Roman" w:eastAsia="標楷體" w:hAnsi="Times New Roman" w:cs="Times New Roman"/>
          <w:color w:val="0070C0"/>
          <w:sz w:val="23"/>
        </w:rPr>
        <w:t>2020</w:t>
      </w:r>
      <w:r w:rsidRPr="00154E7B">
        <w:rPr>
          <w:rFonts w:ascii="Times New Roman" w:eastAsia="標楷體" w:hAnsi="Times New Roman" w:cs="Times New Roman"/>
          <w:color w:val="0070C0"/>
          <w:sz w:val="23"/>
        </w:rPr>
        <w:t>）。內部債與成本僵固性之關聯性（未出版之碩士論文）。國立臺北商業大學會計資訊系會計財稅碩士班，臺北市。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張芳瑜（</w:t>
      </w:r>
      <w:r w:rsidRPr="00154E7B">
        <w:rPr>
          <w:rFonts w:ascii="Times New Roman" w:eastAsia="標楷體" w:hAnsi="Times New Roman" w:cs="Times New Roman"/>
          <w:color w:val="0070C0"/>
          <w:sz w:val="23"/>
        </w:rPr>
        <w:t>2023</w:t>
      </w:r>
      <w:r w:rsidRPr="00154E7B">
        <w:rPr>
          <w:rFonts w:ascii="Times New Roman" w:eastAsia="標楷體" w:hAnsi="Times New Roman" w:cs="Times New Roman"/>
          <w:color w:val="0070C0"/>
          <w:sz w:val="23"/>
        </w:rPr>
        <w:t>）。成本僵固性對企業績效之影響</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以總體經濟變數為調節變數（未出版之碩士論文）。國立中興大學企業管理學系，臺中市。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張宸杰（</w:t>
      </w:r>
      <w:r w:rsidRPr="00154E7B">
        <w:rPr>
          <w:rFonts w:ascii="Times New Roman" w:eastAsia="標楷體" w:hAnsi="Times New Roman" w:cs="Times New Roman"/>
          <w:color w:val="0070C0"/>
          <w:sz w:val="23"/>
        </w:rPr>
        <w:t>2023</w:t>
      </w:r>
      <w:r w:rsidRPr="00154E7B">
        <w:rPr>
          <w:rFonts w:ascii="Times New Roman" w:eastAsia="標楷體" w:hAnsi="Times New Roman" w:cs="Times New Roman"/>
          <w:color w:val="0070C0"/>
          <w:sz w:val="23"/>
        </w:rPr>
        <w:t>）。內部控制、財務危機對成本僵固性之影響（未出版之碩士論文）。國立臺中科技大學會計資訊系碩士班，臺中市。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張岑華（</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ESG</w:t>
      </w:r>
      <w:r w:rsidRPr="00154E7B">
        <w:rPr>
          <w:rFonts w:ascii="Times New Roman" w:eastAsia="標楷體" w:hAnsi="Times New Roman" w:cs="Times New Roman"/>
          <w:color w:val="0070C0"/>
          <w:sz w:val="23"/>
        </w:rPr>
        <w:t>績效與漂綠對權益資金成本之影響：以台灣為例（未出版之碩士論文）。世新大學財務金融學系，臺北市。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張筱婕（</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）。漂綠行為對企業</w:t>
      </w:r>
      <w:r w:rsidRPr="00154E7B">
        <w:rPr>
          <w:rFonts w:ascii="Times New Roman" w:eastAsia="標楷體" w:hAnsi="Times New Roman" w:cs="Times New Roman"/>
          <w:color w:val="0070C0"/>
          <w:sz w:val="23"/>
        </w:rPr>
        <w:t xml:space="preserve"> ESG </w:t>
      </w:r>
      <w:r w:rsidRPr="00154E7B">
        <w:rPr>
          <w:rFonts w:ascii="Times New Roman" w:eastAsia="標楷體" w:hAnsi="Times New Roman" w:cs="Times New Roman"/>
          <w:color w:val="0070C0"/>
          <w:sz w:val="23"/>
        </w:rPr>
        <w:t>之影響</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媒體揭露的調節效果（未出版之碩士論文）。世新大學財務金融學系，臺北市。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許嘉芸（</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）。企業資源密集度管理對財務績效與</w:t>
      </w:r>
      <w:r w:rsidRPr="00154E7B">
        <w:rPr>
          <w:rFonts w:ascii="Times New Roman" w:eastAsia="標楷體" w:hAnsi="Times New Roman" w:cs="Times New Roman"/>
          <w:color w:val="0070C0"/>
          <w:sz w:val="23"/>
        </w:rPr>
        <w:t xml:space="preserve"> ESG </w:t>
      </w:r>
      <w:r w:rsidRPr="00154E7B">
        <w:rPr>
          <w:rFonts w:ascii="Times New Roman" w:eastAsia="標楷體" w:hAnsi="Times New Roman" w:cs="Times New Roman"/>
          <w:color w:val="0070C0"/>
          <w:sz w:val="23"/>
        </w:rPr>
        <w:t>效率的影響（未出版之碩士論文）。國立陽明交通大學經營管理研究所，新竹市。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陳思婷（</w:t>
      </w:r>
      <w:r w:rsidRPr="00154E7B">
        <w:rPr>
          <w:rFonts w:ascii="Times New Roman" w:eastAsia="標楷體" w:hAnsi="Times New Roman" w:cs="Times New Roman"/>
          <w:color w:val="0070C0"/>
          <w:sz w:val="23"/>
        </w:rPr>
        <w:t>2025</w:t>
      </w:r>
      <w:r w:rsidRPr="00154E7B">
        <w:rPr>
          <w:rFonts w:ascii="Times New Roman" w:eastAsia="標楷體" w:hAnsi="Times New Roman" w:cs="Times New Roman"/>
          <w:color w:val="0070C0"/>
          <w:sz w:val="23"/>
        </w:rPr>
        <w:t>）。移轉訂價操弄與成本僵固性間之關聯性（未出版之碩士論文）。天主教輔仁大學會計學系碩士班，新北市。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富得運（</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 xml:space="preserve">ESG </w:t>
      </w:r>
      <w:r w:rsidRPr="00154E7B">
        <w:rPr>
          <w:rFonts w:ascii="Times New Roman" w:eastAsia="標楷體" w:hAnsi="Times New Roman" w:cs="Times New Roman"/>
          <w:color w:val="0070C0"/>
          <w:sz w:val="23"/>
        </w:rPr>
        <w:t>風險管理與企業財務績效：新興市場中企業規模之調節效果（未出版之碩士論文）。正修科技大學工業工程與管理碩士班，高雄市。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楊宜蓁（</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ESG</w:t>
      </w:r>
      <w:r w:rsidRPr="00154E7B">
        <w:rPr>
          <w:rFonts w:ascii="Times New Roman" w:eastAsia="標楷體" w:hAnsi="Times New Roman" w:cs="Times New Roman"/>
          <w:color w:val="0070C0"/>
          <w:sz w:val="23"/>
        </w:rPr>
        <w:t>及負債比率對企業信用風險之關聯性研究</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以台灣上市電子業為例（未出版之碩士論文）。國立彰化師範大學財務金融技術學系，彰化市。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楊博勝（</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ESG</w:t>
      </w:r>
      <w:r w:rsidRPr="00154E7B">
        <w:rPr>
          <w:rFonts w:ascii="Times New Roman" w:eastAsia="標楷體" w:hAnsi="Times New Roman" w:cs="Times New Roman"/>
          <w:color w:val="0070C0"/>
          <w:sz w:val="23"/>
        </w:rPr>
        <w:t>資訊之揭露對於企業特有風險之影響：以台灣上市櫃公司為例（未出版之博士論文）。國立陽明交通大學經營管理研究所，新竹市。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劉佳熒（</w:t>
      </w:r>
      <w:r w:rsidRPr="00154E7B">
        <w:rPr>
          <w:rFonts w:ascii="Times New Roman" w:eastAsia="標楷體" w:hAnsi="Times New Roman" w:cs="Times New Roman"/>
          <w:color w:val="0070C0"/>
          <w:sz w:val="23"/>
        </w:rPr>
        <w:t>2022</w:t>
      </w:r>
      <w:r w:rsidRPr="00154E7B">
        <w:rPr>
          <w:rFonts w:ascii="Times New Roman" w:eastAsia="標楷體" w:hAnsi="Times New Roman" w:cs="Times New Roman"/>
          <w:color w:val="0070C0"/>
          <w:sz w:val="23"/>
        </w:rPr>
        <w:t>）。供應鏈關係對供應商之成本行為的影響（未出版之博士論文）。亞洲大學經營管理學系，臺中市。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劉若蘭、王惠洳、張宸杰（</w:t>
      </w:r>
      <w:r w:rsidRPr="00154E7B">
        <w:rPr>
          <w:rFonts w:ascii="Times New Roman" w:eastAsia="標楷體" w:hAnsi="Times New Roman" w:cs="Times New Roman"/>
          <w:color w:val="0070C0"/>
          <w:sz w:val="23"/>
        </w:rPr>
        <w:t>2024</w:t>
      </w:r>
      <w:r w:rsidRPr="00154E7B">
        <w:rPr>
          <w:rFonts w:ascii="Times New Roman" w:eastAsia="標楷體" w:hAnsi="Times New Roman" w:cs="Times New Roman"/>
          <w:color w:val="0070C0"/>
          <w:sz w:val="23"/>
        </w:rPr>
        <w:t>）。審計公費與公司董監事責任險及審計品質之關聯。</w:t>
      </w:r>
      <w:r w:rsidRPr="00154E7B">
        <w:rPr>
          <w:rFonts w:ascii="Times New Roman" w:eastAsia="標楷體" w:hAnsi="Times New Roman" w:cs="Times New Roman"/>
          <w:color w:val="0070C0"/>
          <w:sz w:val="23"/>
        </w:rPr>
        <w:lastRenderedPageBreak/>
        <w:t>會計審計學刊，</w:t>
      </w:r>
      <w:r w:rsidRPr="00154E7B">
        <w:rPr>
          <w:rFonts w:ascii="Times New Roman" w:eastAsia="標楷體" w:hAnsi="Times New Roman" w:cs="Times New Roman"/>
          <w:color w:val="0070C0"/>
          <w:sz w:val="23"/>
        </w:rPr>
        <w:t>14(2)</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1–28</w:t>
      </w:r>
      <w:r w:rsidRPr="00154E7B">
        <w:rPr>
          <w:rFonts w:ascii="Times New Roman" w:eastAsia="標楷體" w:hAnsi="Times New Roman" w:cs="Times New Roman"/>
          <w:color w:val="0070C0"/>
          <w:sz w:val="23"/>
        </w:rPr>
        <w:t>。</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鄭紹君（</w:t>
      </w:r>
      <w:r w:rsidRPr="00154E7B">
        <w:rPr>
          <w:rFonts w:ascii="Times New Roman" w:eastAsia="標楷體" w:hAnsi="Times New Roman" w:cs="Times New Roman"/>
          <w:color w:val="0070C0"/>
          <w:sz w:val="23"/>
        </w:rPr>
        <w:t>2018</w:t>
      </w:r>
      <w:r w:rsidRPr="00154E7B">
        <w:rPr>
          <w:rFonts w:ascii="Times New Roman" w:eastAsia="標楷體" w:hAnsi="Times New Roman" w:cs="Times New Roman"/>
          <w:color w:val="0070C0"/>
          <w:sz w:val="23"/>
        </w:rPr>
        <w:t>）。企業社會責任活動與成本僵固性之關聯</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以企業社會責任願景調節（未出版之碩士論文）。國立中央大學會計研究所，桃園市。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謝雅筑（</w:t>
      </w:r>
      <w:r w:rsidRPr="00154E7B">
        <w:rPr>
          <w:rFonts w:ascii="Times New Roman" w:eastAsia="標楷體" w:hAnsi="Times New Roman" w:cs="Times New Roman"/>
          <w:color w:val="0070C0"/>
          <w:sz w:val="23"/>
        </w:rPr>
        <w:t>2024</w:t>
      </w:r>
      <w:r w:rsidRPr="00154E7B">
        <w:rPr>
          <w:rFonts w:ascii="Times New Roman" w:eastAsia="標楷體" w:hAnsi="Times New Roman" w:cs="Times New Roman"/>
          <w:color w:val="0070C0"/>
          <w:sz w:val="23"/>
        </w:rPr>
        <w:t>）。飛行員</w:t>
      </w:r>
      <w:r w:rsidRPr="00154E7B">
        <w:rPr>
          <w:rFonts w:ascii="Times New Roman" w:eastAsia="標楷體" w:hAnsi="Times New Roman" w:cs="Times New Roman"/>
          <w:color w:val="0070C0"/>
          <w:sz w:val="23"/>
        </w:rPr>
        <w:t xml:space="preserve"> CEO </w:t>
      </w:r>
      <w:r w:rsidRPr="00154E7B">
        <w:rPr>
          <w:rFonts w:ascii="Times New Roman" w:eastAsia="標楷體" w:hAnsi="Times New Roman" w:cs="Times New Roman"/>
          <w:color w:val="0070C0"/>
          <w:sz w:val="23"/>
        </w:rPr>
        <w:t>與成本僵固性（未出版之碩士論文）。國立成功大學財務金融研究所碩士在職專班，臺南市。</w:t>
      </w:r>
    </w:p>
    <w:p w:rsidR="00AE2003" w:rsidRPr="00154E7B" w:rsidRDefault="007265F6">
      <w:pPr>
        <w:spacing w:before="40" w:after="40" w:line="254" w:lineRule="auto"/>
        <w:ind w:left="480" w:hanging="480"/>
        <w:jc w:val="both"/>
        <w:rPr>
          <w:color w:val="0070C0"/>
        </w:rPr>
      </w:pPr>
      <w:r w:rsidRPr="00154E7B">
        <w:rPr>
          <w:rFonts w:ascii="Times New Roman" w:eastAsia="標楷體" w:hAnsi="Times New Roman" w:cs="Times New Roman"/>
          <w:color w:val="0070C0"/>
          <w:sz w:val="23"/>
        </w:rPr>
        <w:t>蘇姿云（</w:t>
      </w:r>
      <w:r w:rsidRPr="00154E7B">
        <w:rPr>
          <w:rFonts w:ascii="Times New Roman" w:eastAsia="標楷體" w:hAnsi="Times New Roman" w:cs="Times New Roman"/>
          <w:color w:val="0070C0"/>
          <w:sz w:val="23"/>
        </w:rPr>
        <w:t>2026</w:t>
      </w:r>
      <w:r w:rsidRPr="00154E7B">
        <w:rPr>
          <w:rFonts w:ascii="Times New Roman" w:eastAsia="標楷體" w:hAnsi="Times New Roman" w:cs="Times New Roman"/>
          <w:color w:val="0070C0"/>
          <w:sz w:val="23"/>
        </w:rPr>
        <w:t>）。</w:t>
      </w:r>
      <w:r w:rsidRPr="00154E7B">
        <w:rPr>
          <w:rFonts w:ascii="Times New Roman" w:eastAsia="標楷體" w:hAnsi="Times New Roman" w:cs="Times New Roman"/>
          <w:color w:val="0070C0"/>
          <w:sz w:val="23"/>
        </w:rPr>
        <w:t>ESG</w:t>
      </w:r>
      <w:r w:rsidRPr="00154E7B">
        <w:rPr>
          <w:rFonts w:ascii="Times New Roman" w:eastAsia="標楷體" w:hAnsi="Times New Roman" w:cs="Times New Roman"/>
          <w:color w:val="0070C0"/>
          <w:sz w:val="23"/>
        </w:rPr>
        <w:t>對盈餘管理的抑制效果：家族企業的差異分析（未出版之碩士論文）。國立成功大學財務金融研究所在職專班，臺南市。</w:t>
      </w:r>
    </w:p>
    <w:p w:rsidR="00AE2003" w:rsidRPr="00154E7B" w:rsidRDefault="007265F6">
      <w:pPr>
        <w:spacing w:before="200" w:after="80" w:line="254" w:lineRule="auto"/>
        <w:rPr>
          <w:color w:val="0070C0"/>
        </w:rPr>
      </w:pPr>
      <w:r w:rsidRPr="00154E7B">
        <w:rPr>
          <w:rFonts w:ascii="Times New Roman" w:eastAsia="標楷體" w:hAnsi="Times New Roman" w:cs="Times New Roman"/>
          <w:b/>
          <w:color w:val="0070C0"/>
          <w:sz w:val="28"/>
        </w:rPr>
        <w:t>二、英文文獻</w:t>
      </w:r>
    </w:p>
    <w:p w:rsidR="00AE2003" w:rsidRPr="00154E7B" w:rsidRDefault="007265F6">
      <w:pPr>
        <w:spacing w:before="40" w:after="40" w:line="254" w:lineRule="auto"/>
        <w:ind w:left="480" w:hanging="480"/>
        <w:jc w:val="both"/>
        <w:rPr>
          <w:color w:val="0070C0"/>
        </w:rPr>
      </w:pPr>
      <w:r w:rsidRPr="00154E7B">
        <w:rPr>
          <w:rFonts w:ascii="Times New Roman" w:eastAsia="Times New Roman" w:hAnsi="Times New Roman" w:cs="Times New Roman"/>
          <w:color w:val="0070C0"/>
          <w:sz w:val="23"/>
        </w:rPr>
        <w:t>Anderson, M. C., Banker, R. D., &amp; Janakiraman, S. N. (2003). Are selling, general, and administrative costs "sticky"? Journal of Accounting Research, 41(1), 47–63. https://doi.org/10.1111/1475-679X.00095</w:t>
      </w:r>
    </w:p>
    <w:p w:rsidR="00AE2003" w:rsidRPr="00154E7B" w:rsidRDefault="007265F6">
      <w:pPr>
        <w:spacing w:before="40" w:after="40" w:line="254" w:lineRule="auto"/>
        <w:ind w:left="480" w:hanging="480"/>
        <w:jc w:val="both"/>
        <w:rPr>
          <w:color w:val="0070C0"/>
        </w:rPr>
      </w:pPr>
      <w:r w:rsidRPr="00154E7B">
        <w:rPr>
          <w:rFonts w:ascii="Times New Roman" w:eastAsia="Times New Roman" w:hAnsi="Times New Roman" w:cs="Times New Roman"/>
          <w:color w:val="0070C0"/>
          <w:sz w:val="23"/>
        </w:rPr>
        <w:t>Jiang, W., &amp; Yang, W. (2024). ESG disclosure and corporate cost stickiness: Evidence from supply-chain relationships. Economics Letters, 238, 111697. https://doi.org/10.1016/j.econlet.2024.111697</w:t>
      </w:r>
    </w:p>
    <w:p w:rsidR="00AE2003" w:rsidRPr="00154E7B" w:rsidRDefault="007265F6">
      <w:pPr>
        <w:spacing w:before="40" w:after="40" w:line="254" w:lineRule="auto"/>
        <w:ind w:left="480" w:hanging="480"/>
        <w:jc w:val="both"/>
        <w:rPr>
          <w:color w:val="0070C0"/>
        </w:rPr>
      </w:pPr>
      <w:r w:rsidRPr="00154E7B">
        <w:rPr>
          <w:rFonts w:ascii="Times New Roman" w:eastAsia="Times New Roman" w:hAnsi="Times New Roman" w:cs="Times New Roman"/>
          <w:color w:val="0070C0"/>
          <w:sz w:val="23"/>
        </w:rPr>
        <w:t>Zeng, J., Peng, M., &amp; Chan, K. C. (2024). The impact of low-carbon city policy on corporate cost stickiness: Evidence from green innovation and financing constraints. Journal of Corporate Finance, 85, 102540. https://doi.org/10.1016/j.jcorpfin.2024.102540</w:t>
      </w:r>
      <w:bookmarkEnd w:id="0"/>
    </w:p>
    <w:sectPr w:rsidR="00AE2003" w:rsidRPr="00154E7B" w:rsidSect="00EE393C">
      <w:headerReference w:type="default" r:id="rId11"/>
      <w:footerReference w:type="default" r:id="rId12"/>
      <w:pgSz w:w="11906" w:h="16838"/>
      <w:pgMar w:top="1440" w:right="1701" w:bottom="1440"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2ECF" w:rsidRDefault="00032ECF" w:rsidP="00E5631F">
      <w:r>
        <w:separator/>
      </w:r>
    </w:p>
  </w:endnote>
  <w:endnote w:type="continuationSeparator" w:id="0">
    <w:p w:rsidR="00032ECF" w:rsidRDefault="00032ECF" w:rsidP="00E56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2358718"/>
      <w:docPartObj>
        <w:docPartGallery w:val="Page Numbers (Bottom of Page)"/>
        <w:docPartUnique/>
      </w:docPartObj>
    </w:sdtPr>
    <w:sdtEndPr/>
    <w:sdtContent>
      <w:p w:rsidR="009C5083" w:rsidRDefault="009C5083">
        <w:pPr>
          <w:pStyle w:val="a6"/>
          <w:jc w:val="center"/>
        </w:pPr>
        <w:r>
          <w:fldChar w:fldCharType="begin"/>
        </w:r>
        <w:r>
          <w:instrText>PAGE   \* MERGEFORMAT</w:instrText>
        </w:r>
        <w:r>
          <w:fldChar w:fldCharType="separate"/>
        </w:r>
        <w:r w:rsidR="00154E7B" w:rsidRPr="00154E7B">
          <w:rPr>
            <w:noProof/>
            <w:lang w:val="zh-TW"/>
          </w:rPr>
          <w:t>1</w:t>
        </w:r>
        <w:r>
          <w:fldChar w:fldCharType="end"/>
        </w:r>
      </w:p>
    </w:sdtContent>
  </w:sdt>
  <w:p w:rsidR="009C5083" w:rsidRDefault="009C5083">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003" w:rsidRDefault="007265F6">
    <w:pPr>
      <w:jc w:val="center"/>
    </w:pPr>
    <w:r>
      <w:fldChar w:fldCharType="begin"/>
    </w:r>
    <w:r>
      <w:instrText>PAGE</w:instrText>
    </w:r>
    <w:r>
      <w:fldChar w:fldCharType="separate"/>
    </w:r>
    <w:r w:rsidR="00154E7B">
      <w:rPr>
        <w:noProof/>
      </w:rPr>
      <w:t>ix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5EDB" w:rsidRDefault="00465EDB">
    <w:pPr>
      <w:jc w:val="center"/>
    </w:pPr>
    <w:r>
      <w:fldChar w:fldCharType="begin"/>
    </w:r>
    <w:r>
      <w:instrText>PAGE</w:instrText>
    </w:r>
    <w:r>
      <w:fldChar w:fldCharType="separate"/>
    </w:r>
    <w:r w:rsidR="00154E7B">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2ECF" w:rsidRDefault="00032ECF" w:rsidP="00E5631F">
      <w:r>
        <w:separator/>
      </w:r>
    </w:p>
  </w:footnote>
  <w:footnote w:type="continuationSeparator" w:id="0">
    <w:p w:rsidR="00032ECF" w:rsidRDefault="00032ECF" w:rsidP="00E56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003" w:rsidRDefault="00AE2003"/>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5EDB" w:rsidRDefault="00465ED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16FF6"/>
    <w:multiLevelType w:val="hybridMultilevel"/>
    <w:tmpl w:val="087004F8"/>
    <w:lvl w:ilvl="0" w:tplc="0409000F">
      <w:start w:val="1"/>
      <w:numFmt w:val="decimal"/>
      <w:lvlText w:val="%1."/>
      <w:lvlJc w:val="left"/>
      <w:pPr>
        <w:ind w:left="763" w:hanging="480"/>
      </w:pPr>
      <w:rPr>
        <w:rFonts w:hint="default"/>
      </w:rPr>
    </w:lvl>
    <w:lvl w:ilvl="1" w:tplc="04090003" w:tentative="1">
      <w:start w:val="1"/>
      <w:numFmt w:val="bullet"/>
      <w:lvlText w:val=""/>
      <w:lvlJc w:val="left"/>
      <w:pPr>
        <w:ind w:left="1243" w:hanging="480"/>
      </w:pPr>
      <w:rPr>
        <w:rFonts w:ascii="Wingdings" w:hAnsi="Wingdings" w:hint="default"/>
      </w:rPr>
    </w:lvl>
    <w:lvl w:ilvl="2" w:tplc="04090005" w:tentative="1">
      <w:start w:val="1"/>
      <w:numFmt w:val="bullet"/>
      <w:lvlText w:val=""/>
      <w:lvlJc w:val="left"/>
      <w:pPr>
        <w:ind w:left="1723" w:hanging="480"/>
      </w:pPr>
      <w:rPr>
        <w:rFonts w:ascii="Wingdings" w:hAnsi="Wingdings" w:hint="default"/>
      </w:rPr>
    </w:lvl>
    <w:lvl w:ilvl="3" w:tplc="04090001" w:tentative="1">
      <w:start w:val="1"/>
      <w:numFmt w:val="bullet"/>
      <w:lvlText w:val=""/>
      <w:lvlJc w:val="left"/>
      <w:pPr>
        <w:ind w:left="2203" w:hanging="480"/>
      </w:pPr>
      <w:rPr>
        <w:rFonts w:ascii="Wingdings" w:hAnsi="Wingdings" w:hint="default"/>
      </w:rPr>
    </w:lvl>
    <w:lvl w:ilvl="4" w:tplc="04090003" w:tentative="1">
      <w:start w:val="1"/>
      <w:numFmt w:val="bullet"/>
      <w:lvlText w:val=""/>
      <w:lvlJc w:val="left"/>
      <w:pPr>
        <w:ind w:left="2683" w:hanging="480"/>
      </w:pPr>
      <w:rPr>
        <w:rFonts w:ascii="Wingdings" w:hAnsi="Wingdings" w:hint="default"/>
      </w:rPr>
    </w:lvl>
    <w:lvl w:ilvl="5" w:tplc="04090005" w:tentative="1">
      <w:start w:val="1"/>
      <w:numFmt w:val="bullet"/>
      <w:lvlText w:val=""/>
      <w:lvlJc w:val="left"/>
      <w:pPr>
        <w:ind w:left="3163" w:hanging="480"/>
      </w:pPr>
      <w:rPr>
        <w:rFonts w:ascii="Wingdings" w:hAnsi="Wingdings" w:hint="default"/>
      </w:rPr>
    </w:lvl>
    <w:lvl w:ilvl="6" w:tplc="04090001" w:tentative="1">
      <w:start w:val="1"/>
      <w:numFmt w:val="bullet"/>
      <w:lvlText w:val=""/>
      <w:lvlJc w:val="left"/>
      <w:pPr>
        <w:ind w:left="3643" w:hanging="480"/>
      </w:pPr>
      <w:rPr>
        <w:rFonts w:ascii="Wingdings" w:hAnsi="Wingdings" w:hint="default"/>
      </w:rPr>
    </w:lvl>
    <w:lvl w:ilvl="7" w:tplc="04090003" w:tentative="1">
      <w:start w:val="1"/>
      <w:numFmt w:val="bullet"/>
      <w:lvlText w:val=""/>
      <w:lvlJc w:val="left"/>
      <w:pPr>
        <w:ind w:left="4123" w:hanging="480"/>
      </w:pPr>
      <w:rPr>
        <w:rFonts w:ascii="Wingdings" w:hAnsi="Wingdings" w:hint="default"/>
      </w:rPr>
    </w:lvl>
    <w:lvl w:ilvl="8" w:tplc="04090005" w:tentative="1">
      <w:start w:val="1"/>
      <w:numFmt w:val="bullet"/>
      <w:lvlText w:val=""/>
      <w:lvlJc w:val="left"/>
      <w:pPr>
        <w:ind w:left="4603" w:hanging="480"/>
      </w:pPr>
      <w:rPr>
        <w:rFonts w:ascii="Wingdings" w:hAnsi="Wingdings" w:hint="default"/>
      </w:rPr>
    </w:lvl>
  </w:abstractNum>
  <w:abstractNum w:abstractNumId="1" w15:restartNumberingAfterBreak="0">
    <w:nsid w:val="24BC0805"/>
    <w:multiLevelType w:val="hybridMultilevel"/>
    <w:tmpl w:val="94A4D4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F9A4996"/>
    <w:multiLevelType w:val="hybridMultilevel"/>
    <w:tmpl w:val="6B787A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0F96E01"/>
    <w:multiLevelType w:val="hybridMultilevel"/>
    <w:tmpl w:val="F52E6E5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4" w15:restartNumberingAfterBreak="0">
    <w:nsid w:val="75A934EE"/>
    <w:multiLevelType w:val="multilevel"/>
    <w:tmpl w:val="9A66ABB4"/>
    <w:lvl w:ilvl="0">
      <w:start w:val="4"/>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4"/>
  </w:num>
  <w:num w:numId="3">
    <w:abstractNumId w:val="2"/>
  </w:num>
  <w:num w:numId="4">
    <w:abstractNumId w:val="3"/>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EB7"/>
    <w:rsid w:val="00004A95"/>
    <w:rsid w:val="00010098"/>
    <w:rsid w:val="000111CA"/>
    <w:rsid w:val="00032ECF"/>
    <w:rsid w:val="00037573"/>
    <w:rsid w:val="00047875"/>
    <w:rsid w:val="00062C47"/>
    <w:rsid w:val="00067134"/>
    <w:rsid w:val="000762BE"/>
    <w:rsid w:val="00082289"/>
    <w:rsid w:val="000866BE"/>
    <w:rsid w:val="000A0835"/>
    <w:rsid w:val="000B733F"/>
    <w:rsid w:val="000D6CA2"/>
    <w:rsid w:val="000E6222"/>
    <w:rsid w:val="000F21E6"/>
    <w:rsid w:val="000F6BAC"/>
    <w:rsid w:val="00100562"/>
    <w:rsid w:val="001108B3"/>
    <w:rsid w:val="0011090D"/>
    <w:rsid w:val="0011540C"/>
    <w:rsid w:val="001265EB"/>
    <w:rsid w:val="001473D6"/>
    <w:rsid w:val="00150664"/>
    <w:rsid w:val="00151576"/>
    <w:rsid w:val="00154E7B"/>
    <w:rsid w:val="00157C6A"/>
    <w:rsid w:val="001617F0"/>
    <w:rsid w:val="0016758D"/>
    <w:rsid w:val="00174792"/>
    <w:rsid w:val="00176E44"/>
    <w:rsid w:val="001830C9"/>
    <w:rsid w:val="00191E4A"/>
    <w:rsid w:val="001A4157"/>
    <w:rsid w:val="001B5138"/>
    <w:rsid w:val="001D1B9C"/>
    <w:rsid w:val="001E420E"/>
    <w:rsid w:val="001E43EC"/>
    <w:rsid w:val="001E5F31"/>
    <w:rsid w:val="001E663D"/>
    <w:rsid w:val="001F027F"/>
    <w:rsid w:val="001F029E"/>
    <w:rsid w:val="00216086"/>
    <w:rsid w:val="00216532"/>
    <w:rsid w:val="002216C9"/>
    <w:rsid w:val="00231BC7"/>
    <w:rsid w:val="00234873"/>
    <w:rsid w:val="002362DC"/>
    <w:rsid w:val="002533C0"/>
    <w:rsid w:val="00255C57"/>
    <w:rsid w:val="00257421"/>
    <w:rsid w:val="002846D2"/>
    <w:rsid w:val="00286CF5"/>
    <w:rsid w:val="00293EDD"/>
    <w:rsid w:val="00295FA5"/>
    <w:rsid w:val="0029610B"/>
    <w:rsid w:val="002B0041"/>
    <w:rsid w:val="002E353F"/>
    <w:rsid w:val="002E3784"/>
    <w:rsid w:val="002F15C3"/>
    <w:rsid w:val="002F6C12"/>
    <w:rsid w:val="00302697"/>
    <w:rsid w:val="00306B6F"/>
    <w:rsid w:val="003137ED"/>
    <w:rsid w:val="0031671A"/>
    <w:rsid w:val="003255D4"/>
    <w:rsid w:val="00325E4D"/>
    <w:rsid w:val="00332D56"/>
    <w:rsid w:val="0034702B"/>
    <w:rsid w:val="00380764"/>
    <w:rsid w:val="003A3932"/>
    <w:rsid w:val="003A4588"/>
    <w:rsid w:val="003B4582"/>
    <w:rsid w:val="003B528A"/>
    <w:rsid w:val="003C2AF4"/>
    <w:rsid w:val="003C5BE6"/>
    <w:rsid w:val="003D4A79"/>
    <w:rsid w:val="003D4FA9"/>
    <w:rsid w:val="003F4BFB"/>
    <w:rsid w:val="003F6855"/>
    <w:rsid w:val="003F6B25"/>
    <w:rsid w:val="00412F9A"/>
    <w:rsid w:val="00415A1B"/>
    <w:rsid w:val="00432DD0"/>
    <w:rsid w:val="0045365B"/>
    <w:rsid w:val="00457714"/>
    <w:rsid w:val="00461841"/>
    <w:rsid w:val="00465EDB"/>
    <w:rsid w:val="00475976"/>
    <w:rsid w:val="00481BF4"/>
    <w:rsid w:val="004850B8"/>
    <w:rsid w:val="004A54E0"/>
    <w:rsid w:val="004A6320"/>
    <w:rsid w:val="004B536A"/>
    <w:rsid w:val="004C3825"/>
    <w:rsid w:val="004C699F"/>
    <w:rsid w:val="004D59D5"/>
    <w:rsid w:val="004E739B"/>
    <w:rsid w:val="00502521"/>
    <w:rsid w:val="0050678D"/>
    <w:rsid w:val="00510381"/>
    <w:rsid w:val="00512565"/>
    <w:rsid w:val="00526EA0"/>
    <w:rsid w:val="005326D9"/>
    <w:rsid w:val="005543BA"/>
    <w:rsid w:val="0056111C"/>
    <w:rsid w:val="00565230"/>
    <w:rsid w:val="00575734"/>
    <w:rsid w:val="00577D01"/>
    <w:rsid w:val="005871FB"/>
    <w:rsid w:val="0059733F"/>
    <w:rsid w:val="005B3E3E"/>
    <w:rsid w:val="005C1760"/>
    <w:rsid w:val="005D485C"/>
    <w:rsid w:val="005D611F"/>
    <w:rsid w:val="005E2D51"/>
    <w:rsid w:val="005F4F11"/>
    <w:rsid w:val="005F5280"/>
    <w:rsid w:val="00613935"/>
    <w:rsid w:val="00616900"/>
    <w:rsid w:val="00637C52"/>
    <w:rsid w:val="00641FC8"/>
    <w:rsid w:val="00647DA0"/>
    <w:rsid w:val="0065285A"/>
    <w:rsid w:val="0065369C"/>
    <w:rsid w:val="00661DDC"/>
    <w:rsid w:val="00672502"/>
    <w:rsid w:val="006759C1"/>
    <w:rsid w:val="00683A7F"/>
    <w:rsid w:val="0069398F"/>
    <w:rsid w:val="00693B91"/>
    <w:rsid w:val="006962FB"/>
    <w:rsid w:val="0069679F"/>
    <w:rsid w:val="00696A9B"/>
    <w:rsid w:val="006B08D4"/>
    <w:rsid w:val="006B462B"/>
    <w:rsid w:val="006D3CDF"/>
    <w:rsid w:val="006E1E76"/>
    <w:rsid w:val="006F1A53"/>
    <w:rsid w:val="007265F6"/>
    <w:rsid w:val="00726D99"/>
    <w:rsid w:val="00756069"/>
    <w:rsid w:val="007561DD"/>
    <w:rsid w:val="00764667"/>
    <w:rsid w:val="00765F45"/>
    <w:rsid w:val="00770A87"/>
    <w:rsid w:val="00772095"/>
    <w:rsid w:val="00773835"/>
    <w:rsid w:val="007742DB"/>
    <w:rsid w:val="00782E28"/>
    <w:rsid w:val="007914C2"/>
    <w:rsid w:val="007A7514"/>
    <w:rsid w:val="007B02F8"/>
    <w:rsid w:val="007D2D22"/>
    <w:rsid w:val="007D4CA2"/>
    <w:rsid w:val="007E11B8"/>
    <w:rsid w:val="007E11E6"/>
    <w:rsid w:val="007E4F9A"/>
    <w:rsid w:val="007E7032"/>
    <w:rsid w:val="007F0CF7"/>
    <w:rsid w:val="007F3928"/>
    <w:rsid w:val="007F7065"/>
    <w:rsid w:val="00826621"/>
    <w:rsid w:val="0082774A"/>
    <w:rsid w:val="00830B14"/>
    <w:rsid w:val="00844379"/>
    <w:rsid w:val="008463AF"/>
    <w:rsid w:val="00855DB0"/>
    <w:rsid w:val="00866F79"/>
    <w:rsid w:val="008728F3"/>
    <w:rsid w:val="00886BD2"/>
    <w:rsid w:val="00893269"/>
    <w:rsid w:val="00895092"/>
    <w:rsid w:val="00896DFC"/>
    <w:rsid w:val="008A6960"/>
    <w:rsid w:val="008A7376"/>
    <w:rsid w:val="008B4BD1"/>
    <w:rsid w:val="008C2762"/>
    <w:rsid w:val="009308AD"/>
    <w:rsid w:val="00935F88"/>
    <w:rsid w:val="00944F3B"/>
    <w:rsid w:val="00946FDA"/>
    <w:rsid w:val="00952001"/>
    <w:rsid w:val="00960B37"/>
    <w:rsid w:val="00965A6C"/>
    <w:rsid w:val="00975BE8"/>
    <w:rsid w:val="0097760C"/>
    <w:rsid w:val="00992CEA"/>
    <w:rsid w:val="009950F2"/>
    <w:rsid w:val="009A713C"/>
    <w:rsid w:val="009B4DEA"/>
    <w:rsid w:val="009C5083"/>
    <w:rsid w:val="009D161D"/>
    <w:rsid w:val="009D6B96"/>
    <w:rsid w:val="009F549E"/>
    <w:rsid w:val="009F7AA8"/>
    <w:rsid w:val="00A20A11"/>
    <w:rsid w:val="00A247A5"/>
    <w:rsid w:val="00A25053"/>
    <w:rsid w:val="00A33D6D"/>
    <w:rsid w:val="00A351AF"/>
    <w:rsid w:val="00A36FDD"/>
    <w:rsid w:val="00A44F07"/>
    <w:rsid w:val="00A46076"/>
    <w:rsid w:val="00A57A6A"/>
    <w:rsid w:val="00AA0761"/>
    <w:rsid w:val="00AB40EC"/>
    <w:rsid w:val="00AC36A4"/>
    <w:rsid w:val="00AC6FFE"/>
    <w:rsid w:val="00AD7BC9"/>
    <w:rsid w:val="00AE2003"/>
    <w:rsid w:val="00B01CEF"/>
    <w:rsid w:val="00B115B7"/>
    <w:rsid w:val="00B35346"/>
    <w:rsid w:val="00B36DC3"/>
    <w:rsid w:val="00B61904"/>
    <w:rsid w:val="00B627DD"/>
    <w:rsid w:val="00B73C1D"/>
    <w:rsid w:val="00B740C5"/>
    <w:rsid w:val="00B84B68"/>
    <w:rsid w:val="00B85EF6"/>
    <w:rsid w:val="00B902BF"/>
    <w:rsid w:val="00B933A2"/>
    <w:rsid w:val="00BA3A22"/>
    <w:rsid w:val="00BB1FF0"/>
    <w:rsid w:val="00BC41FA"/>
    <w:rsid w:val="00C04A70"/>
    <w:rsid w:val="00C15575"/>
    <w:rsid w:val="00C228B0"/>
    <w:rsid w:val="00C35FFC"/>
    <w:rsid w:val="00C41572"/>
    <w:rsid w:val="00C81748"/>
    <w:rsid w:val="00C83A8B"/>
    <w:rsid w:val="00C846BF"/>
    <w:rsid w:val="00C87D3D"/>
    <w:rsid w:val="00C97987"/>
    <w:rsid w:val="00CA0968"/>
    <w:rsid w:val="00CA4051"/>
    <w:rsid w:val="00CC018C"/>
    <w:rsid w:val="00CC746B"/>
    <w:rsid w:val="00CE6932"/>
    <w:rsid w:val="00CF52A1"/>
    <w:rsid w:val="00D05C3C"/>
    <w:rsid w:val="00D14656"/>
    <w:rsid w:val="00D208DA"/>
    <w:rsid w:val="00D24A4B"/>
    <w:rsid w:val="00D34609"/>
    <w:rsid w:val="00D367A9"/>
    <w:rsid w:val="00D42F84"/>
    <w:rsid w:val="00D5133F"/>
    <w:rsid w:val="00D56B04"/>
    <w:rsid w:val="00D75CAA"/>
    <w:rsid w:val="00D90A77"/>
    <w:rsid w:val="00D92D71"/>
    <w:rsid w:val="00D9428A"/>
    <w:rsid w:val="00DA3627"/>
    <w:rsid w:val="00DC15B0"/>
    <w:rsid w:val="00DC3367"/>
    <w:rsid w:val="00DC5091"/>
    <w:rsid w:val="00DE4F3C"/>
    <w:rsid w:val="00DE5384"/>
    <w:rsid w:val="00E128B2"/>
    <w:rsid w:val="00E14163"/>
    <w:rsid w:val="00E174CE"/>
    <w:rsid w:val="00E22C9E"/>
    <w:rsid w:val="00E2442B"/>
    <w:rsid w:val="00E318BF"/>
    <w:rsid w:val="00E37595"/>
    <w:rsid w:val="00E55E41"/>
    <w:rsid w:val="00E5631F"/>
    <w:rsid w:val="00E64636"/>
    <w:rsid w:val="00E64CA7"/>
    <w:rsid w:val="00E65974"/>
    <w:rsid w:val="00E66B6A"/>
    <w:rsid w:val="00E66F50"/>
    <w:rsid w:val="00E703BC"/>
    <w:rsid w:val="00E71BED"/>
    <w:rsid w:val="00E742E8"/>
    <w:rsid w:val="00E87B0F"/>
    <w:rsid w:val="00EA4402"/>
    <w:rsid w:val="00EA5030"/>
    <w:rsid w:val="00EA5C01"/>
    <w:rsid w:val="00EC1B68"/>
    <w:rsid w:val="00EC2475"/>
    <w:rsid w:val="00EC7221"/>
    <w:rsid w:val="00EE393C"/>
    <w:rsid w:val="00F047C2"/>
    <w:rsid w:val="00F059C3"/>
    <w:rsid w:val="00F074CE"/>
    <w:rsid w:val="00F10E1C"/>
    <w:rsid w:val="00F1746F"/>
    <w:rsid w:val="00F21DCE"/>
    <w:rsid w:val="00F234A6"/>
    <w:rsid w:val="00F3128E"/>
    <w:rsid w:val="00F42847"/>
    <w:rsid w:val="00F50543"/>
    <w:rsid w:val="00F550A1"/>
    <w:rsid w:val="00F60E93"/>
    <w:rsid w:val="00F65EB7"/>
    <w:rsid w:val="00F6656A"/>
    <w:rsid w:val="00F6783A"/>
    <w:rsid w:val="00F80879"/>
    <w:rsid w:val="00F81E48"/>
    <w:rsid w:val="00F907F5"/>
    <w:rsid w:val="00F91B73"/>
    <w:rsid w:val="00FA6043"/>
    <w:rsid w:val="00FC0BE1"/>
    <w:rsid w:val="00FC1C9F"/>
    <w:rsid w:val="00FE0409"/>
    <w:rsid w:val="00FE2D7B"/>
    <w:rsid w:val="00FE7B1D"/>
    <w:rsid w:val="00FF7A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164D5"/>
  <w15:chartTrackingRefBased/>
  <w15:docId w15:val="{4817BF4D-91FF-4A77-8D3B-1645AFF8C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E5631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7E11B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F65EB7"/>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F65EB7"/>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F65EB7"/>
    <w:rPr>
      <w:rFonts w:ascii="新細明體" w:eastAsia="新細明體" w:hAnsi="新細明體" w:cs="新細明體"/>
      <w:b/>
      <w:bCs/>
      <w:kern w:val="0"/>
      <w:sz w:val="27"/>
      <w:szCs w:val="27"/>
    </w:rPr>
  </w:style>
  <w:style w:type="character" w:customStyle="1" w:styleId="40">
    <w:name w:val="標題 4 字元"/>
    <w:basedOn w:val="a0"/>
    <w:link w:val="4"/>
    <w:uiPriority w:val="9"/>
    <w:rsid w:val="00F65EB7"/>
    <w:rPr>
      <w:rFonts w:ascii="新細明體" w:eastAsia="新細明體" w:hAnsi="新細明體" w:cs="新細明體"/>
      <w:b/>
      <w:bCs/>
      <w:kern w:val="0"/>
      <w:szCs w:val="24"/>
    </w:rPr>
  </w:style>
  <w:style w:type="character" w:styleId="a3">
    <w:name w:val="Strong"/>
    <w:basedOn w:val="a0"/>
    <w:uiPriority w:val="22"/>
    <w:qFormat/>
    <w:rsid w:val="00F65EB7"/>
    <w:rPr>
      <w:b/>
      <w:bCs/>
    </w:rPr>
  </w:style>
  <w:style w:type="paragraph" w:styleId="Web">
    <w:name w:val="Normal (Web)"/>
    <w:basedOn w:val="a"/>
    <w:uiPriority w:val="99"/>
    <w:unhideWhenUsed/>
    <w:rsid w:val="00F65EB7"/>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E5631F"/>
    <w:pPr>
      <w:tabs>
        <w:tab w:val="center" w:pos="4153"/>
        <w:tab w:val="right" w:pos="8306"/>
      </w:tabs>
      <w:snapToGrid w:val="0"/>
    </w:pPr>
    <w:rPr>
      <w:sz w:val="20"/>
      <w:szCs w:val="20"/>
    </w:rPr>
  </w:style>
  <w:style w:type="character" w:customStyle="1" w:styleId="a5">
    <w:name w:val="頁首 字元"/>
    <w:basedOn w:val="a0"/>
    <w:link w:val="a4"/>
    <w:uiPriority w:val="99"/>
    <w:rsid w:val="00E5631F"/>
    <w:rPr>
      <w:sz w:val="20"/>
      <w:szCs w:val="20"/>
    </w:rPr>
  </w:style>
  <w:style w:type="paragraph" w:styleId="a6">
    <w:name w:val="footer"/>
    <w:basedOn w:val="a"/>
    <w:link w:val="a7"/>
    <w:uiPriority w:val="99"/>
    <w:unhideWhenUsed/>
    <w:rsid w:val="00E5631F"/>
    <w:pPr>
      <w:tabs>
        <w:tab w:val="center" w:pos="4153"/>
        <w:tab w:val="right" w:pos="8306"/>
      </w:tabs>
      <w:snapToGrid w:val="0"/>
    </w:pPr>
    <w:rPr>
      <w:sz w:val="20"/>
      <w:szCs w:val="20"/>
    </w:rPr>
  </w:style>
  <w:style w:type="character" w:customStyle="1" w:styleId="a7">
    <w:name w:val="頁尾 字元"/>
    <w:basedOn w:val="a0"/>
    <w:link w:val="a6"/>
    <w:uiPriority w:val="99"/>
    <w:rsid w:val="00E5631F"/>
    <w:rPr>
      <w:sz w:val="20"/>
      <w:szCs w:val="20"/>
    </w:rPr>
  </w:style>
  <w:style w:type="character" w:customStyle="1" w:styleId="10">
    <w:name w:val="標題 1 字元"/>
    <w:basedOn w:val="a0"/>
    <w:link w:val="1"/>
    <w:uiPriority w:val="9"/>
    <w:rsid w:val="00E5631F"/>
    <w:rPr>
      <w:rFonts w:asciiTheme="majorHAnsi" w:eastAsiaTheme="majorEastAsia" w:hAnsiTheme="majorHAnsi" w:cstheme="majorBidi"/>
      <w:b/>
      <w:bCs/>
      <w:kern w:val="52"/>
      <w:sz w:val="52"/>
      <w:szCs w:val="52"/>
    </w:rPr>
  </w:style>
  <w:style w:type="paragraph" w:styleId="a8">
    <w:name w:val="TOC Heading"/>
    <w:basedOn w:val="1"/>
    <w:next w:val="a"/>
    <w:uiPriority w:val="39"/>
    <w:unhideWhenUsed/>
    <w:qFormat/>
    <w:rsid w:val="00E5631F"/>
    <w:pPr>
      <w:keepLines/>
      <w:widowControl/>
      <w:spacing w:before="240" w:after="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481BF4"/>
    <w:pPr>
      <w:widowControl/>
      <w:tabs>
        <w:tab w:val="right" w:leader="dot" w:pos="8296"/>
      </w:tabs>
      <w:spacing w:after="100" w:line="259" w:lineRule="auto"/>
      <w:ind w:left="220"/>
    </w:pPr>
    <w:rPr>
      <w:rFonts w:cs="Times New Roman"/>
      <w:kern w:val="0"/>
      <w:sz w:val="22"/>
    </w:rPr>
  </w:style>
  <w:style w:type="paragraph" w:styleId="11">
    <w:name w:val="toc 1"/>
    <w:basedOn w:val="a"/>
    <w:next w:val="a"/>
    <w:autoRedefine/>
    <w:uiPriority w:val="39"/>
    <w:unhideWhenUsed/>
    <w:rsid w:val="003C5BE6"/>
    <w:pPr>
      <w:widowControl/>
      <w:tabs>
        <w:tab w:val="left" w:pos="720"/>
        <w:tab w:val="right" w:leader="dot" w:pos="8296"/>
      </w:tabs>
      <w:spacing w:after="100" w:line="259" w:lineRule="auto"/>
    </w:pPr>
    <w:rPr>
      <w:rFonts w:ascii="Times New Roman" w:eastAsia="標楷體" w:hAnsi="Times New Roman" w:cs="Times New Roman"/>
      <w:b/>
      <w:noProof/>
      <w:kern w:val="0"/>
      <w:szCs w:val="24"/>
    </w:rPr>
  </w:style>
  <w:style w:type="paragraph" w:styleId="31">
    <w:name w:val="toc 3"/>
    <w:basedOn w:val="a"/>
    <w:next w:val="a"/>
    <w:autoRedefine/>
    <w:uiPriority w:val="39"/>
    <w:unhideWhenUsed/>
    <w:rsid w:val="00E5631F"/>
    <w:pPr>
      <w:widowControl/>
      <w:spacing w:after="100" w:line="259" w:lineRule="auto"/>
      <w:ind w:left="440"/>
    </w:pPr>
    <w:rPr>
      <w:rFonts w:cs="Times New Roman"/>
      <w:kern w:val="0"/>
      <w:sz w:val="22"/>
    </w:rPr>
  </w:style>
  <w:style w:type="paragraph" w:styleId="a9">
    <w:name w:val="List Paragraph"/>
    <w:basedOn w:val="a"/>
    <w:uiPriority w:val="34"/>
    <w:qFormat/>
    <w:rsid w:val="002533C0"/>
    <w:pPr>
      <w:ind w:leftChars="200" w:left="480"/>
    </w:pPr>
  </w:style>
  <w:style w:type="character" w:styleId="aa">
    <w:name w:val="Hyperlink"/>
    <w:basedOn w:val="a0"/>
    <w:uiPriority w:val="99"/>
    <w:unhideWhenUsed/>
    <w:rsid w:val="00B61904"/>
    <w:rPr>
      <w:color w:val="0563C1" w:themeColor="hyperlink"/>
      <w:u w:val="single"/>
    </w:rPr>
  </w:style>
  <w:style w:type="character" w:customStyle="1" w:styleId="20">
    <w:name w:val="標題 2 字元"/>
    <w:basedOn w:val="a0"/>
    <w:link w:val="2"/>
    <w:uiPriority w:val="9"/>
    <w:rsid w:val="007E11B8"/>
    <w:rPr>
      <w:rFonts w:asciiTheme="majorHAnsi" w:eastAsiaTheme="majorEastAsia" w:hAnsiTheme="majorHAnsi" w:cstheme="majorBidi"/>
      <w:b/>
      <w:bCs/>
      <w:sz w:val="48"/>
      <w:szCs w:val="48"/>
    </w:rPr>
  </w:style>
  <w:style w:type="paragraph" w:styleId="ab">
    <w:name w:val="No Spacing"/>
    <w:uiPriority w:val="1"/>
    <w:qFormat/>
    <w:rsid w:val="00CF52A1"/>
    <w:pPr>
      <w:widowControl w:val="0"/>
    </w:pPr>
  </w:style>
  <w:style w:type="character" w:styleId="ac">
    <w:name w:val="Placeholder Text"/>
    <w:basedOn w:val="a0"/>
    <w:uiPriority w:val="99"/>
    <w:semiHidden/>
    <w:rsid w:val="004C3825"/>
    <w:rPr>
      <w:color w:val="808080"/>
    </w:rPr>
  </w:style>
  <w:style w:type="character" w:customStyle="1" w:styleId="katex-mathml">
    <w:name w:val="katex-mathml"/>
    <w:basedOn w:val="a0"/>
    <w:rsid w:val="00FE0409"/>
  </w:style>
  <w:style w:type="character" w:customStyle="1" w:styleId="mord">
    <w:name w:val="mord"/>
    <w:basedOn w:val="a0"/>
    <w:rsid w:val="00FE0409"/>
  </w:style>
  <w:style w:type="character" w:customStyle="1" w:styleId="vlist-s">
    <w:name w:val="vlist-s"/>
    <w:basedOn w:val="a0"/>
    <w:rsid w:val="00457714"/>
  </w:style>
  <w:style w:type="character" w:styleId="ad">
    <w:name w:val="Emphasis"/>
    <w:basedOn w:val="a0"/>
    <w:uiPriority w:val="20"/>
    <w:qFormat/>
    <w:rsid w:val="00C97987"/>
    <w:rPr>
      <w:i/>
      <w:iCs/>
    </w:rPr>
  </w:style>
  <w:style w:type="character" w:styleId="ae">
    <w:name w:val="FollowedHyperlink"/>
    <w:basedOn w:val="a0"/>
    <w:uiPriority w:val="99"/>
    <w:semiHidden/>
    <w:unhideWhenUsed/>
    <w:rsid w:val="00613935"/>
    <w:rPr>
      <w:color w:val="954F72" w:themeColor="followedHyperlink"/>
      <w:u w:val="single"/>
    </w:rPr>
  </w:style>
  <w:style w:type="character" w:customStyle="1" w:styleId="12">
    <w:name w:val="未解析的提及項目1"/>
    <w:basedOn w:val="a0"/>
    <w:uiPriority w:val="99"/>
    <w:semiHidden/>
    <w:unhideWhenUsed/>
    <w:rsid w:val="00613935"/>
    <w:rPr>
      <w:color w:val="605E5C"/>
      <w:shd w:val="clear" w:color="auto" w:fill="E1DFDD"/>
    </w:rPr>
  </w:style>
  <w:style w:type="character" w:customStyle="1" w:styleId="relative">
    <w:name w:val="relative"/>
    <w:basedOn w:val="a0"/>
    <w:rsid w:val="007914C2"/>
  </w:style>
  <w:style w:type="character" w:customStyle="1" w:styleId="ml-1">
    <w:name w:val="ml-1"/>
    <w:basedOn w:val="a0"/>
    <w:rsid w:val="00844379"/>
  </w:style>
  <w:style w:type="character" w:customStyle="1" w:styleId="max-w-full">
    <w:name w:val="max-w-full"/>
    <w:basedOn w:val="a0"/>
    <w:rsid w:val="00844379"/>
  </w:style>
  <w:style w:type="character" w:customStyle="1" w:styleId="-mr-1">
    <w:name w:val="-mr-1"/>
    <w:basedOn w:val="a0"/>
    <w:rsid w:val="00844379"/>
  </w:style>
  <w:style w:type="paragraph" w:styleId="af">
    <w:name w:val="Date"/>
    <w:basedOn w:val="a"/>
    <w:next w:val="a"/>
    <w:link w:val="af0"/>
    <w:uiPriority w:val="99"/>
    <w:semiHidden/>
    <w:unhideWhenUsed/>
    <w:rsid w:val="00E14163"/>
    <w:pPr>
      <w:jc w:val="right"/>
    </w:pPr>
  </w:style>
  <w:style w:type="character" w:customStyle="1" w:styleId="af0">
    <w:name w:val="日期 字元"/>
    <w:basedOn w:val="a0"/>
    <w:link w:val="af"/>
    <w:uiPriority w:val="99"/>
    <w:semiHidden/>
    <w:rsid w:val="00E14163"/>
  </w:style>
  <w:style w:type="character" w:styleId="af1">
    <w:name w:val="annotation reference"/>
    <w:basedOn w:val="a0"/>
    <w:uiPriority w:val="99"/>
    <w:semiHidden/>
    <w:unhideWhenUsed/>
    <w:rsid w:val="006F1A53"/>
    <w:rPr>
      <w:sz w:val="18"/>
      <w:szCs w:val="18"/>
    </w:rPr>
  </w:style>
  <w:style w:type="paragraph" w:styleId="af2">
    <w:name w:val="annotation text"/>
    <w:basedOn w:val="a"/>
    <w:link w:val="af3"/>
    <w:uiPriority w:val="99"/>
    <w:semiHidden/>
    <w:unhideWhenUsed/>
    <w:rsid w:val="006F1A53"/>
  </w:style>
  <w:style w:type="character" w:customStyle="1" w:styleId="af3">
    <w:name w:val="註解文字 字元"/>
    <w:basedOn w:val="a0"/>
    <w:link w:val="af2"/>
    <w:uiPriority w:val="99"/>
    <w:semiHidden/>
    <w:rsid w:val="006F1A53"/>
  </w:style>
  <w:style w:type="paragraph" w:styleId="af4">
    <w:name w:val="annotation subject"/>
    <w:basedOn w:val="af2"/>
    <w:next w:val="af2"/>
    <w:link w:val="af5"/>
    <w:uiPriority w:val="99"/>
    <w:semiHidden/>
    <w:unhideWhenUsed/>
    <w:rsid w:val="006F1A53"/>
    <w:rPr>
      <w:b/>
      <w:bCs/>
    </w:rPr>
  </w:style>
  <w:style w:type="character" w:customStyle="1" w:styleId="af5">
    <w:name w:val="註解主旨 字元"/>
    <w:basedOn w:val="af3"/>
    <w:link w:val="af4"/>
    <w:uiPriority w:val="99"/>
    <w:semiHidden/>
    <w:rsid w:val="006F1A53"/>
    <w:rPr>
      <w:b/>
      <w:bCs/>
    </w:rPr>
  </w:style>
  <w:style w:type="paragraph" w:styleId="af6">
    <w:name w:val="Balloon Text"/>
    <w:basedOn w:val="a"/>
    <w:link w:val="af7"/>
    <w:uiPriority w:val="99"/>
    <w:semiHidden/>
    <w:unhideWhenUsed/>
    <w:rsid w:val="006F1A53"/>
    <w:rPr>
      <w:rFonts w:asciiTheme="majorHAnsi" w:eastAsiaTheme="majorEastAsia" w:hAnsiTheme="majorHAnsi" w:cstheme="majorBidi"/>
      <w:sz w:val="18"/>
      <w:szCs w:val="18"/>
    </w:rPr>
  </w:style>
  <w:style w:type="character" w:customStyle="1" w:styleId="af7">
    <w:name w:val="註解方塊文字 字元"/>
    <w:basedOn w:val="a0"/>
    <w:link w:val="af6"/>
    <w:uiPriority w:val="99"/>
    <w:semiHidden/>
    <w:rsid w:val="006F1A53"/>
    <w:rPr>
      <w:rFonts w:asciiTheme="majorHAnsi" w:eastAsiaTheme="majorEastAsia" w:hAnsiTheme="majorHAnsi" w:cstheme="majorBidi"/>
      <w:sz w:val="18"/>
      <w:szCs w:val="18"/>
    </w:rPr>
  </w:style>
  <w:style w:type="paragraph" w:styleId="af8">
    <w:name w:val="Revision"/>
    <w:hidden/>
    <w:uiPriority w:val="99"/>
    <w:semiHidden/>
    <w:rsid w:val="00FC0BE1"/>
  </w:style>
  <w:style w:type="paragraph" w:customStyle="1" w:styleId="13">
    <w:name w:val="內文1"/>
    <w:rsid w:val="003C5BE6"/>
    <w:pPr>
      <w:widowControl w:val="0"/>
      <w:adjustRightInd w:val="0"/>
      <w:spacing w:line="360" w:lineRule="atLeast"/>
      <w:textAlignment w:val="baseline"/>
    </w:pPr>
    <w:rPr>
      <w:rFonts w:ascii="細明體" w:eastAsia="細明體" w:hAnsi="Times New Roman" w:cs="Times New Roman"/>
      <w:kern w:val="0"/>
      <w:szCs w:val="20"/>
    </w:rPr>
  </w:style>
  <w:style w:type="character" w:customStyle="1" w:styleId="UnresolvedMention">
    <w:name w:val="Unresolved Mention"/>
    <w:basedOn w:val="a0"/>
    <w:uiPriority w:val="99"/>
    <w:semiHidden/>
    <w:unhideWhenUsed/>
    <w:rsid w:val="007E4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57853">
      <w:bodyDiv w:val="1"/>
      <w:marLeft w:val="0"/>
      <w:marRight w:val="0"/>
      <w:marTop w:val="0"/>
      <w:marBottom w:val="0"/>
      <w:divBdr>
        <w:top w:val="none" w:sz="0" w:space="0" w:color="auto"/>
        <w:left w:val="none" w:sz="0" w:space="0" w:color="auto"/>
        <w:bottom w:val="none" w:sz="0" w:space="0" w:color="auto"/>
        <w:right w:val="none" w:sz="0" w:space="0" w:color="auto"/>
      </w:divBdr>
    </w:div>
    <w:div w:id="80758683">
      <w:bodyDiv w:val="1"/>
      <w:marLeft w:val="0"/>
      <w:marRight w:val="0"/>
      <w:marTop w:val="0"/>
      <w:marBottom w:val="0"/>
      <w:divBdr>
        <w:top w:val="none" w:sz="0" w:space="0" w:color="auto"/>
        <w:left w:val="none" w:sz="0" w:space="0" w:color="auto"/>
        <w:bottom w:val="none" w:sz="0" w:space="0" w:color="auto"/>
        <w:right w:val="none" w:sz="0" w:space="0" w:color="auto"/>
      </w:divBdr>
    </w:div>
    <w:div w:id="83261066">
      <w:bodyDiv w:val="1"/>
      <w:marLeft w:val="0"/>
      <w:marRight w:val="0"/>
      <w:marTop w:val="0"/>
      <w:marBottom w:val="0"/>
      <w:divBdr>
        <w:top w:val="none" w:sz="0" w:space="0" w:color="auto"/>
        <w:left w:val="none" w:sz="0" w:space="0" w:color="auto"/>
        <w:bottom w:val="none" w:sz="0" w:space="0" w:color="auto"/>
        <w:right w:val="none" w:sz="0" w:space="0" w:color="auto"/>
      </w:divBdr>
    </w:div>
    <w:div w:id="120925825">
      <w:bodyDiv w:val="1"/>
      <w:marLeft w:val="0"/>
      <w:marRight w:val="0"/>
      <w:marTop w:val="0"/>
      <w:marBottom w:val="0"/>
      <w:divBdr>
        <w:top w:val="none" w:sz="0" w:space="0" w:color="auto"/>
        <w:left w:val="none" w:sz="0" w:space="0" w:color="auto"/>
        <w:bottom w:val="none" w:sz="0" w:space="0" w:color="auto"/>
        <w:right w:val="none" w:sz="0" w:space="0" w:color="auto"/>
      </w:divBdr>
    </w:div>
    <w:div w:id="150951807">
      <w:bodyDiv w:val="1"/>
      <w:marLeft w:val="0"/>
      <w:marRight w:val="0"/>
      <w:marTop w:val="0"/>
      <w:marBottom w:val="0"/>
      <w:divBdr>
        <w:top w:val="none" w:sz="0" w:space="0" w:color="auto"/>
        <w:left w:val="none" w:sz="0" w:space="0" w:color="auto"/>
        <w:bottom w:val="none" w:sz="0" w:space="0" w:color="auto"/>
        <w:right w:val="none" w:sz="0" w:space="0" w:color="auto"/>
      </w:divBdr>
    </w:div>
    <w:div w:id="159928691">
      <w:bodyDiv w:val="1"/>
      <w:marLeft w:val="0"/>
      <w:marRight w:val="0"/>
      <w:marTop w:val="0"/>
      <w:marBottom w:val="0"/>
      <w:divBdr>
        <w:top w:val="none" w:sz="0" w:space="0" w:color="auto"/>
        <w:left w:val="none" w:sz="0" w:space="0" w:color="auto"/>
        <w:bottom w:val="none" w:sz="0" w:space="0" w:color="auto"/>
        <w:right w:val="none" w:sz="0" w:space="0" w:color="auto"/>
      </w:divBdr>
    </w:div>
    <w:div w:id="168448550">
      <w:bodyDiv w:val="1"/>
      <w:marLeft w:val="0"/>
      <w:marRight w:val="0"/>
      <w:marTop w:val="0"/>
      <w:marBottom w:val="0"/>
      <w:divBdr>
        <w:top w:val="none" w:sz="0" w:space="0" w:color="auto"/>
        <w:left w:val="none" w:sz="0" w:space="0" w:color="auto"/>
        <w:bottom w:val="none" w:sz="0" w:space="0" w:color="auto"/>
        <w:right w:val="none" w:sz="0" w:space="0" w:color="auto"/>
      </w:divBdr>
    </w:div>
    <w:div w:id="170530482">
      <w:bodyDiv w:val="1"/>
      <w:marLeft w:val="0"/>
      <w:marRight w:val="0"/>
      <w:marTop w:val="0"/>
      <w:marBottom w:val="0"/>
      <w:divBdr>
        <w:top w:val="none" w:sz="0" w:space="0" w:color="auto"/>
        <w:left w:val="none" w:sz="0" w:space="0" w:color="auto"/>
        <w:bottom w:val="none" w:sz="0" w:space="0" w:color="auto"/>
        <w:right w:val="none" w:sz="0" w:space="0" w:color="auto"/>
      </w:divBdr>
      <w:divsChild>
        <w:div w:id="1266498651">
          <w:marLeft w:val="0"/>
          <w:marRight w:val="0"/>
          <w:marTop w:val="0"/>
          <w:marBottom w:val="0"/>
          <w:divBdr>
            <w:top w:val="none" w:sz="0" w:space="0" w:color="auto"/>
            <w:left w:val="none" w:sz="0" w:space="0" w:color="auto"/>
            <w:bottom w:val="none" w:sz="0" w:space="0" w:color="auto"/>
            <w:right w:val="none" w:sz="0" w:space="0" w:color="auto"/>
          </w:divBdr>
        </w:div>
      </w:divsChild>
    </w:div>
    <w:div w:id="180969516">
      <w:bodyDiv w:val="1"/>
      <w:marLeft w:val="0"/>
      <w:marRight w:val="0"/>
      <w:marTop w:val="0"/>
      <w:marBottom w:val="0"/>
      <w:divBdr>
        <w:top w:val="none" w:sz="0" w:space="0" w:color="auto"/>
        <w:left w:val="none" w:sz="0" w:space="0" w:color="auto"/>
        <w:bottom w:val="none" w:sz="0" w:space="0" w:color="auto"/>
        <w:right w:val="none" w:sz="0" w:space="0" w:color="auto"/>
      </w:divBdr>
    </w:div>
    <w:div w:id="191382926">
      <w:bodyDiv w:val="1"/>
      <w:marLeft w:val="0"/>
      <w:marRight w:val="0"/>
      <w:marTop w:val="0"/>
      <w:marBottom w:val="0"/>
      <w:divBdr>
        <w:top w:val="none" w:sz="0" w:space="0" w:color="auto"/>
        <w:left w:val="none" w:sz="0" w:space="0" w:color="auto"/>
        <w:bottom w:val="none" w:sz="0" w:space="0" w:color="auto"/>
        <w:right w:val="none" w:sz="0" w:space="0" w:color="auto"/>
      </w:divBdr>
    </w:div>
    <w:div w:id="210116491">
      <w:bodyDiv w:val="1"/>
      <w:marLeft w:val="0"/>
      <w:marRight w:val="0"/>
      <w:marTop w:val="0"/>
      <w:marBottom w:val="0"/>
      <w:divBdr>
        <w:top w:val="none" w:sz="0" w:space="0" w:color="auto"/>
        <w:left w:val="none" w:sz="0" w:space="0" w:color="auto"/>
        <w:bottom w:val="none" w:sz="0" w:space="0" w:color="auto"/>
        <w:right w:val="none" w:sz="0" w:space="0" w:color="auto"/>
      </w:divBdr>
    </w:div>
    <w:div w:id="308900473">
      <w:bodyDiv w:val="1"/>
      <w:marLeft w:val="0"/>
      <w:marRight w:val="0"/>
      <w:marTop w:val="0"/>
      <w:marBottom w:val="0"/>
      <w:divBdr>
        <w:top w:val="none" w:sz="0" w:space="0" w:color="auto"/>
        <w:left w:val="none" w:sz="0" w:space="0" w:color="auto"/>
        <w:bottom w:val="none" w:sz="0" w:space="0" w:color="auto"/>
        <w:right w:val="none" w:sz="0" w:space="0" w:color="auto"/>
      </w:divBdr>
    </w:div>
    <w:div w:id="353726797">
      <w:bodyDiv w:val="1"/>
      <w:marLeft w:val="0"/>
      <w:marRight w:val="0"/>
      <w:marTop w:val="0"/>
      <w:marBottom w:val="0"/>
      <w:divBdr>
        <w:top w:val="none" w:sz="0" w:space="0" w:color="auto"/>
        <w:left w:val="none" w:sz="0" w:space="0" w:color="auto"/>
        <w:bottom w:val="none" w:sz="0" w:space="0" w:color="auto"/>
        <w:right w:val="none" w:sz="0" w:space="0" w:color="auto"/>
      </w:divBdr>
    </w:div>
    <w:div w:id="428090085">
      <w:bodyDiv w:val="1"/>
      <w:marLeft w:val="0"/>
      <w:marRight w:val="0"/>
      <w:marTop w:val="0"/>
      <w:marBottom w:val="0"/>
      <w:divBdr>
        <w:top w:val="none" w:sz="0" w:space="0" w:color="auto"/>
        <w:left w:val="none" w:sz="0" w:space="0" w:color="auto"/>
        <w:bottom w:val="none" w:sz="0" w:space="0" w:color="auto"/>
        <w:right w:val="none" w:sz="0" w:space="0" w:color="auto"/>
      </w:divBdr>
      <w:divsChild>
        <w:div w:id="1126119665">
          <w:marLeft w:val="0"/>
          <w:marRight w:val="0"/>
          <w:marTop w:val="0"/>
          <w:marBottom w:val="0"/>
          <w:divBdr>
            <w:top w:val="none" w:sz="0" w:space="0" w:color="auto"/>
            <w:left w:val="none" w:sz="0" w:space="0" w:color="auto"/>
            <w:bottom w:val="none" w:sz="0" w:space="0" w:color="auto"/>
            <w:right w:val="none" w:sz="0" w:space="0" w:color="auto"/>
          </w:divBdr>
        </w:div>
      </w:divsChild>
    </w:div>
    <w:div w:id="453138571">
      <w:bodyDiv w:val="1"/>
      <w:marLeft w:val="0"/>
      <w:marRight w:val="0"/>
      <w:marTop w:val="0"/>
      <w:marBottom w:val="0"/>
      <w:divBdr>
        <w:top w:val="none" w:sz="0" w:space="0" w:color="auto"/>
        <w:left w:val="none" w:sz="0" w:space="0" w:color="auto"/>
        <w:bottom w:val="none" w:sz="0" w:space="0" w:color="auto"/>
        <w:right w:val="none" w:sz="0" w:space="0" w:color="auto"/>
      </w:divBdr>
    </w:div>
    <w:div w:id="491678969">
      <w:bodyDiv w:val="1"/>
      <w:marLeft w:val="0"/>
      <w:marRight w:val="0"/>
      <w:marTop w:val="0"/>
      <w:marBottom w:val="0"/>
      <w:divBdr>
        <w:top w:val="none" w:sz="0" w:space="0" w:color="auto"/>
        <w:left w:val="none" w:sz="0" w:space="0" w:color="auto"/>
        <w:bottom w:val="none" w:sz="0" w:space="0" w:color="auto"/>
        <w:right w:val="none" w:sz="0" w:space="0" w:color="auto"/>
      </w:divBdr>
    </w:div>
    <w:div w:id="525287491">
      <w:bodyDiv w:val="1"/>
      <w:marLeft w:val="0"/>
      <w:marRight w:val="0"/>
      <w:marTop w:val="0"/>
      <w:marBottom w:val="0"/>
      <w:divBdr>
        <w:top w:val="none" w:sz="0" w:space="0" w:color="auto"/>
        <w:left w:val="none" w:sz="0" w:space="0" w:color="auto"/>
        <w:bottom w:val="none" w:sz="0" w:space="0" w:color="auto"/>
        <w:right w:val="none" w:sz="0" w:space="0" w:color="auto"/>
      </w:divBdr>
    </w:div>
    <w:div w:id="540214194">
      <w:bodyDiv w:val="1"/>
      <w:marLeft w:val="0"/>
      <w:marRight w:val="0"/>
      <w:marTop w:val="0"/>
      <w:marBottom w:val="0"/>
      <w:divBdr>
        <w:top w:val="none" w:sz="0" w:space="0" w:color="auto"/>
        <w:left w:val="none" w:sz="0" w:space="0" w:color="auto"/>
        <w:bottom w:val="none" w:sz="0" w:space="0" w:color="auto"/>
        <w:right w:val="none" w:sz="0" w:space="0" w:color="auto"/>
      </w:divBdr>
    </w:div>
    <w:div w:id="548302008">
      <w:bodyDiv w:val="1"/>
      <w:marLeft w:val="0"/>
      <w:marRight w:val="0"/>
      <w:marTop w:val="0"/>
      <w:marBottom w:val="0"/>
      <w:divBdr>
        <w:top w:val="none" w:sz="0" w:space="0" w:color="auto"/>
        <w:left w:val="none" w:sz="0" w:space="0" w:color="auto"/>
        <w:bottom w:val="none" w:sz="0" w:space="0" w:color="auto"/>
        <w:right w:val="none" w:sz="0" w:space="0" w:color="auto"/>
      </w:divBdr>
    </w:div>
    <w:div w:id="559052207">
      <w:bodyDiv w:val="1"/>
      <w:marLeft w:val="0"/>
      <w:marRight w:val="0"/>
      <w:marTop w:val="0"/>
      <w:marBottom w:val="0"/>
      <w:divBdr>
        <w:top w:val="none" w:sz="0" w:space="0" w:color="auto"/>
        <w:left w:val="none" w:sz="0" w:space="0" w:color="auto"/>
        <w:bottom w:val="none" w:sz="0" w:space="0" w:color="auto"/>
        <w:right w:val="none" w:sz="0" w:space="0" w:color="auto"/>
      </w:divBdr>
    </w:div>
    <w:div w:id="570500830">
      <w:bodyDiv w:val="1"/>
      <w:marLeft w:val="0"/>
      <w:marRight w:val="0"/>
      <w:marTop w:val="0"/>
      <w:marBottom w:val="0"/>
      <w:divBdr>
        <w:top w:val="none" w:sz="0" w:space="0" w:color="auto"/>
        <w:left w:val="none" w:sz="0" w:space="0" w:color="auto"/>
        <w:bottom w:val="none" w:sz="0" w:space="0" w:color="auto"/>
        <w:right w:val="none" w:sz="0" w:space="0" w:color="auto"/>
      </w:divBdr>
    </w:div>
    <w:div w:id="587084459">
      <w:bodyDiv w:val="1"/>
      <w:marLeft w:val="0"/>
      <w:marRight w:val="0"/>
      <w:marTop w:val="0"/>
      <w:marBottom w:val="0"/>
      <w:divBdr>
        <w:top w:val="none" w:sz="0" w:space="0" w:color="auto"/>
        <w:left w:val="none" w:sz="0" w:space="0" w:color="auto"/>
        <w:bottom w:val="none" w:sz="0" w:space="0" w:color="auto"/>
        <w:right w:val="none" w:sz="0" w:space="0" w:color="auto"/>
      </w:divBdr>
      <w:divsChild>
        <w:div w:id="48387019">
          <w:marLeft w:val="0"/>
          <w:marRight w:val="0"/>
          <w:marTop w:val="0"/>
          <w:marBottom w:val="0"/>
          <w:divBdr>
            <w:top w:val="none" w:sz="0" w:space="0" w:color="auto"/>
            <w:left w:val="none" w:sz="0" w:space="0" w:color="auto"/>
            <w:bottom w:val="none" w:sz="0" w:space="0" w:color="auto"/>
            <w:right w:val="none" w:sz="0" w:space="0" w:color="auto"/>
          </w:divBdr>
        </w:div>
      </w:divsChild>
    </w:div>
    <w:div w:id="614794382">
      <w:bodyDiv w:val="1"/>
      <w:marLeft w:val="0"/>
      <w:marRight w:val="0"/>
      <w:marTop w:val="0"/>
      <w:marBottom w:val="0"/>
      <w:divBdr>
        <w:top w:val="none" w:sz="0" w:space="0" w:color="auto"/>
        <w:left w:val="none" w:sz="0" w:space="0" w:color="auto"/>
        <w:bottom w:val="none" w:sz="0" w:space="0" w:color="auto"/>
        <w:right w:val="none" w:sz="0" w:space="0" w:color="auto"/>
      </w:divBdr>
    </w:div>
    <w:div w:id="632828471">
      <w:bodyDiv w:val="1"/>
      <w:marLeft w:val="0"/>
      <w:marRight w:val="0"/>
      <w:marTop w:val="0"/>
      <w:marBottom w:val="0"/>
      <w:divBdr>
        <w:top w:val="none" w:sz="0" w:space="0" w:color="auto"/>
        <w:left w:val="none" w:sz="0" w:space="0" w:color="auto"/>
        <w:bottom w:val="none" w:sz="0" w:space="0" w:color="auto"/>
        <w:right w:val="none" w:sz="0" w:space="0" w:color="auto"/>
      </w:divBdr>
    </w:div>
    <w:div w:id="643973603">
      <w:bodyDiv w:val="1"/>
      <w:marLeft w:val="0"/>
      <w:marRight w:val="0"/>
      <w:marTop w:val="0"/>
      <w:marBottom w:val="0"/>
      <w:divBdr>
        <w:top w:val="none" w:sz="0" w:space="0" w:color="auto"/>
        <w:left w:val="none" w:sz="0" w:space="0" w:color="auto"/>
        <w:bottom w:val="none" w:sz="0" w:space="0" w:color="auto"/>
        <w:right w:val="none" w:sz="0" w:space="0" w:color="auto"/>
      </w:divBdr>
    </w:div>
    <w:div w:id="645621836">
      <w:bodyDiv w:val="1"/>
      <w:marLeft w:val="0"/>
      <w:marRight w:val="0"/>
      <w:marTop w:val="0"/>
      <w:marBottom w:val="0"/>
      <w:divBdr>
        <w:top w:val="none" w:sz="0" w:space="0" w:color="auto"/>
        <w:left w:val="none" w:sz="0" w:space="0" w:color="auto"/>
        <w:bottom w:val="none" w:sz="0" w:space="0" w:color="auto"/>
        <w:right w:val="none" w:sz="0" w:space="0" w:color="auto"/>
      </w:divBdr>
    </w:div>
    <w:div w:id="665747103">
      <w:bodyDiv w:val="1"/>
      <w:marLeft w:val="0"/>
      <w:marRight w:val="0"/>
      <w:marTop w:val="0"/>
      <w:marBottom w:val="0"/>
      <w:divBdr>
        <w:top w:val="none" w:sz="0" w:space="0" w:color="auto"/>
        <w:left w:val="none" w:sz="0" w:space="0" w:color="auto"/>
        <w:bottom w:val="none" w:sz="0" w:space="0" w:color="auto"/>
        <w:right w:val="none" w:sz="0" w:space="0" w:color="auto"/>
      </w:divBdr>
    </w:div>
    <w:div w:id="756825250">
      <w:bodyDiv w:val="1"/>
      <w:marLeft w:val="0"/>
      <w:marRight w:val="0"/>
      <w:marTop w:val="0"/>
      <w:marBottom w:val="0"/>
      <w:divBdr>
        <w:top w:val="none" w:sz="0" w:space="0" w:color="auto"/>
        <w:left w:val="none" w:sz="0" w:space="0" w:color="auto"/>
        <w:bottom w:val="none" w:sz="0" w:space="0" w:color="auto"/>
        <w:right w:val="none" w:sz="0" w:space="0" w:color="auto"/>
      </w:divBdr>
    </w:div>
    <w:div w:id="796726711">
      <w:bodyDiv w:val="1"/>
      <w:marLeft w:val="0"/>
      <w:marRight w:val="0"/>
      <w:marTop w:val="0"/>
      <w:marBottom w:val="0"/>
      <w:divBdr>
        <w:top w:val="none" w:sz="0" w:space="0" w:color="auto"/>
        <w:left w:val="none" w:sz="0" w:space="0" w:color="auto"/>
        <w:bottom w:val="none" w:sz="0" w:space="0" w:color="auto"/>
        <w:right w:val="none" w:sz="0" w:space="0" w:color="auto"/>
      </w:divBdr>
    </w:div>
    <w:div w:id="837429498">
      <w:bodyDiv w:val="1"/>
      <w:marLeft w:val="0"/>
      <w:marRight w:val="0"/>
      <w:marTop w:val="0"/>
      <w:marBottom w:val="0"/>
      <w:divBdr>
        <w:top w:val="none" w:sz="0" w:space="0" w:color="auto"/>
        <w:left w:val="none" w:sz="0" w:space="0" w:color="auto"/>
        <w:bottom w:val="none" w:sz="0" w:space="0" w:color="auto"/>
        <w:right w:val="none" w:sz="0" w:space="0" w:color="auto"/>
      </w:divBdr>
    </w:div>
    <w:div w:id="856191467">
      <w:bodyDiv w:val="1"/>
      <w:marLeft w:val="0"/>
      <w:marRight w:val="0"/>
      <w:marTop w:val="0"/>
      <w:marBottom w:val="0"/>
      <w:divBdr>
        <w:top w:val="none" w:sz="0" w:space="0" w:color="auto"/>
        <w:left w:val="none" w:sz="0" w:space="0" w:color="auto"/>
        <w:bottom w:val="none" w:sz="0" w:space="0" w:color="auto"/>
        <w:right w:val="none" w:sz="0" w:space="0" w:color="auto"/>
      </w:divBdr>
      <w:divsChild>
        <w:div w:id="1446923014">
          <w:marLeft w:val="0"/>
          <w:marRight w:val="0"/>
          <w:marTop w:val="0"/>
          <w:marBottom w:val="0"/>
          <w:divBdr>
            <w:top w:val="none" w:sz="0" w:space="0" w:color="auto"/>
            <w:left w:val="none" w:sz="0" w:space="0" w:color="auto"/>
            <w:bottom w:val="none" w:sz="0" w:space="0" w:color="auto"/>
            <w:right w:val="none" w:sz="0" w:space="0" w:color="auto"/>
          </w:divBdr>
          <w:divsChild>
            <w:div w:id="812983394">
              <w:marLeft w:val="0"/>
              <w:marRight w:val="0"/>
              <w:marTop w:val="0"/>
              <w:marBottom w:val="0"/>
              <w:divBdr>
                <w:top w:val="none" w:sz="0" w:space="0" w:color="auto"/>
                <w:left w:val="none" w:sz="0" w:space="0" w:color="auto"/>
                <w:bottom w:val="none" w:sz="0" w:space="0" w:color="auto"/>
                <w:right w:val="none" w:sz="0" w:space="0" w:color="auto"/>
              </w:divBdr>
              <w:divsChild>
                <w:div w:id="2009668247">
                  <w:marLeft w:val="0"/>
                  <w:marRight w:val="0"/>
                  <w:marTop w:val="0"/>
                  <w:marBottom w:val="0"/>
                  <w:divBdr>
                    <w:top w:val="none" w:sz="0" w:space="0" w:color="auto"/>
                    <w:left w:val="none" w:sz="0" w:space="0" w:color="auto"/>
                    <w:bottom w:val="none" w:sz="0" w:space="0" w:color="auto"/>
                    <w:right w:val="none" w:sz="0" w:space="0" w:color="auto"/>
                  </w:divBdr>
                  <w:divsChild>
                    <w:div w:id="625427567">
                      <w:marLeft w:val="0"/>
                      <w:marRight w:val="0"/>
                      <w:marTop w:val="0"/>
                      <w:marBottom w:val="0"/>
                      <w:divBdr>
                        <w:top w:val="none" w:sz="0" w:space="0" w:color="auto"/>
                        <w:left w:val="none" w:sz="0" w:space="0" w:color="auto"/>
                        <w:bottom w:val="none" w:sz="0" w:space="0" w:color="auto"/>
                        <w:right w:val="none" w:sz="0" w:space="0" w:color="auto"/>
                      </w:divBdr>
                      <w:divsChild>
                        <w:div w:id="894123920">
                          <w:marLeft w:val="0"/>
                          <w:marRight w:val="0"/>
                          <w:marTop w:val="0"/>
                          <w:marBottom w:val="0"/>
                          <w:divBdr>
                            <w:top w:val="none" w:sz="0" w:space="0" w:color="auto"/>
                            <w:left w:val="none" w:sz="0" w:space="0" w:color="auto"/>
                            <w:bottom w:val="none" w:sz="0" w:space="0" w:color="auto"/>
                            <w:right w:val="none" w:sz="0" w:space="0" w:color="auto"/>
                          </w:divBdr>
                          <w:divsChild>
                            <w:div w:id="811290357">
                              <w:marLeft w:val="0"/>
                              <w:marRight w:val="0"/>
                              <w:marTop w:val="0"/>
                              <w:marBottom w:val="0"/>
                              <w:divBdr>
                                <w:top w:val="none" w:sz="0" w:space="0" w:color="auto"/>
                                <w:left w:val="none" w:sz="0" w:space="0" w:color="auto"/>
                                <w:bottom w:val="none" w:sz="0" w:space="0" w:color="auto"/>
                                <w:right w:val="none" w:sz="0" w:space="0" w:color="auto"/>
                              </w:divBdr>
                              <w:divsChild>
                                <w:div w:id="2113279616">
                                  <w:marLeft w:val="0"/>
                                  <w:marRight w:val="0"/>
                                  <w:marTop w:val="0"/>
                                  <w:marBottom w:val="0"/>
                                  <w:divBdr>
                                    <w:top w:val="none" w:sz="0" w:space="0" w:color="auto"/>
                                    <w:left w:val="none" w:sz="0" w:space="0" w:color="auto"/>
                                    <w:bottom w:val="none" w:sz="0" w:space="0" w:color="auto"/>
                                    <w:right w:val="none" w:sz="0" w:space="0" w:color="auto"/>
                                  </w:divBdr>
                                  <w:divsChild>
                                    <w:div w:id="12048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846457">
      <w:bodyDiv w:val="1"/>
      <w:marLeft w:val="0"/>
      <w:marRight w:val="0"/>
      <w:marTop w:val="0"/>
      <w:marBottom w:val="0"/>
      <w:divBdr>
        <w:top w:val="none" w:sz="0" w:space="0" w:color="auto"/>
        <w:left w:val="none" w:sz="0" w:space="0" w:color="auto"/>
        <w:bottom w:val="none" w:sz="0" w:space="0" w:color="auto"/>
        <w:right w:val="none" w:sz="0" w:space="0" w:color="auto"/>
      </w:divBdr>
    </w:div>
    <w:div w:id="916599960">
      <w:bodyDiv w:val="1"/>
      <w:marLeft w:val="0"/>
      <w:marRight w:val="0"/>
      <w:marTop w:val="0"/>
      <w:marBottom w:val="0"/>
      <w:divBdr>
        <w:top w:val="none" w:sz="0" w:space="0" w:color="auto"/>
        <w:left w:val="none" w:sz="0" w:space="0" w:color="auto"/>
        <w:bottom w:val="none" w:sz="0" w:space="0" w:color="auto"/>
        <w:right w:val="none" w:sz="0" w:space="0" w:color="auto"/>
      </w:divBdr>
    </w:div>
    <w:div w:id="977759741">
      <w:bodyDiv w:val="1"/>
      <w:marLeft w:val="0"/>
      <w:marRight w:val="0"/>
      <w:marTop w:val="0"/>
      <w:marBottom w:val="0"/>
      <w:divBdr>
        <w:top w:val="none" w:sz="0" w:space="0" w:color="auto"/>
        <w:left w:val="none" w:sz="0" w:space="0" w:color="auto"/>
        <w:bottom w:val="none" w:sz="0" w:space="0" w:color="auto"/>
        <w:right w:val="none" w:sz="0" w:space="0" w:color="auto"/>
      </w:divBdr>
    </w:div>
    <w:div w:id="997920662">
      <w:bodyDiv w:val="1"/>
      <w:marLeft w:val="0"/>
      <w:marRight w:val="0"/>
      <w:marTop w:val="0"/>
      <w:marBottom w:val="0"/>
      <w:divBdr>
        <w:top w:val="none" w:sz="0" w:space="0" w:color="auto"/>
        <w:left w:val="none" w:sz="0" w:space="0" w:color="auto"/>
        <w:bottom w:val="none" w:sz="0" w:space="0" w:color="auto"/>
        <w:right w:val="none" w:sz="0" w:space="0" w:color="auto"/>
      </w:divBdr>
    </w:div>
    <w:div w:id="1049644881">
      <w:bodyDiv w:val="1"/>
      <w:marLeft w:val="0"/>
      <w:marRight w:val="0"/>
      <w:marTop w:val="0"/>
      <w:marBottom w:val="0"/>
      <w:divBdr>
        <w:top w:val="none" w:sz="0" w:space="0" w:color="auto"/>
        <w:left w:val="none" w:sz="0" w:space="0" w:color="auto"/>
        <w:bottom w:val="none" w:sz="0" w:space="0" w:color="auto"/>
        <w:right w:val="none" w:sz="0" w:space="0" w:color="auto"/>
      </w:divBdr>
    </w:div>
    <w:div w:id="1078475089">
      <w:bodyDiv w:val="1"/>
      <w:marLeft w:val="0"/>
      <w:marRight w:val="0"/>
      <w:marTop w:val="0"/>
      <w:marBottom w:val="0"/>
      <w:divBdr>
        <w:top w:val="none" w:sz="0" w:space="0" w:color="auto"/>
        <w:left w:val="none" w:sz="0" w:space="0" w:color="auto"/>
        <w:bottom w:val="none" w:sz="0" w:space="0" w:color="auto"/>
        <w:right w:val="none" w:sz="0" w:space="0" w:color="auto"/>
      </w:divBdr>
    </w:div>
    <w:div w:id="1139686285">
      <w:bodyDiv w:val="1"/>
      <w:marLeft w:val="0"/>
      <w:marRight w:val="0"/>
      <w:marTop w:val="0"/>
      <w:marBottom w:val="0"/>
      <w:divBdr>
        <w:top w:val="none" w:sz="0" w:space="0" w:color="auto"/>
        <w:left w:val="none" w:sz="0" w:space="0" w:color="auto"/>
        <w:bottom w:val="none" w:sz="0" w:space="0" w:color="auto"/>
        <w:right w:val="none" w:sz="0" w:space="0" w:color="auto"/>
      </w:divBdr>
    </w:div>
    <w:div w:id="1166167827">
      <w:bodyDiv w:val="1"/>
      <w:marLeft w:val="0"/>
      <w:marRight w:val="0"/>
      <w:marTop w:val="0"/>
      <w:marBottom w:val="0"/>
      <w:divBdr>
        <w:top w:val="none" w:sz="0" w:space="0" w:color="auto"/>
        <w:left w:val="none" w:sz="0" w:space="0" w:color="auto"/>
        <w:bottom w:val="none" w:sz="0" w:space="0" w:color="auto"/>
        <w:right w:val="none" w:sz="0" w:space="0" w:color="auto"/>
      </w:divBdr>
    </w:div>
    <w:div w:id="1176309343">
      <w:bodyDiv w:val="1"/>
      <w:marLeft w:val="0"/>
      <w:marRight w:val="0"/>
      <w:marTop w:val="0"/>
      <w:marBottom w:val="0"/>
      <w:divBdr>
        <w:top w:val="none" w:sz="0" w:space="0" w:color="auto"/>
        <w:left w:val="none" w:sz="0" w:space="0" w:color="auto"/>
        <w:bottom w:val="none" w:sz="0" w:space="0" w:color="auto"/>
        <w:right w:val="none" w:sz="0" w:space="0" w:color="auto"/>
      </w:divBdr>
    </w:div>
    <w:div w:id="1226532071">
      <w:bodyDiv w:val="1"/>
      <w:marLeft w:val="0"/>
      <w:marRight w:val="0"/>
      <w:marTop w:val="0"/>
      <w:marBottom w:val="0"/>
      <w:divBdr>
        <w:top w:val="none" w:sz="0" w:space="0" w:color="auto"/>
        <w:left w:val="none" w:sz="0" w:space="0" w:color="auto"/>
        <w:bottom w:val="none" w:sz="0" w:space="0" w:color="auto"/>
        <w:right w:val="none" w:sz="0" w:space="0" w:color="auto"/>
      </w:divBdr>
    </w:div>
    <w:div w:id="1237546443">
      <w:bodyDiv w:val="1"/>
      <w:marLeft w:val="0"/>
      <w:marRight w:val="0"/>
      <w:marTop w:val="0"/>
      <w:marBottom w:val="0"/>
      <w:divBdr>
        <w:top w:val="none" w:sz="0" w:space="0" w:color="auto"/>
        <w:left w:val="none" w:sz="0" w:space="0" w:color="auto"/>
        <w:bottom w:val="none" w:sz="0" w:space="0" w:color="auto"/>
        <w:right w:val="none" w:sz="0" w:space="0" w:color="auto"/>
      </w:divBdr>
    </w:div>
    <w:div w:id="1306161783">
      <w:bodyDiv w:val="1"/>
      <w:marLeft w:val="0"/>
      <w:marRight w:val="0"/>
      <w:marTop w:val="0"/>
      <w:marBottom w:val="0"/>
      <w:divBdr>
        <w:top w:val="none" w:sz="0" w:space="0" w:color="auto"/>
        <w:left w:val="none" w:sz="0" w:space="0" w:color="auto"/>
        <w:bottom w:val="none" w:sz="0" w:space="0" w:color="auto"/>
        <w:right w:val="none" w:sz="0" w:space="0" w:color="auto"/>
      </w:divBdr>
    </w:div>
    <w:div w:id="1312977989">
      <w:bodyDiv w:val="1"/>
      <w:marLeft w:val="0"/>
      <w:marRight w:val="0"/>
      <w:marTop w:val="0"/>
      <w:marBottom w:val="0"/>
      <w:divBdr>
        <w:top w:val="none" w:sz="0" w:space="0" w:color="auto"/>
        <w:left w:val="none" w:sz="0" w:space="0" w:color="auto"/>
        <w:bottom w:val="none" w:sz="0" w:space="0" w:color="auto"/>
        <w:right w:val="none" w:sz="0" w:space="0" w:color="auto"/>
      </w:divBdr>
    </w:div>
    <w:div w:id="1318457354">
      <w:bodyDiv w:val="1"/>
      <w:marLeft w:val="0"/>
      <w:marRight w:val="0"/>
      <w:marTop w:val="0"/>
      <w:marBottom w:val="0"/>
      <w:divBdr>
        <w:top w:val="none" w:sz="0" w:space="0" w:color="auto"/>
        <w:left w:val="none" w:sz="0" w:space="0" w:color="auto"/>
        <w:bottom w:val="none" w:sz="0" w:space="0" w:color="auto"/>
        <w:right w:val="none" w:sz="0" w:space="0" w:color="auto"/>
      </w:divBdr>
    </w:div>
    <w:div w:id="1330713672">
      <w:bodyDiv w:val="1"/>
      <w:marLeft w:val="0"/>
      <w:marRight w:val="0"/>
      <w:marTop w:val="0"/>
      <w:marBottom w:val="0"/>
      <w:divBdr>
        <w:top w:val="none" w:sz="0" w:space="0" w:color="auto"/>
        <w:left w:val="none" w:sz="0" w:space="0" w:color="auto"/>
        <w:bottom w:val="none" w:sz="0" w:space="0" w:color="auto"/>
        <w:right w:val="none" w:sz="0" w:space="0" w:color="auto"/>
      </w:divBdr>
    </w:div>
    <w:div w:id="1342659058">
      <w:bodyDiv w:val="1"/>
      <w:marLeft w:val="0"/>
      <w:marRight w:val="0"/>
      <w:marTop w:val="0"/>
      <w:marBottom w:val="0"/>
      <w:divBdr>
        <w:top w:val="none" w:sz="0" w:space="0" w:color="auto"/>
        <w:left w:val="none" w:sz="0" w:space="0" w:color="auto"/>
        <w:bottom w:val="none" w:sz="0" w:space="0" w:color="auto"/>
        <w:right w:val="none" w:sz="0" w:space="0" w:color="auto"/>
      </w:divBdr>
    </w:div>
    <w:div w:id="1361933889">
      <w:bodyDiv w:val="1"/>
      <w:marLeft w:val="0"/>
      <w:marRight w:val="0"/>
      <w:marTop w:val="0"/>
      <w:marBottom w:val="0"/>
      <w:divBdr>
        <w:top w:val="none" w:sz="0" w:space="0" w:color="auto"/>
        <w:left w:val="none" w:sz="0" w:space="0" w:color="auto"/>
        <w:bottom w:val="none" w:sz="0" w:space="0" w:color="auto"/>
        <w:right w:val="none" w:sz="0" w:space="0" w:color="auto"/>
      </w:divBdr>
    </w:div>
    <w:div w:id="1373113525">
      <w:bodyDiv w:val="1"/>
      <w:marLeft w:val="0"/>
      <w:marRight w:val="0"/>
      <w:marTop w:val="0"/>
      <w:marBottom w:val="0"/>
      <w:divBdr>
        <w:top w:val="none" w:sz="0" w:space="0" w:color="auto"/>
        <w:left w:val="none" w:sz="0" w:space="0" w:color="auto"/>
        <w:bottom w:val="none" w:sz="0" w:space="0" w:color="auto"/>
        <w:right w:val="none" w:sz="0" w:space="0" w:color="auto"/>
      </w:divBdr>
    </w:div>
    <w:div w:id="1450706229">
      <w:bodyDiv w:val="1"/>
      <w:marLeft w:val="0"/>
      <w:marRight w:val="0"/>
      <w:marTop w:val="0"/>
      <w:marBottom w:val="0"/>
      <w:divBdr>
        <w:top w:val="none" w:sz="0" w:space="0" w:color="auto"/>
        <w:left w:val="none" w:sz="0" w:space="0" w:color="auto"/>
        <w:bottom w:val="none" w:sz="0" w:space="0" w:color="auto"/>
        <w:right w:val="none" w:sz="0" w:space="0" w:color="auto"/>
      </w:divBdr>
    </w:div>
    <w:div w:id="1466435073">
      <w:bodyDiv w:val="1"/>
      <w:marLeft w:val="0"/>
      <w:marRight w:val="0"/>
      <w:marTop w:val="0"/>
      <w:marBottom w:val="0"/>
      <w:divBdr>
        <w:top w:val="none" w:sz="0" w:space="0" w:color="auto"/>
        <w:left w:val="none" w:sz="0" w:space="0" w:color="auto"/>
        <w:bottom w:val="none" w:sz="0" w:space="0" w:color="auto"/>
        <w:right w:val="none" w:sz="0" w:space="0" w:color="auto"/>
      </w:divBdr>
    </w:div>
    <w:div w:id="1480461426">
      <w:bodyDiv w:val="1"/>
      <w:marLeft w:val="0"/>
      <w:marRight w:val="0"/>
      <w:marTop w:val="0"/>
      <w:marBottom w:val="0"/>
      <w:divBdr>
        <w:top w:val="none" w:sz="0" w:space="0" w:color="auto"/>
        <w:left w:val="none" w:sz="0" w:space="0" w:color="auto"/>
        <w:bottom w:val="none" w:sz="0" w:space="0" w:color="auto"/>
        <w:right w:val="none" w:sz="0" w:space="0" w:color="auto"/>
      </w:divBdr>
      <w:divsChild>
        <w:div w:id="1284114912">
          <w:marLeft w:val="0"/>
          <w:marRight w:val="0"/>
          <w:marTop w:val="0"/>
          <w:marBottom w:val="0"/>
          <w:divBdr>
            <w:top w:val="none" w:sz="0" w:space="0" w:color="auto"/>
            <w:left w:val="none" w:sz="0" w:space="0" w:color="auto"/>
            <w:bottom w:val="none" w:sz="0" w:space="0" w:color="auto"/>
            <w:right w:val="none" w:sz="0" w:space="0" w:color="auto"/>
          </w:divBdr>
          <w:divsChild>
            <w:div w:id="549728104">
              <w:marLeft w:val="0"/>
              <w:marRight w:val="0"/>
              <w:marTop w:val="0"/>
              <w:marBottom w:val="0"/>
              <w:divBdr>
                <w:top w:val="none" w:sz="0" w:space="0" w:color="auto"/>
                <w:left w:val="none" w:sz="0" w:space="0" w:color="auto"/>
                <w:bottom w:val="none" w:sz="0" w:space="0" w:color="auto"/>
                <w:right w:val="none" w:sz="0" w:space="0" w:color="auto"/>
              </w:divBdr>
              <w:divsChild>
                <w:div w:id="712080030">
                  <w:marLeft w:val="0"/>
                  <w:marRight w:val="0"/>
                  <w:marTop w:val="0"/>
                  <w:marBottom w:val="0"/>
                  <w:divBdr>
                    <w:top w:val="none" w:sz="0" w:space="0" w:color="auto"/>
                    <w:left w:val="none" w:sz="0" w:space="0" w:color="auto"/>
                    <w:bottom w:val="none" w:sz="0" w:space="0" w:color="auto"/>
                    <w:right w:val="none" w:sz="0" w:space="0" w:color="auto"/>
                  </w:divBdr>
                  <w:divsChild>
                    <w:div w:id="1460562339">
                      <w:marLeft w:val="0"/>
                      <w:marRight w:val="0"/>
                      <w:marTop w:val="0"/>
                      <w:marBottom w:val="0"/>
                      <w:divBdr>
                        <w:top w:val="none" w:sz="0" w:space="0" w:color="auto"/>
                        <w:left w:val="none" w:sz="0" w:space="0" w:color="auto"/>
                        <w:bottom w:val="none" w:sz="0" w:space="0" w:color="auto"/>
                        <w:right w:val="none" w:sz="0" w:space="0" w:color="auto"/>
                      </w:divBdr>
                      <w:divsChild>
                        <w:div w:id="910583767">
                          <w:marLeft w:val="0"/>
                          <w:marRight w:val="0"/>
                          <w:marTop w:val="0"/>
                          <w:marBottom w:val="0"/>
                          <w:divBdr>
                            <w:top w:val="none" w:sz="0" w:space="0" w:color="auto"/>
                            <w:left w:val="none" w:sz="0" w:space="0" w:color="auto"/>
                            <w:bottom w:val="none" w:sz="0" w:space="0" w:color="auto"/>
                            <w:right w:val="none" w:sz="0" w:space="0" w:color="auto"/>
                          </w:divBdr>
                          <w:divsChild>
                            <w:div w:id="1056389889">
                              <w:marLeft w:val="0"/>
                              <w:marRight w:val="0"/>
                              <w:marTop w:val="0"/>
                              <w:marBottom w:val="0"/>
                              <w:divBdr>
                                <w:top w:val="none" w:sz="0" w:space="0" w:color="auto"/>
                                <w:left w:val="none" w:sz="0" w:space="0" w:color="auto"/>
                                <w:bottom w:val="none" w:sz="0" w:space="0" w:color="auto"/>
                                <w:right w:val="none" w:sz="0" w:space="0" w:color="auto"/>
                              </w:divBdr>
                              <w:divsChild>
                                <w:div w:id="1631478452">
                                  <w:marLeft w:val="0"/>
                                  <w:marRight w:val="0"/>
                                  <w:marTop w:val="0"/>
                                  <w:marBottom w:val="0"/>
                                  <w:divBdr>
                                    <w:top w:val="none" w:sz="0" w:space="0" w:color="auto"/>
                                    <w:left w:val="none" w:sz="0" w:space="0" w:color="auto"/>
                                    <w:bottom w:val="none" w:sz="0" w:space="0" w:color="auto"/>
                                    <w:right w:val="none" w:sz="0" w:space="0" w:color="auto"/>
                                  </w:divBdr>
                                  <w:divsChild>
                                    <w:div w:id="1581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850105">
      <w:bodyDiv w:val="1"/>
      <w:marLeft w:val="0"/>
      <w:marRight w:val="0"/>
      <w:marTop w:val="0"/>
      <w:marBottom w:val="0"/>
      <w:divBdr>
        <w:top w:val="none" w:sz="0" w:space="0" w:color="auto"/>
        <w:left w:val="none" w:sz="0" w:space="0" w:color="auto"/>
        <w:bottom w:val="none" w:sz="0" w:space="0" w:color="auto"/>
        <w:right w:val="none" w:sz="0" w:space="0" w:color="auto"/>
      </w:divBdr>
    </w:div>
    <w:div w:id="1505241654">
      <w:bodyDiv w:val="1"/>
      <w:marLeft w:val="0"/>
      <w:marRight w:val="0"/>
      <w:marTop w:val="0"/>
      <w:marBottom w:val="0"/>
      <w:divBdr>
        <w:top w:val="none" w:sz="0" w:space="0" w:color="auto"/>
        <w:left w:val="none" w:sz="0" w:space="0" w:color="auto"/>
        <w:bottom w:val="none" w:sz="0" w:space="0" w:color="auto"/>
        <w:right w:val="none" w:sz="0" w:space="0" w:color="auto"/>
      </w:divBdr>
    </w:div>
    <w:div w:id="1512374428">
      <w:bodyDiv w:val="1"/>
      <w:marLeft w:val="0"/>
      <w:marRight w:val="0"/>
      <w:marTop w:val="0"/>
      <w:marBottom w:val="0"/>
      <w:divBdr>
        <w:top w:val="none" w:sz="0" w:space="0" w:color="auto"/>
        <w:left w:val="none" w:sz="0" w:space="0" w:color="auto"/>
        <w:bottom w:val="none" w:sz="0" w:space="0" w:color="auto"/>
        <w:right w:val="none" w:sz="0" w:space="0" w:color="auto"/>
      </w:divBdr>
    </w:div>
    <w:div w:id="1528717716">
      <w:bodyDiv w:val="1"/>
      <w:marLeft w:val="0"/>
      <w:marRight w:val="0"/>
      <w:marTop w:val="0"/>
      <w:marBottom w:val="0"/>
      <w:divBdr>
        <w:top w:val="none" w:sz="0" w:space="0" w:color="auto"/>
        <w:left w:val="none" w:sz="0" w:space="0" w:color="auto"/>
        <w:bottom w:val="none" w:sz="0" w:space="0" w:color="auto"/>
        <w:right w:val="none" w:sz="0" w:space="0" w:color="auto"/>
      </w:divBdr>
    </w:div>
    <w:div w:id="1542091170">
      <w:bodyDiv w:val="1"/>
      <w:marLeft w:val="0"/>
      <w:marRight w:val="0"/>
      <w:marTop w:val="0"/>
      <w:marBottom w:val="0"/>
      <w:divBdr>
        <w:top w:val="none" w:sz="0" w:space="0" w:color="auto"/>
        <w:left w:val="none" w:sz="0" w:space="0" w:color="auto"/>
        <w:bottom w:val="none" w:sz="0" w:space="0" w:color="auto"/>
        <w:right w:val="none" w:sz="0" w:space="0" w:color="auto"/>
      </w:divBdr>
    </w:div>
    <w:div w:id="1551377927">
      <w:bodyDiv w:val="1"/>
      <w:marLeft w:val="0"/>
      <w:marRight w:val="0"/>
      <w:marTop w:val="0"/>
      <w:marBottom w:val="0"/>
      <w:divBdr>
        <w:top w:val="none" w:sz="0" w:space="0" w:color="auto"/>
        <w:left w:val="none" w:sz="0" w:space="0" w:color="auto"/>
        <w:bottom w:val="none" w:sz="0" w:space="0" w:color="auto"/>
        <w:right w:val="none" w:sz="0" w:space="0" w:color="auto"/>
      </w:divBdr>
    </w:div>
    <w:div w:id="1584559167">
      <w:bodyDiv w:val="1"/>
      <w:marLeft w:val="0"/>
      <w:marRight w:val="0"/>
      <w:marTop w:val="0"/>
      <w:marBottom w:val="0"/>
      <w:divBdr>
        <w:top w:val="none" w:sz="0" w:space="0" w:color="auto"/>
        <w:left w:val="none" w:sz="0" w:space="0" w:color="auto"/>
        <w:bottom w:val="none" w:sz="0" w:space="0" w:color="auto"/>
        <w:right w:val="none" w:sz="0" w:space="0" w:color="auto"/>
      </w:divBdr>
    </w:div>
    <w:div w:id="1647317508">
      <w:bodyDiv w:val="1"/>
      <w:marLeft w:val="0"/>
      <w:marRight w:val="0"/>
      <w:marTop w:val="0"/>
      <w:marBottom w:val="0"/>
      <w:divBdr>
        <w:top w:val="none" w:sz="0" w:space="0" w:color="auto"/>
        <w:left w:val="none" w:sz="0" w:space="0" w:color="auto"/>
        <w:bottom w:val="none" w:sz="0" w:space="0" w:color="auto"/>
        <w:right w:val="none" w:sz="0" w:space="0" w:color="auto"/>
      </w:divBdr>
    </w:div>
    <w:div w:id="1682118840">
      <w:bodyDiv w:val="1"/>
      <w:marLeft w:val="0"/>
      <w:marRight w:val="0"/>
      <w:marTop w:val="0"/>
      <w:marBottom w:val="0"/>
      <w:divBdr>
        <w:top w:val="none" w:sz="0" w:space="0" w:color="auto"/>
        <w:left w:val="none" w:sz="0" w:space="0" w:color="auto"/>
        <w:bottom w:val="none" w:sz="0" w:space="0" w:color="auto"/>
        <w:right w:val="none" w:sz="0" w:space="0" w:color="auto"/>
      </w:divBdr>
      <w:divsChild>
        <w:div w:id="940800571">
          <w:marLeft w:val="0"/>
          <w:marRight w:val="0"/>
          <w:marTop w:val="0"/>
          <w:marBottom w:val="0"/>
          <w:divBdr>
            <w:top w:val="none" w:sz="0" w:space="0" w:color="auto"/>
            <w:left w:val="none" w:sz="0" w:space="0" w:color="auto"/>
            <w:bottom w:val="none" w:sz="0" w:space="0" w:color="auto"/>
            <w:right w:val="none" w:sz="0" w:space="0" w:color="auto"/>
          </w:divBdr>
          <w:divsChild>
            <w:div w:id="1669627751">
              <w:marLeft w:val="0"/>
              <w:marRight w:val="0"/>
              <w:marTop w:val="0"/>
              <w:marBottom w:val="0"/>
              <w:divBdr>
                <w:top w:val="none" w:sz="0" w:space="0" w:color="auto"/>
                <w:left w:val="none" w:sz="0" w:space="0" w:color="auto"/>
                <w:bottom w:val="none" w:sz="0" w:space="0" w:color="auto"/>
                <w:right w:val="none" w:sz="0" w:space="0" w:color="auto"/>
              </w:divBdr>
              <w:divsChild>
                <w:div w:id="1468821641">
                  <w:marLeft w:val="0"/>
                  <w:marRight w:val="0"/>
                  <w:marTop w:val="0"/>
                  <w:marBottom w:val="0"/>
                  <w:divBdr>
                    <w:top w:val="none" w:sz="0" w:space="0" w:color="auto"/>
                    <w:left w:val="none" w:sz="0" w:space="0" w:color="auto"/>
                    <w:bottom w:val="none" w:sz="0" w:space="0" w:color="auto"/>
                    <w:right w:val="none" w:sz="0" w:space="0" w:color="auto"/>
                  </w:divBdr>
                  <w:divsChild>
                    <w:div w:id="1273248834">
                      <w:marLeft w:val="0"/>
                      <w:marRight w:val="0"/>
                      <w:marTop w:val="0"/>
                      <w:marBottom w:val="0"/>
                      <w:divBdr>
                        <w:top w:val="none" w:sz="0" w:space="0" w:color="auto"/>
                        <w:left w:val="none" w:sz="0" w:space="0" w:color="auto"/>
                        <w:bottom w:val="none" w:sz="0" w:space="0" w:color="auto"/>
                        <w:right w:val="none" w:sz="0" w:space="0" w:color="auto"/>
                      </w:divBdr>
                      <w:divsChild>
                        <w:div w:id="1637876024">
                          <w:marLeft w:val="0"/>
                          <w:marRight w:val="0"/>
                          <w:marTop w:val="0"/>
                          <w:marBottom w:val="0"/>
                          <w:divBdr>
                            <w:top w:val="none" w:sz="0" w:space="0" w:color="auto"/>
                            <w:left w:val="none" w:sz="0" w:space="0" w:color="auto"/>
                            <w:bottom w:val="none" w:sz="0" w:space="0" w:color="auto"/>
                            <w:right w:val="none" w:sz="0" w:space="0" w:color="auto"/>
                          </w:divBdr>
                          <w:divsChild>
                            <w:div w:id="674769158">
                              <w:marLeft w:val="0"/>
                              <w:marRight w:val="0"/>
                              <w:marTop w:val="0"/>
                              <w:marBottom w:val="0"/>
                              <w:divBdr>
                                <w:top w:val="none" w:sz="0" w:space="0" w:color="auto"/>
                                <w:left w:val="none" w:sz="0" w:space="0" w:color="auto"/>
                                <w:bottom w:val="none" w:sz="0" w:space="0" w:color="auto"/>
                                <w:right w:val="none" w:sz="0" w:space="0" w:color="auto"/>
                              </w:divBdr>
                              <w:divsChild>
                                <w:div w:id="1648969924">
                                  <w:marLeft w:val="0"/>
                                  <w:marRight w:val="0"/>
                                  <w:marTop w:val="0"/>
                                  <w:marBottom w:val="0"/>
                                  <w:divBdr>
                                    <w:top w:val="none" w:sz="0" w:space="0" w:color="auto"/>
                                    <w:left w:val="none" w:sz="0" w:space="0" w:color="auto"/>
                                    <w:bottom w:val="none" w:sz="0" w:space="0" w:color="auto"/>
                                    <w:right w:val="none" w:sz="0" w:space="0" w:color="auto"/>
                                  </w:divBdr>
                                  <w:divsChild>
                                    <w:div w:id="7768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127610">
      <w:bodyDiv w:val="1"/>
      <w:marLeft w:val="0"/>
      <w:marRight w:val="0"/>
      <w:marTop w:val="0"/>
      <w:marBottom w:val="0"/>
      <w:divBdr>
        <w:top w:val="none" w:sz="0" w:space="0" w:color="auto"/>
        <w:left w:val="none" w:sz="0" w:space="0" w:color="auto"/>
        <w:bottom w:val="none" w:sz="0" w:space="0" w:color="auto"/>
        <w:right w:val="none" w:sz="0" w:space="0" w:color="auto"/>
      </w:divBdr>
    </w:div>
    <w:div w:id="1737510032">
      <w:bodyDiv w:val="1"/>
      <w:marLeft w:val="0"/>
      <w:marRight w:val="0"/>
      <w:marTop w:val="0"/>
      <w:marBottom w:val="0"/>
      <w:divBdr>
        <w:top w:val="none" w:sz="0" w:space="0" w:color="auto"/>
        <w:left w:val="none" w:sz="0" w:space="0" w:color="auto"/>
        <w:bottom w:val="none" w:sz="0" w:space="0" w:color="auto"/>
        <w:right w:val="none" w:sz="0" w:space="0" w:color="auto"/>
      </w:divBdr>
    </w:div>
    <w:div w:id="1768845184">
      <w:bodyDiv w:val="1"/>
      <w:marLeft w:val="0"/>
      <w:marRight w:val="0"/>
      <w:marTop w:val="0"/>
      <w:marBottom w:val="0"/>
      <w:divBdr>
        <w:top w:val="none" w:sz="0" w:space="0" w:color="auto"/>
        <w:left w:val="none" w:sz="0" w:space="0" w:color="auto"/>
        <w:bottom w:val="none" w:sz="0" w:space="0" w:color="auto"/>
        <w:right w:val="none" w:sz="0" w:space="0" w:color="auto"/>
      </w:divBdr>
    </w:div>
    <w:div w:id="1775587965">
      <w:bodyDiv w:val="1"/>
      <w:marLeft w:val="0"/>
      <w:marRight w:val="0"/>
      <w:marTop w:val="0"/>
      <w:marBottom w:val="0"/>
      <w:divBdr>
        <w:top w:val="none" w:sz="0" w:space="0" w:color="auto"/>
        <w:left w:val="none" w:sz="0" w:space="0" w:color="auto"/>
        <w:bottom w:val="none" w:sz="0" w:space="0" w:color="auto"/>
        <w:right w:val="none" w:sz="0" w:space="0" w:color="auto"/>
      </w:divBdr>
    </w:div>
    <w:div w:id="1779565556">
      <w:bodyDiv w:val="1"/>
      <w:marLeft w:val="0"/>
      <w:marRight w:val="0"/>
      <w:marTop w:val="0"/>
      <w:marBottom w:val="0"/>
      <w:divBdr>
        <w:top w:val="none" w:sz="0" w:space="0" w:color="auto"/>
        <w:left w:val="none" w:sz="0" w:space="0" w:color="auto"/>
        <w:bottom w:val="none" w:sz="0" w:space="0" w:color="auto"/>
        <w:right w:val="none" w:sz="0" w:space="0" w:color="auto"/>
      </w:divBdr>
    </w:div>
    <w:div w:id="1804033598">
      <w:bodyDiv w:val="1"/>
      <w:marLeft w:val="0"/>
      <w:marRight w:val="0"/>
      <w:marTop w:val="0"/>
      <w:marBottom w:val="0"/>
      <w:divBdr>
        <w:top w:val="none" w:sz="0" w:space="0" w:color="auto"/>
        <w:left w:val="none" w:sz="0" w:space="0" w:color="auto"/>
        <w:bottom w:val="none" w:sz="0" w:space="0" w:color="auto"/>
        <w:right w:val="none" w:sz="0" w:space="0" w:color="auto"/>
      </w:divBdr>
    </w:div>
    <w:div w:id="1837264490">
      <w:bodyDiv w:val="1"/>
      <w:marLeft w:val="0"/>
      <w:marRight w:val="0"/>
      <w:marTop w:val="0"/>
      <w:marBottom w:val="0"/>
      <w:divBdr>
        <w:top w:val="none" w:sz="0" w:space="0" w:color="auto"/>
        <w:left w:val="none" w:sz="0" w:space="0" w:color="auto"/>
        <w:bottom w:val="none" w:sz="0" w:space="0" w:color="auto"/>
        <w:right w:val="none" w:sz="0" w:space="0" w:color="auto"/>
      </w:divBdr>
    </w:div>
    <w:div w:id="1876967241">
      <w:bodyDiv w:val="1"/>
      <w:marLeft w:val="0"/>
      <w:marRight w:val="0"/>
      <w:marTop w:val="0"/>
      <w:marBottom w:val="0"/>
      <w:divBdr>
        <w:top w:val="none" w:sz="0" w:space="0" w:color="auto"/>
        <w:left w:val="none" w:sz="0" w:space="0" w:color="auto"/>
        <w:bottom w:val="none" w:sz="0" w:space="0" w:color="auto"/>
        <w:right w:val="none" w:sz="0" w:space="0" w:color="auto"/>
      </w:divBdr>
    </w:div>
    <w:div w:id="1918906065">
      <w:bodyDiv w:val="1"/>
      <w:marLeft w:val="0"/>
      <w:marRight w:val="0"/>
      <w:marTop w:val="0"/>
      <w:marBottom w:val="0"/>
      <w:divBdr>
        <w:top w:val="none" w:sz="0" w:space="0" w:color="auto"/>
        <w:left w:val="none" w:sz="0" w:space="0" w:color="auto"/>
        <w:bottom w:val="none" w:sz="0" w:space="0" w:color="auto"/>
        <w:right w:val="none" w:sz="0" w:space="0" w:color="auto"/>
      </w:divBdr>
    </w:div>
    <w:div w:id="1972856638">
      <w:bodyDiv w:val="1"/>
      <w:marLeft w:val="0"/>
      <w:marRight w:val="0"/>
      <w:marTop w:val="0"/>
      <w:marBottom w:val="0"/>
      <w:divBdr>
        <w:top w:val="none" w:sz="0" w:space="0" w:color="auto"/>
        <w:left w:val="none" w:sz="0" w:space="0" w:color="auto"/>
        <w:bottom w:val="none" w:sz="0" w:space="0" w:color="auto"/>
        <w:right w:val="none" w:sz="0" w:space="0" w:color="auto"/>
      </w:divBdr>
    </w:div>
    <w:div w:id="1992754181">
      <w:bodyDiv w:val="1"/>
      <w:marLeft w:val="0"/>
      <w:marRight w:val="0"/>
      <w:marTop w:val="0"/>
      <w:marBottom w:val="0"/>
      <w:divBdr>
        <w:top w:val="none" w:sz="0" w:space="0" w:color="auto"/>
        <w:left w:val="none" w:sz="0" w:space="0" w:color="auto"/>
        <w:bottom w:val="none" w:sz="0" w:space="0" w:color="auto"/>
        <w:right w:val="none" w:sz="0" w:space="0" w:color="auto"/>
      </w:divBdr>
    </w:div>
    <w:div w:id="1999261317">
      <w:bodyDiv w:val="1"/>
      <w:marLeft w:val="0"/>
      <w:marRight w:val="0"/>
      <w:marTop w:val="0"/>
      <w:marBottom w:val="0"/>
      <w:divBdr>
        <w:top w:val="none" w:sz="0" w:space="0" w:color="auto"/>
        <w:left w:val="none" w:sz="0" w:space="0" w:color="auto"/>
        <w:bottom w:val="none" w:sz="0" w:space="0" w:color="auto"/>
        <w:right w:val="none" w:sz="0" w:space="0" w:color="auto"/>
      </w:divBdr>
    </w:div>
    <w:div w:id="2004166820">
      <w:bodyDiv w:val="1"/>
      <w:marLeft w:val="0"/>
      <w:marRight w:val="0"/>
      <w:marTop w:val="0"/>
      <w:marBottom w:val="0"/>
      <w:divBdr>
        <w:top w:val="none" w:sz="0" w:space="0" w:color="auto"/>
        <w:left w:val="none" w:sz="0" w:space="0" w:color="auto"/>
        <w:bottom w:val="none" w:sz="0" w:space="0" w:color="auto"/>
        <w:right w:val="none" w:sz="0" w:space="0" w:color="auto"/>
      </w:divBdr>
    </w:div>
    <w:div w:id="2016230088">
      <w:bodyDiv w:val="1"/>
      <w:marLeft w:val="0"/>
      <w:marRight w:val="0"/>
      <w:marTop w:val="0"/>
      <w:marBottom w:val="0"/>
      <w:divBdr>
        <w:top w:val="none" w:sz="0" w:space="0" w:color="auto"/>
        <w:left w:val="none" w:sz="0" w:space="0" w:color="auto"/>
        <w:bottom w:val="none" w:sz="0" w:space="0" w:color="auto"/>
        <w:right w:val="none" w:sz="0" w:space="0" w:color="auto"/>
      </w:divBdr>
    </w:div>
    <w:div w:id="2028368328">
      <w:bodyDiv w:val="1"/>
      <w:marLeft w:val="0"/>
      <w:marRight w:val="0"/>
      <w:marTop w:val="0"/>
      <w:marBottom w:val="0"/>
      <w:divBdr>
        <w:top w:val="none" w:sz="0" w:space="0" w:color="auto"/>
        <w:left w:val="none" w:sz="0" w:space="0" w:color="auto"/>
        <w:bottom w:val="none" w:sz="0" w:space="0" w:color="auto"/>
        <w:right w:val="none" w:sz="0" w:space="0" w:color="auto"/>
      </w:divBdr>
    </w:div>
    <w:div w:id="2030175891">
      <w:bodyDiv w:val="1"/>
      <w:marLeft w:val="0"/>
      <w:marRight w:val="0"/>
      <w:marTop w:val="0"/>
      <w:marBottom w:val="0"/>
      <w:divBdr>
        <w:top w:val="none" w:sz="0" w:space="0" w:color="auto"/>
        <w:left w:val="none" w:sz="0" w:space="0" w:color="auto"/>
        <w:bottom w:val="none" w:sz="0" w:space="0" w:color="auto"/>
        <w:right w:val="none" w:sz="0" w:space="0" w:color="auto"/>
      </w:divBdr>
    </w:div>
    <w:div w:id="2045053585">
      <w:bodyDiv w:val="1"/>
      <w:marLeft w:val="0"/>
      <w:marRight w:val="0"/>
      <w:marTop w:val="0"/>
      <w:marBottom w:val="0"/>
      <w:divBdr>
        <w:top w:val="none" w:sz="0" w:space="0" w:color="auto"/>
        <w:left w:val="none" w:sz="0" w:space="0" w:color="auto"/>
        <w:bottom w:val="none" w:sz="0" w:space="0" w:color="auto"/>
        <w:right w:val="none" w:sz="0" w:space="0" w:color="auto"/>
      </w:divBdr>
      <w:divsChild>
        <w:div w:id="688530988">
          <w:marLeft w:val="0"/>
          <w:marRight w:val="0"/>
          <w:marTop w:val="0"/>
          <w:marBottom w:val="0"/>
          <w:divBdr>
            <w:top w:val="none" w:sz="0" w:space="0" w:color="auto"/>
            <w:left w:val="none" w:sz="0" w:space="0" w:color="auto"/>
            <w:bottom w:val="none" w:sz="0" w:space="0" w:color="auto"/>
            <w:right w:val="none" w:sz="0" w:space="0" w:color="auto"/>
          </w:divBdr>
          <w:divsChild>
            <w:div w:id="935091047">
              <w:marLeft w:val="0"/>
              <w:marRight w:val="0"/>
              <w:marTop w:val="0"/>
              <w:marBottom w:val="0"/>
              <w:divBdr>
                <w:top w:val="none" w:sz="0" w:space="0" w:color="auto"/>
                <w:left w:val="none" w:sz="0" w:space="0" w:color="auto"/>
                <w:bottom w:val="none" w:sz="0" w:space="0" w:color="auto"/>
                <w:right w:val="none" w:sz="0" w:space="0" w:color="auto"/>
              </w:divBdr>
              <w:divsChild>
                <w:div w:id="2064594188">
                  <w:marLeft w:val="0"/>
                  <w:marRight w:val="0"/>
                  <w:marTop w:val="0"/>
                  <w:marBottom w:val="0"/>
                  <w:divBdr>
                    <w:top w:val="none" w:sz="0" w:space="0" w:color="auto"/>
                    <w:left w:val="none" w:sz="0" w:space="0" w:color="auto"/>
                    <w:bottom w:val="none" w:sz="0" w:space="0" w:color="auto"/>
                    <w:right w:val="none" w:sz="0" w:space="0" w:color="auto"/>
                  </w:divBdr>
                  <w:divsChild>
                    <w:div w:id="1554073058">
                      <w:marLeft w:val="0"/>
                      <w:marRight w:val="0"/>
                      <w:marTop w:val="0"/>
                      <w:marBottom w:val="0"/>
                      <w:divBdr>
                        <w:top w:val="none" w:sz="0" w:space="0" w:color="auto"/>
                        <w:left w:val="none" w:sz="0" w:space="0" w:color="auto"/>
                        <w:bottom w:val="none" w:sz="0" w:space="0" w:color="auto"/>
                        <w:right w:val="none" w:sz="0" w:space="0" w:color="auto"/>
                      </w:divBdr>
                      <w:divsChild>
                        <w:div w:id="1958025734">
                          <w:marLeft w:val="0"/>
                          <w:marRight w:val="0"/>
                          <w:marTop w:val="0"/>
                          <w:marBottom w:val="0"/>
                          <w:divBdr>
                            <w:top w:val="none" w:sz="0" w:space="0" w:color="auto"/>
                            <w:left w:val="none" w:sz="0" w:space="0" w:color="auto"/>
                            <w:bottom w:val="none" w:sz="0" w:space="0" w:color="auto"/>
                            <w:right w:val="none" w:sz="0" w:space="0" w:color="auto"/>
                          </w:divBdr>
                          <w:divsChild>
                            <w:div w:id="727650949">
                              <w:marLeft w:val="0"/>
                              <w:marRight w:val="0"/>
                              <w:marTop w:val="0"/>
                              <w:marBottom w:val="0"/>
                              <w:divBdr>
                                <w:top w:val="none" w:sz="0" w:space="0" w:color="auto"/>
                                <w:left w:val="none" w:sz="0" w:space="0" w:color="auto"/>
                                <w:bottom w:val="none" w:sz="0" w:space="0" w:color="auto"/>
                                <w:right w:val="none" w:sz="0" w:space="0" w:color="auto"/>
                              </w:divBdr>
                              <w:divsChild>
                                <w:div w:id="782458414">
                                  <w:marLeft w:val="0"/>
                                  <w:marRight w:val="0"/>
                                  <w:marTop w:val="0"/>
                                  <w:marBottom w:val="0"/>
                                  <w:divBdr>
                                    <w:top w:val="none" w:sz="0" w:space="0" w:color="auto"/>
                                    <w:left w:val="none" w:sz="0" w:space="0" w:color="auto"/>
                                    <w:bottom w:val="none" w:sz="0" w:space="0" w:color="auto"/>
                                    <w:right w:val="none" w:sz="0" w:space="0" w:color="auto"/>
                                  </w:divBdr>
                                  <w:divsChild>
                                    <w:div w:id="14824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451214">
      <w:bodyDiv w:val="1"/>
      <w:marLeft w:val="0"/>
      <w:marRight w:val="0"/>
      <w:marTop w:val="0"/>
      <w:marBottom w:val="0"/>
      <w:divBdr>
        <w:top w:val="none" w:sz="0" w:space="0" w:color="auto"/>
        <w:left w:val="none" w:sz="0" w:space="0" w:color="auto"/>
        <w:bottom w:val="none" w:sz="0" w:space="0" w:color="auto"/>
        <w:right w:val="none" w:sz="0" w:space="0" w:color="auto"/>
      </w:divBdr>
    </w:div>
    <w:div w:id="2091151076">
      <w:bodyDiv w:val="1"/>
      <w:marLeft w:val="0"/>
      <w:marRight w:val="0"/>
      <w:marTop w:val="0"/>
      <w:marBottom w:val="0"/>
      <w:divBdr>
        <w:top w:val="none" w:sz="0" w:space="0" w:color="auto"/>
        <w:left w:val="none" w:sz="0" w:space="0" w:color="auto"/>
        <w:bottom w:val="none" w:sz="0" w:space="0" w:color="auto"/>
        <w:right w:val="none" w:sz="0" w:space="0" w:color="auto"/>
      </w:divBdr>
    </w:div>
    <w:div w:id="2108455153">
      <w:bodyDiv w:val="1"/>
      <w:marLeft w:val="0"/>
      <w:marRight w:val="0"/>
      <w:marTop w:val="0"/>
      <w:marBottom w:val="0"/>
      <w:divBdr>
        <w:top w:val="none" w:sz="0" w:space="0" w:color="auto"/>
        <w:left w:val="none" w:sz="0" w:space="0" w:color="auto"/>
        <w:bottom w:val="none" w:sz="0" w:space="0" w:color="auto"/>
        <w:right w:val="none" w:sz="0" w:space="0" w:color="auto"/>
      </w:divBdr>
    </w:div>
    <w:div w:id="213772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F7F56-BF7D-4277-AE20-A32E1AC7C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55</Pages>
  <Words>8553</Words>
  <Characters>48754</Characters>
  <Application>Microsoft Office Word</Application>
  <DocSecurity>0</DocSecurity>
  <Lines>406</Lines>
  <Paragraphs>114</Paragraphs>
  <ScaleCrop>false</ScaleCrop>
  <Company/>
  <LinksUpToDate>false</LinksUpToDate>
  <CharactersWithSpaces>57193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李政忠</cp:lastModifiedBy>
  <cp:revision>10</cp:revision>
  <dcterms:created xsi:type="dcterms:W3CDTF">2026-04-04T03:36:00Z</dcterms:created>
  <dcterms:modified xsi:type="dcterms:W3CDTF">2026-10-25T04:29:00Z</dcterms:modified>
</cp:coreProperties>
</file>