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3CE" w:rsidRPr="00B65A93" w:rsidRDefault="00B65A93">
      <w:pPr>
        <w:jc w:val="center"/>
        <w:rPr>
          <w:rFonts w:eastAsia="標楷體"/>
          <w:sz w:val="28"/>
          <w:lang w:eastAsia="zh-TW"/>
        </w:rPr>
      </w:pPr>
      <w:r w:rsidRPr="00B65A93">
        <w:rPr>
          <w:rFonts w:eastAsia="標楷體"/>
          <w:sz w:val="28"/>
          <w:lang w:eastAsia="zh-TW"/>
        </w:rPr>
        <w:t>企業水管理與廢棄物管理對成本黏性之影響</w:t>
      </w:r>
    </w:p>
    <w:p w:rsidR="00E613CE" w:rsidRPr="00B65A93" w:rsidRDefault="00B65A93">
      <w:pPr>
        <w:jc w:val="center"/>
        <w:rPr>
          <w:rFonts w:eastAsia="標楷體"/>
          <w:sz w:val="28"/>
          <w:lang w:eastAsia="zh-TW"/>
        </w:rPr>
      </w:pPr>
      <w:r w:rsidRPr="00B65A93">
        <w:rPr>
          <w:rFonts w:eastAsia="標楷體"/>
          <w:sz w:val="28"/>
          <w:lang w:eastAsia="zh-TW"/>
        </w:rPr>
        <w:t>——</w:t>
      </w:r>
      <w:r w:rsidRPr="00B65A93">
        <w:rPr>
          <w:rFonts w:eastAsia="標楷體"/>
          <w:sz w:val="28"/>
          <w:lang w:eastAsia="zh-TW"/>
        </w:rPr>
        <w:t>以台灣上市櫃製造業之環境績效與資訊揭露為例</w:t>
      </w:r>
    </w:p>
    <w:p w:rsidR="00E613CE" w:rsidRPr="00B65A93" w:rsidRDefault="00E613CE">
      <w:pPr>
        <w:rPr>
          <w:rFonts w:eastAsia="標楷體"/>
          <w:sz w:val="28"/>
          <w:lang w:eastAsia="zh-TW"/>
        </w:rPr>
      </w:pPr>
    </w:p>
    <w:p w:rsidR="00E613CE" w:rsidRPr="00B65A93" w:rsidRDefault="00B65A93">
      <w:pPr>
        <w:pStyle w:val="1"/>
        <w:rPr>
          <w:rFonts w:ascii="Times New Roman" w:eastAsia="標楷體" w:hAnsi="Times New Roman"/>
          <w:b w:val="0"/>
          <w:lang w:eastAsia="zh-TW"/>
        </w:rPr>
      </w:pPr>
      <w:r w:rsidRPr="00B65A93">
        <w:rPr>
          <w:rFonts w:ascii="Times New Roman" w:eastAsia="標楷體" w:hAnsi="Times New Roman"/>
          <w:b w:val="0"/>
          <w:lang w:eastAsia="zh-TW"/>
        </w:rPr>
        <w:t>中文摘要</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本研究以「環境使用密集度」為核心，探討企業用水密集度與廢棄物密集度（實質環境投入），並以水／廢棄物之資訊揭露與違規裁罰為輔，檢視其對成本黏性（</w:t>
      </w:r>
      <w:r w:rsidRPr="00B65A93">
        <w:rPr>
          <w:rFonts w:eastAsia="標楷體"/>
          <w:sz w:val="28"/>
          <w:lang w:eastAsia="zh-TW"/>
        </w:rPr>
        <w:t>cost stickiness</w:t>
      </w:r>
      <w:r w:rsidRPr="00B65A93">
        <w:rPr>
          <w:rFonts w:eastAsia="標楷體"/>
          <w:sz w:val="28"/>
          <w:lang w:eastAsia="zh-TW"/>
        </w:rPr>
        <w:t>）的影響。以台灣上市櫃製造業（排除金融保險業）</w:t>
      </w:r>
      <w:r w:rsidRPr="00B65A93">
        <w:rPr>
          <w:rFonts w:eastAsia="標楷體"/>
          <w:sz w:val="28"/>
          <w:lang w:eastAsia="zh-TW"/>
        </w:rPr>
        <w:t>2014</w:t>
      </w:r>
      <w:r w:rsidRPr="00B65A93">
        <w:rPr>
          <w:rFonts w:eastAsia="標楷體"/>
          <w:sz w:val="28"/>
          <w:lang w:eastAsia="zh-TW"/>
        </w:rPr>
        <w:t>至</w:t>
      </w:r>
      <w:r w:rsidRPr="00B65A93">
        <w:rPr>
          <w:rFonts w:eastAsia="標楷體"/>
          <w:sz w:val="28"/>
          <w:lang w:eastAsia="zh-TW"/>
        </w:rPr>
        <w:t>2024</w:t>
      </w:r>
      <w:r w:rsidRPr="00B65A93">
        <w:rPr>
          <w:rFonts w:eastAsia="標楷體"/>
          <w:sz w:val="28"/>
          <w:lang w:eastAsia="zh-TW"/>
        </w:rPr>
        <w:t>年資料為樣本，採</w:t>
      </w:r>
      <w:r w:rsidRPr="00B65A93">
        <w:rPr>
          <w:rFonts w:eastAsia="標楷體"/>
          <w:sz w:val="28"/>
          <w:lang w:eastAsia="zh-TW"/>
        </w:rPr>
        <w:t xml:space="preserve"> Anderson, Banker and </w:t>
      </w:r>
      <w:r w:rsidRPr="00B65A93">
        <w:rPr>
          <w:rFonts w:eastAsia="標楷體"/>
          <w:sz w:val="28"/>
          <w:lang w:eastAsia="zh-TW"/>
        </w:rPr>
        <w:t>Janakiraman</w:t>
      </w:r>
      <w:r w:rsidRPr="00B65A93">
        <w:rPr>
          <w:rFonts w:eastAsia="標楷體"/>
          <w:sz w:val="28"/>
          <w:lang w:eastAsia="zh-TW"/>
        </w:rPr>
        <w:t>（</w:t>
      </w:r>
      <w:r w:rsidRPr="00B65A93">
        <w:rPr>
          <w:rFonts w:eastAsia="標楷體"/>
          <w:sz w:val="28"/>
          <w:lang w:eastAsia="zh-TW"/>
        </w:rPr>
        <w:t>2003</w:t>
      </w:r>
      <w:r w:rsidRPr="00B65A93">
        <w:rPr>
          <w:rFonts w:eastAsia="標楷體"/>
          <w:sz w:val="28"/>
          <w:lang w:eastAsia="zh-TW"/>
        </w:rPr>
        <w:t>）成本黏性模型，在營業費用變動對營收變動的敏感度中，加入收入下降虛擬變數與環境變數之三重交乘，並控制產業與年份固定效果、以公司叢集穩健標準誤估計；另將核心變數遞延一至兩期，並依產業污染程度進行高／低污染子樣本檢定。實證發現：樣本整體存在顯著的成本黏性（</w:t>
      </w:r>
      <w:r w:rsidRPr="00B65A93">
        <w:rPr>
          <w:rFonts w:eastAsia="標楷體"/>
          <w:sz w:val="28"/>
        </w:rPr>
        <w:t>β</w:t>
      </w:r>
      <w:r w:rsidRPr="00B65A93">
        <w:rPr>
          <w:rFonts w:eastAsia="標楷體"/>
          <w:sz w:val="28"/>
          <w:lang w:eastAsia="zh-TW"/>
        </w:rPr>
        <w:t xml:space="preserve">2 </w:t>
      </w:r>
      <w:r w:rsidRPr="00B65A93">
        <w:rPr>
          <w:rFonts w:eastAsia="標楷體"/>
          <w:sz w:val="28"/>
          <w:lang w:eastAsia="zh-TW"/>
        </w:rPr>
        <w:t>顯著為負）；納入時間落差與產業異質性後，部分設定下水管理之調節效果達統計顯著，顯示水管理對成本黏性的影響具遞延性與產業依存性。主要顯著結果包括：廢棄物密集度</w:t>
      </w:r>
      <w:r w:rsidRPr="00B65A93">
        <w:rPr>
          <w:rFonts w:eastAsia="標楷體"/>
          <w:sz w:val="28"/>
          <w:lang w:eastAsia="zh-TW"/>
        </w:rPr>
        <w:t>·</w:t>
      </w:r>
      <w:r w:rsidRPr="00B65A93">
        <w:rPr>
          <w:rFonts w:eastAsia="標楷體"/>
          <w:sz w:val="28"/>
          <w:lang w:eastAsia="zh-TW"/>
        </w:rPr>
        <w:t>高耗水</w:t>
      </w:r>
      <w:r w:rsidRPr="00B65A93">
        <w:rPr>
          <w:rFonts w:eastAsia="標楷體"/>
          <w:sz w:val="28"/>
          <w:lang w:eastAsia="zh-TW"/>
        </w:rPr>
        <w:t>·t-1</w:t>
      </w:r>
      <w:r w:rsidRPr="00B65A93">
        <w:rPr>
          <w:rFonts w:eastAsia="標楷體"/>
          <w:sz w:val="28"/>
          <w:lang w:eastAsia="zh-TW"/>
        </w:rPr>
        <w:t>：</w:t>
      </w:r>
      <w:r w:rsidRPr="00B65A93">
        <w:rPr>
          <w:rFonts w:eastAsia="標楷體"/>
          <w:sz w:val="28"/>
        </w:rPr>
        <w:t>β</w:t>
      </w:r>
      <w:r w:rsidRPr="00B65A93">
        <w:rPr>
          <w:rFonts w:eastAsia="標楷體"/>
          <w:sz w:val="28"/>
          <w:lang w:eastAsia="zh-TW"/>
        </w:rPr>
        <w:t>3=-0.0503*</w:t>
      </w:r>
      <w:r w:rsidRPr="00B65A93">
        <w:rPr>
          <w:rFonts w:eastAsia="標楷體"/>
          <w:sz w:val="28"/>
          <w:lang w:eastAsia="zh-TW"/>
        </w:rPr>
        <w:t>（負向）；廢棄物密集度</w:t>
      </w:r>
      <w:r w:rsidRPr="00B65A93">
        <w:rPr>
          <w:rFonts w:eastAsia="標楷體"/>
          <w:sz w:val="28"/>
          <w:lang w:eastAsia="zh-TW"/>
        </w:rPr>
        <w:t>·</w:t>
      </w:r>
      <w:r w:rsidRPr="00B65A93">
        <w:rPr>
          <w:rFonts w:eastAsia="標楷體"/>
          <w:sz w:val="28"/>
          <w:lang w:eastAsia="zh-TW"/>
        </w:rPr>
        <w:t>低</w:t>
      </w:r>
      <w:r w:rsidRPr="00B65A93">
        <w:rPr>
          <w:rFonts w:eastAsia="標楷體"/>
          <w:sz w:val="28"/>
          <w:lang w:eastAsia="zh-TW"/>
        </w:rPr>
        <w:t>耗水</w:t>
      </w:r>
      <w:r w:rsidRPr="00B65A93">
        <w:rPr>
          <w:rFonts w:eastAsia="標楷體"/>
          <w:sz w:val="28"/>
          <w:lang w:eastAsia="zh-TW"/>
        </w:rPr>
        <w:t>·t-0</w:t>
      </w:r>
      <w:r w:rsidRPr="00B65A93">
        <w:rPr>
          <w:rFonts w:eastAsia="標楷體"/>
          <w:sz w:val="28"/>
          <w:lang w:eastAsia="zh-TW"/>
        </w:rPr>
        <w:t>：</w:t>
      </w:r>
      <w:r w:rsidRPr="00B65A93">
        <w:rPr>
          <w:rFonts w:eastAsia="標楷體"/>
          <w:sz w:val="28"/>
        </w:rPr>
        <w:t>β</w:t>
      </w:r>
      <w:r w:rsidRPr="00B65A93">
        <w:rPr>
          <w:rFonts w:eastAsia="標楷體"/>
          <w:sz w:val="28"/>
          <w:lang w:eastAsia="zh-TW"/>
        </w:rPr>
        <w:t>3=0.0352*</w:t>
      </w:r>
      <w:r w:rsidRPr="00B65A93">
        <w:rPr>
          <w:rFonts w:eastAsia="標楷體"/>
          <w:sz w:val="28"/>
          <w:lang w:eastAsia="zh-TW"/>
        </w:rPr>
        <w:t>（正向）；用水密集度</w:t>
      </w:r>
      <w:r w:rsidRPr="00B65A93">
        <w:rPr>
          <w:rFonts w:eastAsia="標楷體"/>
          <w:sz w:val="28"/>
          <w:lang w:eastAsia="zh-TW"/>
        </w:rPr>
        <w:t>·</w:t>
      </w:r>
      <w:r w:rsidRPr="00B65A93">
        <w:rPr>
          <w:rFonts w:eastAsia="標楷體"/>
          <w:sz w:val="28"/>
          <w:lang w:eastAsia="zh-TW"/>
        </w:rPr>
        <w:t>高耗水</w:t>
      </w:r>
      <w:r w:rsidRPr="00B65A93">
        <w:rPr>
          <w:rFonts w:eastAsia="標楷體"/>
          <w:sz w:val="28"/>
          <w:lang w:eastAsia="zh-TW"/>
        </w:rPr>
        <w:t>·t-0</w:t>
      </w:r>
      <w:r w:rsidRPr="00B65A93">
        <w:rPr>
          <w:rFonts w:eastAsia="標楷體"/>
          <w:sz w:val="28"/>
          <w:lang w:eastAsia="zh-TW"/>
        </w:rPr>
        <w:t>：</w:t>
      </w:r>
      <w:r w:rsidRPr="00B65A93">
        <w:rPr>
          <w:rFonts w:eastAsia="標楷體"/>
          <w:sz w:val="28"/>
        </w:rPr>
        <w:t>β</w:t>
      </w:r>
      <w:r w:rsidRPr="00B65A93">
        <w:rPr>
          <w:rFonts w:eastAsia="標楷體"/>
          <w:sz w:val="28"/>
          <w:lang w:eastAsia="zh-TW"/>
        </w:rPr>
        <w:t>3=-0.0914**</w:t>
      </w:r>
      <w:r w:rsidRPr="00B65A93">
        <w:rPr>
          <w:rFonts w:eastAsia="標楷體"/>
          <w:sz w:val="28"/>
          <w:lang w:eastAsia="zh-TW"/>
        </w:rPr>
        <w:t>（負向）。</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關鍵詞：水管理、水資訊揭露、成本黏性、水回收率、</w:t>
      </w:r>
      <w:r w:rsidRPr="00B65A93">
        <w:rPr>
          <w:rFonts w:eastAsia="標楷體"/>
          <w:sz w:val="28"/>
          <w:lang w:eastAsia="zh-TW"/>
        </w:rPr>
        <w:t>TESG</w:t>
      </w:r>
      <w:r w:rsidRPr="00B65A93">
        <w:rPr>
          <w:rFonts w:eastAsia="標楷體"/>
          <w:sz w:val="28"/>
          <w:lang w:eastAsia="zh-TW"/>
        </w:rPr>
        <w:t>、固定效果模型</w:t>
      </w: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lastRenderedPageBreak/>
        <w:t>Abstract</w:t>
      </w:r>
    </w:p>
    <w:p w:rsidR="00E613CE" w:rsidRPr="00B65A93" w:rsidRDefault="00B65A93">
      <w:pPr>
        <w:spacing w:line="360" w:lineRule="auto"/>
        <w:ind w:firstLine="480"/>
        <w:rPr>
          <w:rFonts w:eastAsia="標楷體"/>
          <w:sz w:val="28"/>
        </w:rPr>
      </w:pPr>
      <w:r w:rsidRPr="00B65A93">
        <w:rPr>
          <w:rFonts w:eastAsia="標楷體"/>
          <w:sz w:val="28"/>
        </w:rPr>
        <w:t>This study examines how corporate water-management performance (water recycling rate) and water-information disclosure affect cost stickiness. Using Taiwanes</w:t>
      </w:r>
      <w:r w:rsidRPr="00B65A93">
        <w:rPr>
          <w:rFonts w:eastAsia="標楷體"/>
          <w:sz w:val="28"/>
        </w:rPr>
        <w:t>e listed manufacturing firms (excluding financials) from 2014 to 2024 and the Anderson, Banker and Janakiraman (2003) framework, we add triple interactions of a revenue-decrease dummy with water measures, controlling for industry and year fixed effects wit</w:t>
      </w:r>
      <w:r w:rsidRPr="00B65A93">
        <w:rPr>
          <w:rFonts w:eastAsia="標楷體"/>
          <w:sz w:val="28"/>
        </w:rPr>
        <w:t xml:space="preserve">h firm-clustered robust standard errors, with lagged water measures (t-1, t-2) and high/low water-use industry subsamples. We find significant overall cost stickiness. After incorporating time-lag and industry heterogeneity, the moderating effect of water </w:t>
      </w:r>
      <w:r w:rsidRPr="00B65A93">
        <w:rPr>
          <w:rFonts w:eastAsia="標楷體"/>
          <w:sz w:val="28"/>
        </w:rPr>
        <w:t>management on cost stickiness becomes significant in some specifications, indicating lagged and industry-dependent effects.</w:t>
      </w:r>
    </w:p>
    <w:p w:rsidR="00E613CE" w:rsidRPr="00B65A93" w:rsidRDefault="00B65A93">
      <w:pPr>
        <w:spacing w:line="360" w:lineRule="auto"/>
        <w:ind w:firstLine="480"/>
        <w:rPr>
          <w:rFonts w:eastAsia="標楷體"/>
          <w:sz w:val="28"/>
        </w:rPr>
      </w:pPr>
      <w:r w:rsidRPr="00B65A93">
        <w:rPr>
          <w:rFonts w:eastAsia="標楷體"/>
          <w:sz w:val="28"/>
        </w:rPr>
        <w:t>Keywords: water management, water disclosure, cost stickiness, water recycling rate, TESG, fixed-effects model</w:t>
      </w: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t>第一章</w:t>
      </w:r>
      <w:r w:rsidRPr="00B65A93">
        <w:rPr>
          <w:rFonts w:ascii="Times New Roman" w:eastAsia="標楷體" w:hAnsi="Times New Roman"/>
          <w:b w:val="0"/>
        </w:rPr>
        <w:t xml:space="preserve"> </w:t>
      </w:r>
      <w:r w:rsidRPr="00B65A93">
        <w:rPr>
          <w:rFonts w:ascii="Times New Roman" w:eastAsia="標楷體" w:hAnsi="Times New Roman"/>
          <w:b w:val="0"/>
        </w:rPr>
        <w:t>緒論</w:t>
      </w: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第一節</w:t>
      </w:r>
      <w:r w:rsidRPr="00B65A93">
        <w:rPr>
          <w:rFonts w:ascii="Times New Roman" w:eastAsia="標楷體" w:hAnsi="Times New Roman"/>
          <w:b w:val="0"/>
          <w:sz w:val="28"/>
        </w:rPr>
        <w:t xml:space="preserve"> </w:t>
      </w:r>
      <w:r w:rsidRPr="00B65A93">
        <w:rPr>
          <w:rFonts w:ascii="Times New Roman" w:eastAsia="標楷體" w:hAnsi="Times New Roman"/>
          <w:b w:val="0"/>
          <w:sz w:val="28"/>
        </w:rPr>
        <w:t>研究背景與動機</w:t>
      </w:r>
    </w:p>
    <w:p w:rsidR="00E613CE" w:rsidRPr="00B65A93" w:rsidRDefault="00B65A93">
      <w:pPr>
        <w:spacing w:line="360" w:lineRule="auto"/>
        <w:ind w:firstLine="480"/>
        <w:rPr>
          <w:rFonts w:eastAsia="標楷體"/>
          <w:sz w:val="28"/>
        </w:rPr>
      </w:pPr>
      <w:r w:rsidRPr="00B65A93">
        <w:rPr>
          <w:rFonts w:eastAsia="標楷體"/>
          <w:sz w:val="28"/>
        </w:rPr>
        <w:t>在氣</w:t>
      </w:r>
      <w:r w:rsidRPr="00B65A93">
        <w:rPr>
          <w:rFonts w:eastAsia="標楷體"/>
          <w:sz w:val="28"/>
        </w:rPr>
        <w:t>候變遷、淨零轉型與資源稀缺的多重壓力下，水資源與廢棄物已從企業社會責任的邊陲議題，逐漸成為攸關營運存續的核心風險。台灣為海島型經濟且製造業高度密集，半導體、光電、面板、化工、鋼鐵與紡織等支柱產業普遍具有高取水、高廢水與高廢棄物之特性；</w:t>
      </w:r>
      <w:r w:rsidRPr="00B65A93">
        <w:rPr>
          <w:rFonts w:eastAsia="標楷體"/>
          <w:sz w:val="28"/>
        </w:rPr>
        <w:t xml:space="preserve">2021 </w:t>
      </w:r>
      <w:r w:rsidRPr="00B65A93">
        <w:rPr>
          <w:rFonts w:eastAsia="標楷體"/>
          <w:sz w:val="28"/>
        </w:rPr>
        <w:t>年台灣遭逢逾半世紀最嚴重乾旱，中部科學園區一度面臨限水，凸顯水資源供給對高耗水製造業之關鍵性。與此同時，主管機關陸續要求上市櫃公司自</w:t>
      </w:r>
      <w:r w:rsidRPr="00B65A93">
        <w:rPr>
          <w:rFonts w:eastAsia="標楷體"/>
          <w:sz w:val="28"/>
        </w:rPr>
        <w:t xml:space="preserve"> 2023 </w:t>
      </w:r>
      <w:r w:rsidRPr="00B65A93">
        <w:rPr>
          <w:rFonts w:eastAsia="標楷體"/>
          <w:sz w:val="28"/>
        </w:rPr>
        <w:t>年起分階段編製永續報告書、並加嚴廢棄物清</w:t>
      </w:r>
      <w:r w:rsidRPr="00B65A93">
        <w:rPr>
          <w:rFonts w:eastAsia="標楷體"/>
          <w:sz w:val="28"/>
        </w:rPr>
        <w:lastRenderedPageBreak/>
        <w:t>理與環境污染之裁處，使環境資源之取得、循環、處理與法遵成本，實質嵌入企業之營運成本結</w:t>
      </w:r>
      <w:r w:rsidRPr="00B65A93">
        <w:rPr>
          <w:rFonts w:eastAsia="標楷體"/>
          <w:sz w:val="28"/>
        </w:rPr>
        <w:t>構，值得從成本行為的角度深入檢視。</w:t>
      </w:r>
    </w:p>
    <w:p w:rsidR="00E613CE" w:rsidRPr="00B65A93" w:rsidRDefault="00B65A93">
      <w:pPr>
        <w:spacing w:line="360" w:lineRule="auto"/>
        <w:ind w:firstLine="480"/>
        <w:rPr>
          <w:rFonts w:eastAsia="標楷體"/>
          <w:sz w:val="28"/>
        </w:rPr>
      </w:pPr>
      <w:r w:rsidRPr="00B65A93">
        <w:rPr>
          <w:rFonts w:eastAsia="標楷體"/>
          <w:sz w:val="28"/>
        </w:rPr>
        <w:t>企業成本如何隨營收變動而調整，是管理會計長期關注的課題。</w:t>
      </w:r>
      <w:r w:rsidRPr="00B65A93">
        <w:rPr>
          <w:rFonts w:eastAsia="標楷體"/>
          <w:sz w:val="28"/>
        </w:rPr>
        <w:t>Anderson, Banker and Janakiraman</w:t>
      </w:r>
      <w:r w:rsidRPr="00B65A93">
        <w:rPr>
          <w:rFonts w:eastAsia="標楷體"/>
          <w:sz w:val="28"/>
        </w:rPr>
        <w:t>（</w:t>
      </w:r>
      <w:r w:rsidRPr="00B65A93">
        <w:rPr>
          <w:rFonts w:eastAsia="標楷體"/>
          <w:sz w:val="28"/>
        </w:rPr>
        <w:t>2003</w:t>
      </w:r>
      <w:r w:rsidRPr="00B65A93">
        <w:rPr>
          <w:rFonts w:eastAsia="標楷體"/>
          <w:sz w:val="28"/>
        </w:rPr>
        <w:t>）提出成本僵固性（</w:t>
      </w:r>
      <w:r w:rsidRPr="00B65A93">
        <w:rPr>
          <w:rFonts w:eastAsia="標楷體"/>
          <w:sz w:val="28"/>
        </w:rPr>
        <w:t>cost stickiness</w:t>
      </w:r>
      <w:r w:rsidRPr="00B65A93">
        <w:rPr>
          <w:rFonts w:eastAsia="標楷體"/>
          <w:sz w:val="28"/>
        </w:rPr>
        <w:t>，或稱成本黏性）概念，指出當營收下降時，營業費用向下調整的幅度小於營收上升時向上調整的幅度，呈現顯著的非對稱性。其根源在於管理者的資源調整決策與調整成本：當面臨需求下滑時，若管理者預期衰退僅屬短暫，或裁撤與重建專用資源之成本高昂，便傾向保留閒置產能與人力，形成成本黏性。此一概念已被廣泛用於檢視治理</w:t>
      </w:r>
      <w:r w:rsidRPr="00B65A93">
        <w:rPr>
          <w:rFonts w:eastAsia="標楷體"/>
          <w:sz w:val="28"/>
        </w:rPr>
        <w:t>、誘因、財務狀況乃至外部政策對企業成本調整行為之影響。</w:t>
      </w:r>
    </w:p>
    <w:p w:rsidR="00E613CE" w:rsidRPr="00B65A93" w:rsidRDefault="00B65A93">
      <w:pPr>
        <w:spacing w:line="360" w:lineRule="auto"/>
        <w:ind w:firstLine="480"/>
        <w:rPr>
          <w:rFonts w:eastAsia="標楷體"/>
          <w:sz w:val="28"/>
        </w:rPr>
      </w:pPr>
      <w:r w:rsidRPr="00B65A93">
        <w:rPr>
          <w:rFonts w:eastAsia="標楷體"/>
          <w:sz w:val="28"/>
        </w:rPr>
        <w:t>環境資源的投入具備高投入、長週期、專用性與不可逆之特徵。企業為提升水回收、處理廢水與廢棄物，往往需建置廢水處理廠、水循環系統與專用處理設施，並簽訂長期委外清運與處理合約；這類與產能高度綁定的環境支出，於營收下降時難以即時削減，理論上將加劇成本黏性。另一方面，環境資訊之揭露被視為降低資訊不對稱、矯正管理者過度樂觀預期之機制，可能反向緩解成本黏性。因此，環境因素對成本黏性的影響，同時存在『實質投入加劇』與『資訊透明緩解』兩股方向相反的力量，值得以台灣製造業</w:t>
      </w:r>
      <w:r w:rsidRPr="00B65A93">
        <w:rPr>
          <w:rFonts w:eastAsia="標楷體"/>
          <w:sz w:val="28"/>
        </w:rPr>
        <w:t>資料加以釐清。</w:t>
      </w:r>
    </w:p>
    <w:p w:rsidR="00E613CE" w:rsidRPr="00B65A93" w:rsidRDefault="00B65A93">
      <w:pPr>
        <w:spacing w:line="360" w:lineRule="auto"/>
        <w:ind w:firstLine="480"/>
        <w:rPr>
          <w:rFonts w:eastAsia="標楷體"/>
          <w:sz w:val="28"/>
        </w:rPr>
      </w:pPr>
      <w:r w:rsidRPr="00B65A93">
        <w:rPr>
          <w:rFonts w:eastAsia="標楷體"/>
          <w:sz w:val="28"/>
        </w:rPr>
        <w:t>然而，既有將環境因素連結成本行為的研究，多以整體</w:t>
      </w:r>
      <w:r w:rsidRPr="00B65A93">
        <w:rPr>
          <w:rFonts w:eastAsia="標楷體"/>
          <w:sz w:val="28"/>
        </w:rPr>
        <w:t xml:space="preserve"> ESG </w:t>
      </w:r>
      <w:r w:rsidRPr="00B65A93">
        <w:rPr>
          <w:rFonts w:eastAsia="標楷體"/>
          <w:sz w:val="28"/>
        </w:rPr>
        <w:t>評分或揭露為衡量（如</w:t>
      </w:r>
      <w:r w:rsidRPr="00B65A93">
        <w:rPr>
          <w:rFonts w:eastAsia="標楷體"/>
          <w:sz w:val="28"/>
        </w:rPr>
        <w:t xml:space="preserve"> Jiang and Yang, 2024</w:t>
      </w:r>
      <w:r w:rsidRPr="00B65A93">
        <w:rPr>
          <w:rFonts w:eastAsia="標楷體"/>
          <w:sz w:val="28"/>
        </w:rPr>
        <w:t>；辛珏辰</w:t>
      </w:r>
      <w:r w:rsidRPr="00B65A93">
        <w:rPr>
          <w:rFonts w:eastAsia="標楷體"/>
          <w:sz w:val="28"/>
        </w:rPr>
        <w:t>, 2025</w:t>
      </w:r>
      <w:r w:rsidRPr="00B65A93">
        <w:rPr>
          <w:rFonts w:eastAsia="標楷體"/>
          <w:sz w:val="28"/>
        </w:rPr>
        <w:t>；鄭紹君</w:t>
      </w:r>
      <w:r w:rsidRPr="00B65A93">
        <w:rPr>
          <w:rFonts w:eastAsia="標楷體"/>
          <w:sz w:val="28"/>
        </w:rPr>
        <w:t>, 2018</w:t>
      </w:r>
      <w:r w:rsidRPr="00B65A93">
        <w:rPr>
          <w:rFonts w:eastAsia="標楷體"/>
          <w:sz w:val="28"/>
        </w:rPr>
        <w:t>），較少深入「水」與「廢棄物」等個別、可量化之實質環境構面，且常以『揭露有無』或『罰鍰次數』等粗略代理，易受衡量誤差</w:t>
      </w:r>
      <w:r w:rsidRPr="00B65A93">
        <w:rPr>
          <w:rFonts w:eastAsia="標楷體"/>
          <w:sz w:val="28"/>
        </w:rPr>
        <w:lastRenderedPageBreak/>
        <w:t>與單一極端值干擾。本研究主張，真正貼近調整成本本質的，是企業對環境資源之「使用密集度」</w:t>
      </w:r>
      <w:r w:rsidRPr="00B65A93">
        <w:rPr>
          <w:rFonts w:eastAsia="標楷體"/>
          <w:sz w:val="28"/>
        </w:rPr>
        <w:t>——</w:t>
      </w:r>
      <w:r w:rsidRPr="00B65A93">
        <w:rPr>
          <w:rFonts w:eastAsia="標楷體"/>
          <w:sz w:val="28"/>
        </w:rPr>
        <w:t>單位營收所耗用之水量與產生之廢棄物量，直接反映其營運與環境資源之綁定程度及專用處理投入。相對於水回收率等揭露樣本稀少、變異有限之指</w:t>
      </w:r>
      <w:r w:rsidRPr="00B65A93">
        <w:rPr>
          <w:rFonts w:eastAsia="標楷體"/>
          <w:sz w:val="28"/>
        </w:rPr>
        <w:t>標，用水密集度（總用水量／營收）之樣本涵蓋度更高，更能提供穩健且具檢定力之證據。</w:t>
      </w:r>
    </w:p>
    <w:p w:rsidR="00E613CE" w:rsidRPr="00B65A93" w:rsidRDefault="00B65A93">
      <w:pPr>
        <w:spacing w:line="360" w:lineRule="auto"/>
        <w:ind w:firstLine="480"/>
        <w:rPr>
          <w:rFonts w:eastAsia="標楷體"/>
          <w:sz w:val="28"/>
        </w:rPr>
      </w:pPr>
      <w:r w:rsidRPr="00B65A93">
        <w:rPr>
          <w:rFonts w:eastAsia="標楷體"/>
          <w:sz w:val="28"/>
        </w:rPr>
        <w:t>為此，本研究以台灣經濟新報（</w:t>
      </w:r>
      <w:r w:rsidRPr="00B65A93">
        <w:rPr>
          <w:rFonts w:eastAsia="標楷體"/>
          <w:sz w:val="28"/>
        </w:rPr>
        <w:t>TEJ</w:t>
      </w:r>
      <w:r w:rsidRPr="00B65A93">
        <w:rPr>
          <w:rFonts w:eastAsia="標楷體"/>
          <w:sz w:val="28"/>
        </w:rPr>
        <w:t>）之財務、</w:t>
      </w:r>
      <w:r w:rsidRPr="00B65A93">
        <w:rPr>
          <w:rFonts w:eastAsia="標楷體"/>
          <w:sz w:val="28"/>
        </w:rPr>
        <w:t xml:space="preserve">TESG </w:t>
      </w:r>
      <w:r w:rsidRPr="00B65A93">
        <w:rPr>
          <w:rFonts w:eastAsia="標楷體"/>
          <w:sz w:val="28"/>
        </w:rPr>
        <w:t>企業用水量、廢棄物揭露與列管事業污染源裁處等資料，建構</w:t>
      </w:r>
      <w:r w:rsidRPr="00B65A93">
        <w:rPr>
          <w:rFonts w:eastAsia="標楷體"/>
          <w:sz w:val="28"/>
        </w:rPr>
        <w:t xml:space="preserve"> 2014 </w:t>
      </w:r>
      <w:r w:rsidRPr="00B65A93">
        <w:rPr>
          <w:rFonts w:eastAsia="標楷體"/>
          <w:sz w:val="28"/>
        </w:rPr>
        <w:t>至</w:t>
      </w:r>
      <w:r w:rsidRPr="00B65A93">
        <w:rPr>
          <w:rFonts w:eastAsia="標楷體"/>
          <w:sz w:val="28"/>
        </w:rPr>
        <w:t xml:space="preserve"> 2024 </w:t>
      </w:r>
      <w:r w:rsidRPr="00B65A93">
        <w:rPr>
          <w:rFonts w:eastAsia="標楷體"/>
          <w:sz w:val="28"/>
        </w:rPr>
        <w:t>年台灣上市櫃製造業之公司</w:t>
      </w:r>
      <w:r w:rsidRPr="00B65A93">
        <w:rPr>
          <w:rFonts w:eastAsia="標楷體"/>
          <w:sz w:val="28"/>
        </w:rPr>
        <w:t>—</w:t>
      </w:r>
      <w:r w:rsidRPr="00B65A93">
        <w:rPr>
          <w:rFonts w:eastAsia="標楷體"/>
          <w:sz w:val="28"/>
        </w:rPr>
        <w:t>年面板，採</w:t>
      </w:r>
      <w:r w:rsidRPr="00B65A93">
        <w:rPr>
          <w:rFonts w:eastAsia="標楷體"/>
          <w:sz w:val="28"/>
        </w:rPr>
        <w:t xml:space="preserve"> ABJ </w:t>
      </w:r>
      <w:r w:rsidRPr="00B65A93">
        <w:rPr>
          <w:rFonts w:eastAsia="標楷體"/>
          <w:sz w:val="28"/>
        </w:rPr>
        <w:t>成本僵固性模型，將用水密集度、廢棄物密集度及其資訊揭露與違規裁罰變數，與收入下降虛擬變數交乘，並控制產業與年份固定效果、採公司叢集穩健標準誤；另以時間落差（遞延一至兩期）與高／低污染產業異質性，檢驗環境使用密集度對成本黏性之影響及其適用情境。</w:t>
      </w:r>
    </w:p>
    <w:p w:rsidR="00E613CE" w:rsidRPr="00B65A93" w:rsidRDefault="00B65A93">
      <w:pPr>
        <w:spacing w:line="360" w:lineRule="auto"/>
        <w:ind w:firstLine="480"/>
        <w:rPr>
          <w:rFonts w:eastAsia="標楷體"/>
          <w:sz w:val="28"/>
        </w:rPr>
      </w:pPr>
      <w:r w:rsidRPr="00B65A93">
        <w:rPr>
          <w:rFonts w:eastAsia="標楷體"/>
          <w:sz w:val="28"/>
        </w:rPr>
        <w:t>進一步</w:t>
      </w:r>
      <w:r w:rsidRPr="00B65A93">
        <w:rPr>
          <w:rFonts w:eastAsia="標楷體"/>
          <w:sz w:val="28"/>
        </w:rPr>
        <w:t>言，台灣製造業在全球供應鏈中扮演關鍵角色，其生產活動高度倚賴穩定且充足的水電與原物料供給，同時受環境法規日趨嚴格之規範。近年環境相關制度快速演進：缺水風險促使高耗水產業投入再生水與製程節水；廢棄物清理與資源循環規範要求企業建立妥善之清運、處理與再利用機制；污染裁處與環境違規之公告，也使企業之環境法遵成本與商譽風險同步上升。這些制度變遷意味企業在環境面的投入與承諾具有長期性與剛性，一旦建置便難以隨短期營收波動而快速調整，正是檢視環境因素如何形塑成本黏性的合適場域。</w:t>
      </w:r>
    </w:p>
    <w:p w:rsidR="00E613CE" w:rsidRPr="00B65A93" w:rsidRDefault="00B65A93">
      <w:pPr>
        <w:spacing w:line="360" w:lineRule="auto"/>
        <w:ind w:firstLine="480"/>
        <w:rPr>
          <w:rFonts w:eastAsia="標楷體"/>
          <w:sz w:val="28"/>
        </w:rPr>
      </w:pPr>
      <w:r w:rsidRPr="00B65A93">
        <w:rPr>
          <w:rFonts w:eastAsia="標楷體"/>
          <w:sz w:val="28"/>
        </w:rPr>
        <w:t>從調整成本理論的角度，成本黏性反映管理者在需</w:t>
      </w:r>
      <w:r w:rsidRPr="00B65A93">
        <w:rPr>
          <w:rFonts w:eastAsia="標楷體"/>
          <w:sz w:val="28"/>
        </w:rPr>
        <w:t>求變動時「保留或裁撤資源」的權衡。當向下調整資源（如解約、資遣、處分設施）</w:t>
      </w:r>
      <w:r w:rsidRPr="00B65A93">
        <w:rPr>
          <w:rFonts w:eastAsia="標楷體"/>
          <w:sz w:val="28"/>
        </w:rPr>
        <w:lastRenderedPageBreak/>
        <w:t>的成本高於暫時保留閒置資源的成本，或當管理者對未來需求抱持樂觀預期時，便傾向於營收下降時不立即縮減成本，形成黏性。環境資源之投入恰具備使黏性加劇的多重特徵：其一，廢水與廢棄物處理設施屬專用性資產，缺乏次級市場、處分價值低；其二，環境委外處理多採長期合約，短期難以中止；其三，環境法遵具強制性，企業不能為節省成本而停止處理污染。因此，企業對環境資源的「使用密集度」越高，理應在營收下降時面臨越強的向下調整阻力。此一推論構成本研究的核心邏輯。</w:t>
      </w: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第二節</w:t>
      </w:r>
      <w:r w:rsidRPr="00B65A93">
        <w:rPr>
          <w:rFonts w:ascii="Times New Roman" w:eastAsia="標楷體" w:hAnsi="Times New Roman"/>
          <w:b w:val="0"/>
          <w:sz w:val="28"/>
        </w:rPr>
        <w:t xml:space="preserve"> </w:t>
      </w:r>
      <w:r w:rsidRPr="00B65A93">
        <w:rPr>
          <w:rFonts w:ascii="Times New Roman" w:eastAsia="標楷體" w:hAnsi="Times New Roman"/>
          <w:b w:val="0"/>
          <w:sz w:val="28"/>
        </w:rPr>
        <w:t>研究目的與研究問題</w:t>
      </w:r>
    </w:p>
    <w:p w:rsidR="00E613CE" w:rsidRPr="00B65A93" w:rsidRDefault="00B65A93">
      <w:pPr>
        <w:spacing w:line="360" w:lineRule="auto"/>
        <w:ind w:firstLine="480"/>
        <w:rPr>
          <w:rFonts w:eastAsia="標楷體"/>
          <w:sz w:val="28"/>
        </w:rPr>
      </w:pPr>
      <w:r w:rsidRPr="00B65A93">
        <w:rPr>
          <w:rFonts w:eastAsia="標楷體"/>
          <w:sz w:val="28"/>
        </w:rPr>
        <w:t>本研究之研究目的有四。第一，建立以「環境使用密集度」為核心的成本黏性分析架構，檢視用水密集度與廢棄物密集度是否顯著影響台灣製造業之成本黏性。第二，以資訊揭露（水揭露、廢棄物揭露品質）與違規裁罰（廢棄物裁罰金額）作為輔助構面，比較「實質使用」與「資訊透明度」兩類機制之相對解釋力。第三，考量環境投入之效益與僵固性需時間發酵，檢驗當期與遞延（</w:t>
      </w:r>
      <w:r w:rsidRPr="00B65A93">
        <w:rPr>
          <w:rFonts w:eastAsia="標楷體"/>
          <w:sz w:val="28"/>
        </w:rPr>
        <w:t>t-1</w:t>
      </w:r>
      <w:r w:rsidRPr="00B65A93">
        <w:rPr>
          <w:rFonts w:eastAsia="標楷體"/>
          <w:sz w:val="28"/>
        </w:rPr>
        <w:t>、</w:t>
      </w:r>
      <w:r w:rsidRPr="00B65A93">
        <w:rPr>
          <w:rFonts w:eastAsia="標楷體"/>
          <w:sz w:val="28"/>
        </w:rPr>
        <w:t>t-2</w:t>
      </w:r>
      <w:r w:rsidRPr="00B65A93">
        <w:rPr>
          <w:rFonts w:eastAsia="標楷體"/>
          <w:sz w:val="28"/>
        </w:rPr>
        <w:t>）估計之差異。第四，考量台灣製造業次產業之環境依賴度差異甚大，比較高污染與低污染產業之異質性，釐清效果集中之情境。</w:t>
      </w:r>
    </w:p>
    <w:p w:rsidR="00E613CE" w:rsidRPr="00B65A93" w:rsidRDefault="00B65A93">
      <w:pPr>
        <w:spacing w:line="360" w:lineRule="auto"/>
        <w:ind w:firstLine="480"/>
        <w:rPr>
          <w:rFonts w:eastAsia="標楷體"/>
          <w:sz w:val="28"/>
        </w:rPr>
      </w:pPr>
      <w:r w:rsidRPr="00B65A93">
        <w:rPr>
          <w:rFonts w:eastAsia="標楷體"/>
          <w:sz w:val="28"/>
        </w:rPr>
        <w:t>據此，本研究之</w:t>
      </w:r>
      <w:r w:rsidRPr="00B65A93">
        <w:rPr>
          <w:rFonts w:eastAsia="標楷體"/>
          <w:sz w:val="28"/>
        </w:rPr>
        <w:t>核心研究問題為：在控制企業規模、資產與員工密集度、獲利、財務槓桿及產業與年份固定效果後，企業對水與廢棄物之使用密集度，是否於營收下降時顯著加劇成本黏性？此一效果是否隨時間遞延而顯現、並集中於高污染產業？相對地，資訊揭露與違規裁罰之調節效果又是否穩健？透過回答上述問題，本研究期能補充國內以成本黏性為應變數、並細分水與廢棄物構面之實證缺口，並為主</w:t>
      </w:r>
      <w:r w:rsidRPr="00B65A93">
        <w:rPr>
          <w:rFonts w:eastAsia="標楷體"/>
          <w:sz w:val="28"/>
        </w:rPr>
        <w:lastRenderedPageBreak/>
        <w:t>管機關與企業提供關於環境資源使用密集度與成本韌性之政策與實務參考。</w:t>
      </w:r>
    </w:p>
    <w:p w:rsidR="00E613CE" w:rsidRPr="00B65A93" w:rsidRDefault="00B65A93">
      <w:pPr>
        <w:spacing w:line="360" w:lineRule="auto"/>
        <w:ind w:firstLine="480"/>
        <w:rPr>
          <w:rFonts w:eastAsia="標楷體"/>
          <w:sz w:val="28"/>
        </w:rPr>
      </w:pPr>
      <w:r w:rsidRPr="00B65A93">
        <w:rPr>
          <w:rFonts w:eastAsia="標楷體"/>
          <w:sz w:val="28"/>
        </w:rPr>
        <w:t>本研究之預期貢獻可分三方面。理論上，將環境因素對成本行為的影響，由抽象的整體</w:t>
      </w:r>
      <w:r w:rsidRPr="00B65A93">
        <w:rPr>
          <w:rFonts w:eastAsia="標楷體"/>
          <w:sz w:val="28"/>
        </w:rPr>
        <w:t xml:space="preserve"> ESG </w:t>
      </w:r>
      <w:r w:rsidRPr="00B65A93">
        <w:rPr>
          <w:rFonts w:eastAsia="標楷體"/>
          <w:sz w:val="28"/>
        </w:rPr>
        <w:t>或</w:t>
      </w:r>
      <w:r w:rsidRPr="00B65A93">
        <w:rPr>
          <w:rFonts w:eastAsia="標楷體"/>
          <w:sz w:val="28"/>
        </w:rPr>
        <w:t xml:space="preserve"> CSR </w:t>
      </w:r>
      <w:r w:rsidRPr="00B65A93">
        <w:rPr>
          <w:rFonts w:eastAsia="標楷體"/>
          <w:sz w:val="28"/>
        </w:rPr>
        <w:t>評</w:t>
      </w:r>
      <w:r w:rsidRPr="00B65A93">
        <w:rPr>
          <w:rFonts w:eastAsia="標楷體"/>
          <w:sz w:val="28"/>
        </w:rPr>
        <w:t>分，推進至可量化、可比較之「實質使用密集度」，使調整成本理論在環境情境下獲得更貼近本質的檢驗。衡量上，本研究以連續之「用水密集度」與「廢棄物裁罰金額」取代樣本稀少之水回收率與易受極端值主導之罰鍰次數，兼顧樣本涵蓋度與衡量效度。方法上，本研究結合時間落差與高／低污染產業異質性，揭示環境成本效應具「產業依存與遞延顯現」之特徵，此為僅以全樣本、當期估計之研究所難以觀察，對後續環境會計與成本行為研究具參考價值。</w:t>
      </w:r>
    </w:p>
    <w:p w:rsidR="00E613CE" w:rsidRPr="00B65A93" w:rsidRDefault="00B65A93">
      <w:pPr>
        <w:spacing w:line="360" w:lineRule="auto"/>
        <w:ind w:firstLine="480"/>
        <w:rPr>
          <w:rFonts w:eastAsia="標楷體"/>
          <w:sz w:val="28"/>
        </w:rPr>
      </w:pPr>
      <w:r w:rsidRPr="00B65A93">
        <w:rPr>
          <w:rFonts w:eastAsia="標楷體"/>
          <w:sz w:val="28"/>
        </w:rPr>
        <w:t>本研究之所以將「水」與「廢棄物」並列檢視，係因二者同為製造業最主要之環境資源投入與產出構面，且皆具備專用</w:t>
      </w:r>
      <w:r w:rsidRPr="00B65A93">
        <w:rPr>
          <w:rFonts w:eastAsia="標楷體"/>
          <w:sz w:val="28"/>
        </w:rPr>
        <w:t>設施、長期合約與強制法遵之特性，在成本結構上具有高度可比性；同時，兩者在</w:t>
      </w:r>
      <w:r w:rsidRPr="00B65A93">
        <w:rPr>
          <w:rFonts w:eastAsia="標楷體"/>
          <w:sz w:val="28"/>
        </w:rPr>
        <w:t xml:space="preserve"> TEJ </w:t>
      </w:r>
      <w:r w:rsidRPr="00B65A93">
        <w:rPr>
          <w:rFonts w:eastAsia="標楷體"/>
          <w:sz w:val="28"/>
        </w:rPr>
        <w:t>資料庫中皆有可量化之使用量、密集度、揭露與裁罰資料，便於建立一致之衡量與比較架構。相較於僅探討單一構面，並列水與廢棄物有助於檢視環境使用密集度效果之普遍性與穩健性，並辨識何種構面、何種產業與何種時點下，環境投入對成本行為之影響最為顯著。</w:t>
      </w:r>
    </w:p>
    <w:p w:rsidR="00E613CE" w:rsidRPr="00B65A93" w:rsidRDefault="00B65A93">
      <w:pPr>
        <w:spacing w:line="360" w:lineRule="auto"/>
        <w:ind w:firstLine="480"/>
        <w:rPr>
          <w:rFonts w:eastAsia="標楷體"/>
          <w:sz w:val="28"/>
        </w:rPr>
      </w:pPr>
      <w:r w:rsidRPr="00B65A93">
        <w:rPr>
          <w:rFonts w:eastAsia="標楷體"/>
          <w:sz w:val="28"/>
        </w:rPr>
        <w:t>在研究範圍上，本研究聚焦於台灣上市櫃「製造業」，並排除金融保險業，樣本期間為</w:t>
      </w:r>
      <w:r w:rsidRPr="00B65A93">
        <w:rPr>
          <w:rFonts w:eastAsia="標楷體"/>
          <w:sz w:val="28"/>
        </w:rPr>
        <w:t xml:space="preserve"> 2014 </w:t>
      </w:r>
      <w:r w:rsidRPr="00B65A93">
        <w:rPr>
          <w:rFonts w:eastAsia="標楷體"/>
          <w:sz w:val="28"/>
        </w:rPr>
        <w:t>至</w:t>
      </w:r>
      <w:r w:rsidRPr="00B65A93">
        <w:rPr>
          <w:rFonts w:eastAsia="標楷體"/>
          <w:sz w:val="28"/>
        </w:rPr>
        <w:t xml:space="preserve"> 2024 </w:t>
      </w:r>
      <w:r w:rsidRPr="00B65A93">
        <w:rPr>
          <w:rFonts w:eastAsia="標楷體"/>
          <w:sz w:val="28"/>
        </w:rPr>
        <w:t>年。之所以限縮於製造業，係因其為水與廢棄物之主要使用與產出部門，環境資源之投入與處理直接反</w:t>
      </w:r>
      <w:r w:rsidRPr="00B65A93">
        <w:rPr>
          <w:rFonts w:eastAsia="標楷體"/>
          <w:sz w:val="28"/>
        </w:rPr>
        <w:t>映於營運成本，最能檢視環境使用密集度與成本行為之關聯；金融保</w:t>
      </w:r>
      <w:r w:rsidRPr="00B65A93">
        <w:rPr>
          <w:rFonts w:eastAsia="標楷體"/>
          <w:sz w:val="28"/>
        </w:rPr>
        <w:lastRenderedPageBreak/>
        <w:t>險業之成本結構與環境足跡與製造業迥異，故予以排除，以維持樣本之同質性與推論之清晰。</w:t>
      </w:r>
    </w:p>
    <w:p w:rsidR="00E613CE" w:rsidRPr="00B65A93" w:rsidRDefault="00B65A93">
      <w:pPr>
        <w:spacing w:line="360" w:lineRule="auto"/>
        <w:ind w:firstLine="480"/>
        <w:rPr>
          <w:rFonts w:eastAsia="標楷體"/>
          <w:sz w:val="28"/>
        </w:rPr>
      </w:pPr>
      <w:r w:rsidRPr="00B65A93">
        <w:rPr>
          <w:rFonts w:eastAsia="標楷體"/>
          <w:sz w:val="28"/>
        </w:rPr>
        <w:t>本文後續章節安排如下：第二章回顧成本僵固性與環境／</w:t>
      </w:r>
      <w:r w:rsidRPr="00B65A93">
        <w:rPr>
          <w:rFonts w:eastAsia="標楷體"/>
          <w:sz w:val="28"/>
        </w:rPr>
        <w:t xml:space="preserve">ESG </w:t>
      </w:r>
      <w:r w:rsidRPr="00B65A93">
        <w:rPr>
          <w:rFonts w:eastAsia="標楷體"/>
          <w:sz w:val="28"/>
        </w:rPr>
        <w:t>相關文獻，並據以提出研究假說；第三章說明資料來源、樣本、變數定義與實證模型；第四章報告敘述統計、相關係數與主迴歸結果，並進行時間落差與高／低污染產業異質性之延伸分析；第五章總結研究發現、政策與實務意涵、研究限制與未來研究方向。</w:t>
      </w: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t>第二章</w:t>
      </w:r>
      <w:r w:rsidRPr="00B65A93">
        <w:rPr>
          <w:rFonts w:ascii="Times New Roman" w:eastAsia="標楷體" w:hAnsi="Times New Roman"/>
          <w:b w:val="0"/>
        </w:rPr>
        <w:t xml:space="preserve"> </w:t>
      </w:r>
      <w:r w:rsidRPr="00B65A93">
        <w:rPr>
          <w:rFonts w:ascii="Times New Roman" w:eastAsia="標楷體" w:hAnsi="Times New Roman"/>
          <w:b w:val="0"/>
        </w:rPr>
        <w:t>文獻探討與假說</w:t>
      </w: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第一節</w:t>
      </w:r>
      <w:r w:rsidRPr="00B65A93">
        <w:rPr>
          <w:rFonts w:ascii="Times New Roman" w:eastAsia="標楷體" w:hAnsi="Times New Roman"/>
          <w:b w:val="0"/>
          <w:sz w:val="28"/>
        </w:rPr>
        <w:t xml:space="preserve"> </w:t>
      </w:r>
      <w:r w:rsidRPr="00B65A93">
        <w:rPr>
          <w:rFonts w:ascii="Times New Roman" w:eastAsia="標楷體" w:hAnsi="Times New Roman"/>
          <w:b w:val="0"/>
          <w:sz w:val="28"/>
        </w:rPr>
        <w:t>文獻回顧</w:t>
      </w:r>
    </w:p>
    <w:p w:rsidR="00E613CE" w:rsidRPr="00B65A93" w:rsidRDefault="00B65A93">
      <w:pPr>
        <w:spacing w:line="360" w:lineRule="auto"/>
        <w:ind w:firstLine="480"/>
        <w:rPr>
          <w:rFonts w:eastAsia="標楷體"/>
          <w:sz w:val="28"/>
        </w:rPr>
      </w:pPr>
      <w:r w:rsidRPr="00B65A93">
        <w:rPr>
          <w:rFonts w:eastAsia="標楷體"/>
          <w:sz w:val="28"/>
        </w:rPr>
        <w:t>（一）成本僵固性之理論根源與決定因素。成本僵固性之研究以</w:t>
      </w:r>
      <w:r w:rsidRPr="00B65A93">
        <w:rPr>
          <w:rFonts w:eastAsia="標楷體"/>
          <w:sz w:val="28"/>
        </w:rPr>
        <w:t xml:space="preserve"> Anderson, Banker and Janakiraman</w:t>
      </w:r>
      <w:r w:rsidRPr="00B65A93">
        <w:rPr>
          <w:rFonts w:eastAsia="標楷體"/>
          <w:sz w:val="28"/>
        </w:rPr>
        <w:t>（</w:t>
      </w:r>
      <w:r w:rsidRPr="00B65A93">
        <w:rPr>
          <w:rFonts w:eastAsia="標楷體"/>
          <w:sz w:val="28"/>
        </w:rPr>
        <w:t>2003</w:t>
      </w:r>
      <w:r w:rsidRPr="00B65A93">
        <w:rPr>
          <w:rFonts w:eastAsia="標楷體"/>
          <w:sz w:val="28"/>
        </w:rPr>
        <w:t>）為濫觴，其以美國公司之銷售、一般及管理費用（</w:t>
      </w:r>
      <w:r w:rsidRPr="00B65A93">
        <w:rPr>
          <w:rFonts w:eastAsia="標楷體"/>
          <w:sz w:val="28"/>
        </w:rPr>
        <w:t>SG&amp;A</w:t>
      </w:r>
      <w:r w:rsidRPr="00B65A93">
        <w:rPr>
          <w:rFonts w:eastAsia="標楷體"/>
          <w:sz w:val="28"/>
        </w:rPr>
        <w:t>）驗證營收下降時費用調整之非對稱性，並提出「調整成本」與「管理者樂觀預期」兩大解釋機制。後續文獻延伸至多元決定因素，國內以台灣上市櫃公司為樣本者尤眾：張凱瑜（</w:t>
      </w:r>
      <w:r w:rsidRPr="00B65A93">
        <w:rPr>
          <w:rFonts w:eastAsia="標楷體"/>
          <w:sz w:val="28"/>
        </w:rPr>
        <w:t>2025</w:t>
      </w:r>
      <w:r w:rsidRPr="00B65A93">
        <w:rPr>
          <w:rFonts w:eastAsia="標楷體"/>
          <w:sz w:val="28"/>
        </w:rPr>
        <w:t>）發現成本僵固性與企業風險相關；王惠洳（</w:t>
      </w:r>
      <w:r w:rsidRPr="00B65A93">
        <w:rPr>
          <w:rFonts w:eastAsia="標楷體"/>
          <w:sz w:val="28"/>
        </w:rPr>
        <w:t>2025</w:t>
      </w:r>
      <w:r w:rsidRPr="00B65A93">
        <w:rPr>
          <w:rFonts w:eastAsia="標楷體"/>
          <w:sz w:val="28"/>
        </w:rPr>
        <w:t>）指出獨立董事之連結關係會影響成本僵固性；陳思婷（</w:t>
      </w:r>
      <w:r w:rsidRPr="00B65A93">
        <w:rPr>
          <w:rFonts w:eastAsia="標楷體"/>
          <w:sz w:val="28"/>
        </w:rPr>
        <w:t>2025</w:t>
      </w:r>
      <w:r w:rsidRPr="00B65A93">
        <w:rPr>
          <w:rFonts w:eastAsia="標楷體"/>
          <w:sz w:val="28"/>
        </w:rPr>
        <w:t>）以移轉訂價操弄反映代理問題，發現操弄程度越高、成本僵</w:t>
      </w:r>
      <w:r w:rsidRPr="00B65A93">
        <w:rPr>
          <w:rFonts w:eastAsia="標楷體"/>
          <w:sz w:val="28"/>
        </w:rPr>
        <w:t>固性越大；張宸杰（</w:t>
      </w:r>
      <w:r w:rsidRPr="00B65A93">
        <w:rPr>
          <w:rFonts w:eastAsia="標楷體"/>
          <w:sz w:val="28"/>
        </w:rPr>
        <w:t>2023</w:t>
      </w:r>
      <w:r w:rsidRPr="00B65A93">
        <w:rPr>
          <w:rFonts w:eastAsia="標楷體"/>
          <w:sz w:val="28"/>
        </w:rPr>
        <w:t>）檢視內部控制與財務危機之影響；顏宥盈（</w:t>
      </w:r>
      <w:r w:rsidRPr="00B65A93">
        <w:rPr>
          <w:rFonts w:eastAsia="標楷體"/>
          <w:sz w:val="28"/>
        </w:rPr>
        <w:t>2024</w:t>
      </w:r>
      <w:r w:rsidRPr="00B65A93">
        <w:rPr>
          <w:rFonts w:eastAsia="標楷體"/>
          <w:sz w:val="28"/>
        </w:rPr>
        <w:t>）探討內外部監督效果；謝雅筑（</w:t>
      </w:r>
      <w:r w:rsidRPr="00B65A93">
        <w:rPr>
          <w:rFonts w:eastAsia="標楷體"/>
          <w:sz w:val="28"/>
        </w:rPr>
        <w:t>2024</w:t>
      </w:r>
      <w:r w:rsidRPr="00B65A93">
        <w:rPr>
          <w:rFonts w:eastAsia="標楷體"/>
          <w:sz w:val="28"/>
        </w:rPr>
        <w:t>）以「飛行員</w:t>
      </w:r>
      <w:r w:rsidRPr="00B65A93">
        <w:rPr>
          <w:rFonts w:eastAsia="標楷體"/>
          <w:sz w:val="28"/>
        </w:rPr>
        <w:t xml:space="preserve"> CEO</w:t>
      </w:r>
      <w:r w:rsidRPr="00B65A93">
        <w:rPr>
          <w:rFonts w:eastAsia="標楷體"/>
          <w:sz w:val="28"/>
        </w:rPr>
        <w:t>」之風險偏好特質、邱圓雅（</w:t>
      </w:r>
      <w:r w:rsidRPr="00B65A93">
        <w:rPr>
          <w:rFonts w:eastAsia="標楷體"/>
          <w:sz w:val="28"/>
        </w:rPr>
        <w:t>2020</w:t>
      </w:r>
      <w:r w:rsidRPr="00B65A93">
        <w:rPr>
          <w:rFonts w:eastAsia="標楷體"/>
          <w:sz w:val="28"/>
        </w:rPr>
        <w:t>）以內部債，分別檢視管理者誘因對成本僵固性之作用；張芳瑜（</w:t>
      </w:r>
      <w:r w:rsidRPr="00B65A93">
        <w:rPr>
          <w:rFonts w:eastAsia="標楷體"/>
          <w:sz w:val="28"/>
        </w:rPr>
        <w:t>2023</w:t>
      </w:r>
      <w:r w:rsidRPr="00B65A93">
        <w:rPr>
          <w:rFonts w:eastAsia="標楷體"/>
          <w:sz w:val="28"/>
        </w:rPr>
        <w:t>）則反向檢視成本僵固性對企業績效之影響，並以總體經濟變數為調節。上述研究共同確立：成本僵固性在台灣市場穩健存在，</w:t>
      </w:r>
      <w:r w:rsidRPr="00B65A93">
        <w:rPr>
          <w:rFonts w:eastAsia="標楷體"/>
          <w:sz w:val="28"/>
        </w:rPr>
        <w:lastRenderedPageBreak/>
        <w:t>且受治理、誘因、財務狀況與總體環境調節，構成本研究之方法論基礎。</w:t>
      </w:r>
    </w:p>
    <w:p w:rsidR="00E613CE" w:rsidRPr="00B65A93" w:rsidRDefault="00B65A93">
      <w:pPr>
        <w:spacing w:line="360" w:lineRule="auto"/>
        <w:ind w:firstLine="480"/>
        <w:rPr>
          <w:rFonts w:eastAsia="標楷體"/>
          <w:sz w:val="28"/>
        </w:rPr>
      </w:pPr>
      <w:r w:rsidRPr="00B65A93">
        <w:rPr>
          <w:rFonts w:eastAsia="標楷體"/>
          <w:sz w:val="28"/>
        </w:rPr>
        <w:t>（二）環境、</w:t>
      </w:r>
      <w:r w:rsidRPr="00B65A93">
        <w:rPr>
          <w:rFonts w:eastAsia="標楷體"/>
          <w:sz w:val="28"/>
        </w:rPr>
        <w:t xml:space="preserve">ESG </w:t>
      </w:r>
      <w:r w:rsidRPr="00B65A93">
        <w:rPr>
          <w:rFonts w:eastAsia="標楷體"/>
          <w:sz w:val="28"/>
        </w:rPr>
        <w:t>與成本行為。將環境與永續因素連結成本行為之研究漸增。</w:t>
      </w:r>
      <w:r w:rsidRPr="00B65A93">
        <w:rPr>
          <w:rFonts w:eastAsia="標楷體"/>
          <w:sz w:val="28"/>
        </w:rPr>
        <w:t xml:space="preserve">Zeng, Peng and </w:t>
      </w:r>
      <w:r w:rsidRPr="00B65A93">
        <w:rPr>
          <w:rFonts w:eastAsia="標楷體"/>
          <w:sz w:val="28"/>
        </w:rPr>
        <w:t xml:space="preserve">Chan </w:t>
      </w:r>
      <w:r w:rsidRPr="00B65A93">
        <w:rPr>
          <w:rFonts w:eastAsia="標楷體"/>
          <w:sz w:val="28"/>
        </w:rPr>
        <w:t>以中國低碳城市政策為外生衝擊，發現政策促使企業增加綠色創新投資、並受融資限制影響，進而提高成本僵固性；</w:t>
      </w:r>
      <w:r w:rsidRPr="00B65A93">
        <w:rPr>
          <w:rFonts w:eastAsia="標楷體"/>
          <w:sz w:val="28"/>
        </w:rPr>
        <w:t>Jiang and Yang</w:t>
      </w:r>
      <w:r w:rsidRPr="00B65A93">
        <w:rPr>
          <w:rFonts w:eastAsia="標楷體"/>
          <w:sz w:val="28"/>
        </w:rPr>
        <w:t>（</w:t>
      </w:r>
      <w:r w:rsidRPr="00B65A93">
        <w:rPr>
          <w:rFonts w:eastAsia="標楷體"/>
          <w:sz w:val="28"/>
        </w:rPr>
        <w:t>2024</w:t>
      </w:r>
      <w:r w:rsidRPr="00B65A93">
        <w:rPr>
          <w:rFonts w:eastAsia="標楷體"/>
          <w:sz w:val="28"/>
        </w:rPr>
        <w:t>）則指出客戶端之</w:t>
      </w:r>
      <w:r w:rsidRPr="00B65A93">
        <w:rPr>
          <w:rFonts w:eastAsia="標楷體"/>
          <w:sz w:val="28"/>
        </w:rPr>
        <w:t xml:space="preserve"> ESG </w:t>
      </w:r>
      <w:r w:rsidRPr="00B65A93">
        <w:rPr>
          <w:rFonts w:eastAsia="標楷體"/>
          <w:sz w:val="28"/>
        </w:rPr>
        <w:t>揭露可透過供應鏈關係降低供應商管理者之過度樂觀，緩解其成本僵固性。國內方面，鄭紹君（</w:t>
      </w:r>
      <w:r w:rsidRPr="00B65A93">
        <w:rPr>
          <w:rFonts w:eastAsia="標楷體"/>
          <w:sz w:val="28"/>
        </w:rPr>
        <w:t>2018</w:t>
      </w:r>
      <w:r w:rsidRPr="00B65A93">
        <w:rPr>
          <w:rFonts w:eastAsia="標楷體"/>
          <w:sz w:val="28"/>
        </w:rPr>
        <w:t>）檢視企業社會責任活動與成本僵固性之關聯，並以</w:t>
      </w:r>
      <w:r w:rsidRPr="00B65A93">
        <w:rPr>
          <w:rFonts w:eastAsia="標楷體"/>
          <w:sz w:val="28"/>
        </w:rPr>
        <w:t xml:space="preserve"> CSR </w:t>
      </w:r>
      <w:r w:rsidRPr="00B65A93">
        <w:rPr>
          <w:rFonts w:eastAsia="標楷體"/>
          <w:sz w:val="28"/>
        </w:rPr>
        <w:t>願景為調節變數；最具參考價值者為李依潔（</w:t>
      </w:r>
      <w:r w:rsidRPr="00B65A93">
        <w:rPr>
          <w:rFonts w:eastAsia="標楷體"/>
          <w:sz w:val="28"/>
        </w:rPr>
        <w:t>2024</w:t>
      </w:r>
      <w:r w:rsidRPr="00B65A93">
        <w:rPr>
          <w:rFonts w:eastAsia="標楷體"/>
          <w:sz w:val="28"/>
        </w:rPr>
        <w:t>），其以</w:t>
      </w:r>
      <w:r w:rsidRPr="00B65A93">
        <w:rPr>
          <w:rFonts w:eastAsia="標楷體"/>
          <w:sz w:val="28"/>
        </w:rPr>
        <w:t xml:space="preserve"> 2016 </w:t>
      </w:r>
      <w:r w:rsidRPr="00B65A93">
        <w:rPr>
          <w:rFonts w:eastAsia="標楷體"/>
          <w:sz w:val="28"/>
        </w:rPr>
        <w:t>至</w:t>
      </w:r>
      <w:r w:rsidRPr="00B65A93">
        <w:rPr>
          <w:rFonts w:eastAsia="標楷體"/>
          <w:sz w:val="28"/>
        </w:rPr>
        <w:t xml:space="preserve">2022 </w:t>
      </w:r>
      <w:r w:rsidRPr="00B65A93">
        <w:rPr>
          <w:rFonts w:eastAsia="標楷體"/>
          <w:sz w:val="28"/>
        </w:rPr>
        <w:t>年台灣上市櫃公司為樣本，發現「企業投入</w:t>
      </w:r>
      <w:r w:rsidRPr="00B65A93">
        <w:rPr>
          <w:rFonts w:eastAsia="標楷體"/>
          <w:sz w:val="28"/>
        </w:rPr>
        <w:t xml:space="preserve"> ESG </w:t>
      </w:r>
      <w:r w:rsidRPr="00B65A93">
        <w:rPr>
          <w:rFonts w:eastAsia="標楷體"/>
          <w:sz w:val="28"/>
        </w:rPr>
        <w:t>環境活動績效越高、成本僵固性越高」，且採探勘者策略之公司因技</w:t>
      </w:r>
      <w:r w:rsidRPr="00B65A93">
        <w:rPr>
          <w:rFonts w:eastAsia="標楷體"/>
          <w:sz w:val="28"/>
        </w:rPr>
        <w:t>術彈性而減緩此正向關係</w:t>
      </w:r>
      <w:r w:rsidRPr="00B65A93">
        <w:rPr>
          <w:rFonts w:eastAsia="標楷體"/>
          <w:sz w:val="28"/>
        </w:rPr>
        <w:t>——</w:t>
      </w:r>
      <w:r w:rsidRPr="00B65A93">
        <w:rPr>
          <w:rFonts w:eastAsia="標楷體"/>
          <w:sz w:val="28"/>
        </w:rPr>
        <w:t>此結果與本研究「環境實質投入加劇成本黏性」之推論一致。辛珏辰（</w:t>
      </w:r>
      <w:r w:rsidRPr="00B65A93">
        <w:rPr>
          <w:rFonts w:eastAsia="標楷體"/>
          <w:sz w:val="28"/>
        </w:rPr>
        <w:t>2025</w:t>
      </w:r>
      <w:r w:rsidRPr="00B65A93">
        <w:rPr>
          <w:rFonts w:eastAsia="標楷體"/>
          <w:sz w:val="28"/>
        </w:rPr>
        <w:t>）進一步將</w:t>
      </w:r>
      <w:r w:rsidRPr="00B65A93">
        <w:rPr>
          <w:rFonts w:eastAsia="標楷體"/>
          <w:sz w:val="28"/>
        </w:rPr>
        <w:t xml:space="preserve"> ESG </w:t>
      </w:r>
      <w:r w:rsidRPr="00B65A93">
        <w:rPr>
          <w:rFonts w:eastAsia="標楷體"/>
          <w:sz w:val="28"/>
        </w:rPr>
        <w:t>活動與</w:t>
      </w:r>
      <w:r w:rsidRPr="00B65A93">
        <w:rPr>
          <w:rFonts w:eastAsia="標楷體"/>
          <w:sz w:val="28"/>
        </w:rPr>
        <w:t xml:space="preserve"> COVID-19 </w:t>
      </w:r>
      <w:r w:rsidRPr="00B65A93">
        <w:rPr>
          <w:rFonts w:eastAsia="標楷體"/>
          <w:sz w:val="28"/>
        </w:rPr>
        <w:t>衝擊納入成本僵固性分析。惟上述研究多以整體</w:t>
      </w:r>
      <w:r w:rsidRPr="00B65A93">
        <w:rPr>
          <w:rFonts w:eastAsia="標楷體"/>
          <w:sz w:val="28"/>
        </w:rPr>
        <w:t xml:space="preserve"> ESG </w:t>
      </w:r>
      <w:r w:rsidRPr="00B65A93">
        <w:rPr>
          <w:rFonts w:eastAsia="標楷體"/>
          <w:sz w:val="28"/>
        </w:rPr>
        <w:t>或</w:t>
      </w:r>
      <w:r w:rsidRPr="00B65A93">
        <w:rPr>
          <w:rFonts w:eastAsia="標楷體"/>
          <w:sz w:val="28"/>
        </w:rPr>
        <w:t xml:space="preserve"> CSR </w:t>
      </w:r>
      <w:r w:rsidRPr="00B65A93">
        <w:rPr>
          <w:rFonts w:eastAsia="標楷體"/>
          <w:sz w:val="28"/>
        </w:rPr>
        <w:t>為衡量，尚未細分水與廢棄物等個別環境構面。</w:t>
      </w:r>
    </w:p>
    <w:p w:rsidR="00E613CE" w:rsidRPr="00B65A93" w:rsidRDefault="00B65A93">
      <w:pPr>
        <w:spacing w:line="360" w:lineRule="auto"/>
        <w:ind w:firstLine="480"/>
        <w:rPr>
          <w:rFonts w:eastAsia="標楷體"/>
          <w:sz w:val="28"/>
        </w:rPr>
      </w:pPr>
      <w:r w:rsidRPr="00B65A93">
        <w:rPr>
          <w:rFonts w:eastAsia="標楷體"/>
          <w:sz w:val="28"/>
        </w:rPr>
        <w:t>（三）水資源績效與揭露。在水資源面，陳樸（</w:t>
      </w:r>
      <w:r w:rsidRPr="00B65A93">
        <w:rPr>
          <w:rFonts w:eastAsia="標楷體"/>
          <w:sz w:val="28"/>
        </w:rPr>
        <w:t>2024</w:t>
      </w:r>
      <w:r w:rsidRPr="00B65A93">
        <w:rPr>
          <w:rFonts w:eastAsia="標楷體"/>
          <w:sz w:val="28"/>
        </w:rPr>
        <w:t>）針對台灣上市食品公司建構水資源永續績效之評量方法，凸顯不同產業之用水特性與績效衡量之重要性；魏郁芳（</w:t>
      </w:r>
      <w:r w:rsidRPr="00B65A93">
        <w:rPr>
          <w:rFonts w:eastAsia="標楷體"/>
          <w:sz w:val="28"/>
        </w:rPr>
        <w:t>2025</w:t>
      </w:r>
      <w:r w:rsidRPr="00B65A93">
        <w:rPr>
          <w:rFonts w:eastAsia="標楷體"/>
          <w:sz w:val="28"/>
        </w:rPr>
        <w:t>）檢視企業內部因素與外部壓力對水資源揭露之影響，指出揭露行為受規範壓力與公司特徵驅動。這些研究確立水資</w:t>
      </w:r>
      <w:r w:rsidRPr="00B65A93">
        <w:rPr>
          <w:rFonts w:eastAsia="標楷體"/>
          <w:sz w:val="28"/>
        </w:rPr>
        <w:t>源之績效與揭露可被量化、且具明顯產業異質性，但少有將其進一步連結至企業成本調整行為者，留下可供延伸之空間。</w:t>
      </w:r>
    </w:p>
    <w:p w:rsidR="00E613CE" w:rsidRPr="00B65A93" w:rsidRDefault="00B65A93">
      <w:pPr>
        <w:spacing w:line="360" w:lineRule="auto"/>
        <w:ind w:firstLine="480"/>
        <w:rPr>
          <w:rFonts w:eastAsia="標楷體"/>
          <w:sz w:val="28"/>
        </w:rPr>
      </w:pPr>
      <w:r w:rsidRPr="00B65A93">
        <w:rPr>
          <w:rFonts w:eastAsia="標楷體"/>
          <w:sz w:val="28"/>
        </w:rPr>
        <w:lastRenderedPageBreak/>
        <w:t>（四）廢棄物管理與環境裁罰。廢棄物面，鍾文淇（</w:t>
      </w:r>
      <w:r w:rsidRPr="00B65A93">
        <w:rPr>
          <w:rFonts w:eastAsia="標楷體"/>
          <w:sz w:val="28"/>
        </w:rPr>
        <w:t>2025</w:t>
      </w:r>
      <w:r w:rsidRPr="00B65A93">
        <w:rPr>
          <w:rFonts w:eastAsia="標楷體"/>
          <w:sz w:val="28"/>
        </w:rPr>
        <w:t>）以直轄市為對象研究一般廢棄物回收率之成效，反映廢棄物處理之政策與制度脈絡。就企業而言，廢棄物之清運、處理與再利用高度仰賴專用設施與長期委外合約，且環境違規將面臨主管機關裁處，形成法遵與改善之強制性支出。相較於僅計算「罰鍰次數」，</w:t>
      </w:r>
      <w:r w:rsidRPr="00B65A93">
        <w:rPr>
          <w:rFonts w:eastAsia="標楷體"/>
          <w:sz w:val="28"/>
        </w:rPr>
        <w:t xml:space="preserve">TEJ </w:t>
      </w:r>
      <w:r w:rsidRPr="00B65A93">
        <w:rPr>
          <w:rFonts w:eastAsia="標楷體"/>
          <w:sz w:val="28"/>
        </w:rPr>
        <w:t>之列管事業污染源裁處資料提供逐案「裁處金額」，更能衡量違規之經濟強度，且可避免計數型變數受單一極端值主導之偏誤。</w:t>
      </w:r>
    </w:p>
    <w:p w:rsidR="00E613CE" w:rsidRPr="00B65A93" w:rsidRDefault="00B65A93">
      <w:pPr>
        <w:spacing w:line="360" w:lineRule="auto"/>
        <w:ind w:firstLine="480"/>
        <w:rPr>
          <w:rFonts w:eastAsia="標楷體"/>
          <w:sz w:val="28"/>
        </w:rPr>
      </w:pPr>
      <w:r w:rsidRPr="00B65A93">
        <w:rPr>
          <w:rFonts w:eastAsia="標楷體"/>
          <w:sz w:val="28"/>
        </w:rPr>
        <w:t>值得注意的是，廢棄物構面同時具備「實質產出密集度」與「違規風險」兩種面向：前者以單位營收之廢棄物量（廢棄物密集度）衡量企業處理負擔之高低，後者以環境裁處金額反映違規所帶來之強制性法遵與改善支出。二者雖同屬廢棄物管理，但作用機制不同</w:t>
      </w:r>
      <w:r w:rsidRPr="00B65A93">
        <w:rPr>
          <w:rFonts w:eastAsia="標楷體"/>
          <w:sz w:val="28"/>
        </w:rPr>
        <w:t>——</w:t>
      </w:r>
      <w:r w:rsidRPr="00B65A93">
        <w:rPr>
          <w:rFonts w:eastAsia="標楷體"/>
          <w:sz w:val="28"/>
        </w:rPr>
        <w:t>密集度反映的是常態性、與產能綁定之處理成本，裁罰則屬事件性、與治理與守法程度相關之衝擊。本研究將兩者分別檢視，以區辨常態處理負擔與違規事件對成本黏性之不同影響。</w:t>
      </w:r>
    </w:p>
    <w:p w:rsidR="00E613CE" w:rsidRPr="00B65A93" w:rsidRDefault="00B65A93">
      <w:pPr>
        <w:spacing w:line="360" w:lineRule="auto"/>
        <w:ind w:firstLine="480"/>
        <w:rPr>
          <w:rFonts w:eastAsia="標楷體"/>
          <w:sz w:val="28"/>
        </w:rPr>
      </w:pPr>
      <w:r w:rsidRPr="00B65A93">
        <w:rPr>
          <w:rFonts w:eastAsia="標楷體"/>
          <w:sz w:val="28"/>
        </w:rPr>
        <w:t>（五）供應鏈機制與研究缺口。供應鏈機制方面，劉佳熒（</w:t>
      </w:r>
      <w:r w:rsidRPr="00B65A93">
        <w:rPr>
          <w:rFonts w:eastAsia="標楷體"/>
          <w:sz w:val="28"/>
        </w:rPr>
        <w:t>2022</w:t>
      </w:r>
      <w:r w:rsidRPr="00B65A93">
        <w:rPr>
          <w:rFonts w:eastAsia="標楷體"/>
          <w:sz w:val="28"/>
        </w:rPr>
        <w:t>）檢視客戶</w:t>
      </w:r>
      <w:r w:rsidRPr="00B65A93">
        <w:rPr>
          <w:rFonts w:eastAsia="標楷體"/>
          <w:sz w:val="28"/>
        </w:rPr>
        <w:t>—</w:t>
      </w:r>
      <w:r w:rsidRPr="00B65A93">
        <w:rPr>
          <w:rFonts w:eastAsia="標楷體"/>
          <w:sz w:val="28"/>
        </w:rPr>
        <w:t>供應商關係對供應商成本行為之影響，與</w:t>
      </w:r>
      <w:r w:rsidRPr="00B65A93">
        <w:rPr>
          <w:rFonts w:eastAsia="標楷體"/>
          <w:sz w:val="28"/>
        </w:rPr>
        <w:t xml:space="preserve"> Ji</w:t>
      </w:r>
      <w:r w:rsidRPr="00B65A93">
        <w:rPr>
          <w:rFonts w:eastAsia="標楷體"/>
          <w:sz w:val="28"/>
        </w:rPr>
        <w:t>ang and Yang</w:t>
      </w:r>
      <w:r w:rsidRPr="00B65A93">
        <w:rPr>
          <w:rFonts w:eastAsia="標楷體"/>
          <w:sz w:val="28"/>
        </w:rPr>
        <w:t>（</w:t>
      </w:r>
      <w:r w:rsidRPr="00B65A93">
        <w:rPr>
          <w:rFonts w:eastAsia="標楷體"/>
          <w:sz w:val="28"/>
        </w:rPr>
        <w:t>2024</w:t>
      </w:r>
      <w:r w:rsidRPr="00B65A93">
        <w:rPr>
          <w:rFonts w:eastAsia="標楷體"/>
          <w:sz w:val="28"/>
        </w:rPr>
        <w:t>）相互呼應，顯示外部關係亦形塑企業之成本調整。綜合上述，既有文獻雖已分別累積「成本僵固性決定因素」與「環境／</w:t>
      </w:r>
      <w:r w:rsidRPr="00B65A93">
        <w:rPr>
          <w:rFonts w:eastAsia="標楷體"/>
          <w:sz w:val="28"/>
        </w:rPr>
        <w:t xml:space="preserve">ESG </w:t>
      </w:r>
      <w:r w:rsidRPr="00B65A93">
        <w:rPr>
          <w:rFonts w:eastAsia="標楷體"/>
          <w:sz w:val="28"/>
        </w:rPr>
        <w:t>財務後果」兩支脈絡，但少有研究以「成本黏性」為應變數，並將環境構面細分為水與廢棄物之「實質使用密集度」與「資訊揭露」，且同時結合時間落差與高／低污染產業異質性加以檢驗。此即本研究欲填補之缺口，並據以發展下列假說。</w:t>
      </w:r>
    </w:p>
    <w:p w:rsidR="00E613CE" w:rsidRPr="00B65A93" w:rsidRDefault="00B65A93">
      <w:pPr>
        <w:spacing w:line="360" w:lineRule="auto"/>
        <w:ind w:firstLine="480"/>
        <w:rPr>
          <w:rFonts w:eastAsia="標楷體"/>
          <w:sz w:val="28"/>
        </w:rPr>
      </w:pPr>
      <w:r w:rsidRPr="00B65A93">
        <w:rPr>
          <w:rFonts w:eastAsia="標楷體"/>
          <w:sz w:val="28"/>
        </w:rPr>
        <w:lastRenderedPageBreak/>
        <w:t>在衡量與模型方面，</w:t>
      </w:r>
      <w:r w:rsidRPr="00B65A93">
        <w:rPr>
          <w:rFonts w:eastAsia="標楷體"/>
          <w:sz w:val="28"/>
        </w:rPr>
        <w:t>Anderson et al.</w:t>
      </w:r>
      <w:r w:rsidRPr="00B65A93">
        <w:rPr>
          <w:rFonts w:eastAsia="標楷體"/>
          <w:sz w:val="28"/>
        </w:rPr>
        <w:t>（</w:t>
      </w:r>
      <w:r w:rsidRPr="00B65A93">
        <w:rPr>
          <w:rFonts w:eastAsia="標楷體"/>
          <w:sz w:val="28"/>
        </w:rPr>
        <w:t>2003</w:t>
      </w:r>
      <w:r w:rsidRPr="00B65A93">
        <w:rPr>
          <w:rFonts w:eastAsia="標楷體"/>
          <w:sz w:val="28"/>
        </w:rPr>
        <w:t>）之對數</w:t>
      </w:r>
      <w:r w:rsidRPr="00B65A93">
        <w:rPr>
          <w:rFonts w:eastAsia="標楷體"/>
          <w:sz w:val="28"/>
        </w:rPr>
        <w:t>—</w:t>
      </w:r>
      <w:r w:rsidRPr="00B65A93">
        <w:rPr>
          <w:rFonts w:eastAsia="標楷體"/>
          <w:sz w:val="28"/>
        </w:rPr>
        <w:t>對數設定已成為成本僵固性研究之標準：以營業費用變動率對營收變動率迴歸，並加入營收</w:t>
      </w:r>
      <w:r w:rsidRPr="00B65A93">
        <w:rPr>
          <w:rFonts w:eastAsia="標楷體"/>
          <w:sz w:val="28"/>
        </w:rPr>
        <w:t>下降虛擬變數與營收變動率之交乘，藉交乘項係數捕捉調整之非對稱性。此設定之優點在於係數可直接解讀為彈性，且便於加入調節變數之三重交乘以檢視特定因素之影響。本研究上述國內文獻（如張凱瑜</w:t>
      </w:r>
      <w:r w:rsidRPr="00B65A93">
        <w:rPr>
          <w:rFonts w:eastAsia="標楷體"/>
          <w:sz w:val="28"/>
        </w:rPr>
        <w:t>, 2025</w:t>
      </w:r>
      <w:r w:rsidRPr="00B65A93">
        <w:rPr>
          <w:rFonts w:eastAsia="標楷體"/>
          <w:sz w:val="28"/>
        </w:rPr>
        <w:t>；陳思婷</w:t>
      </w:r>
      <w:r w:rsidRPr="00B65A93">
        <w:rPr>
          <w:rFonts w:eastAsia="標楷體"/>
          <w:sz w:val="28"/>
        </w:rPr>
        <w:t>, 2025</w:t>
      </w:r>
      <w:r w:rsidRPr="00B65A93">
        <w:rPr>
          <w:rFonts w:eastAsia="標楷體"/>
          <w:sz w:val="28"/>
        </w:rPr>
        <w:t>；李依潔</w:t>
      </w:r>
      <w:r w:rsidRPr="00B65A93">
        <w:rPr>
          <w:rFonts w:eastAsia="標楷體"/>
          <w:sz w:val="28"/>
        </w:rPr>
        <w:t>, 2024</w:t>
      </w:r>
      <w:r w:rsidRPr="00B65A93">
        <w:rPr>
          <w:rFonts w:eastAsia="標楷體"/>
          <w:sz w:val="28"/>
        </w:rPr>
        <w:t>）多沿用此一架構，顯示其在台灣資料之適用性；本研究亦以之為基礎，將環境使用密集度、揭露與裁罰變數納入三重交乘，以檢驗其對成本黏性之調節作用。</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在環境資訊揭露之制度背景方面，隨著金管會分階段推動永續報告書之編製與第三方確信，企業於用水、廢水與廢棄物之量化揭露日趨完整，</w:t>
      </w:r>
      <w:r w:rsidRPr="00B65A93">
        <w:rPr>
          <w:rFonts w:eastAsia="標楷體"/>
          <w:sz w:val="28"/>
          <w:lang w:eastAsia="zh-TW"/>
        </w:rPr>
        <w:t xml:space="preserve">TESG </w:t>
      </w:r>
      <w:r w:rsidRPr="00B65A93">
        <w:rPr>
          <w:rFonts w:eastAsia="標楷體"/>
          <w:sz w:val="28"/>
          <w:lang w:eastAsia="zh-TW"/>
        </w:rPr>
        <w:t>亦據</w:t>
      </w:r>
      <w:r w:rsidRPr="00B65A93">
        <w:rPr>
          <w:rFonts w:eastAsia="標楷體"/>
          <w:sz w:val="28"/>
          <w:lang w:eastAsia="zh-TW"/>
        </w:rPr>
        <w:t>以建置用水量、廢棄物量與</w:t>
      </w:r>
      <w:r w:rsidRPr="00B65A93">
        <w:rPr>
          <w:rFonts w:eastAsia="標楷體"/>
          <w:sz w:val="28"/>
          <w:lang w:eastAsia="zh-TW"/>
        </w:rPr>
        <w:t xml:space="preserve"> GRI </w:t>
      </w:r>
      <w:r w:rsidRPr="00B65A93">
        <w:rPr>
          <w:rFonts w:eastAsia="標楷體"/>
          <w:sz w:val="28"/>
          <w:lang w:eastAsia="zh-TW"/>
        </w:rPr>
        <w:t>揭露度等結構化欄位。魏郁芳（</w:t>
      </w:r>
      <w:r w:rsidRPr="00B65A93">
        <w:rPr>
          <w:rFonts w:eastAsia="標楷體"/>
          <w:sz w:val="28"/>
          <w:lang w:eastAsia="zh-TW"/>
        </w:rPr>
        <w:t>2025</w:t>
      </w:r>
      <w:r w:rsidRPr="00B65A93">
        <w:rPr>
          <w:rFonts w:eastAsia="標楷體"/>
          <w:sz w:val="28"/>
          <w:lang w:eastAsia="zh-TW"/>
        </w:rPr>
        <w:t>）指出水資源揭露受規範壓力與公司特徵驅動，陳樸（</w:t>
      </w:r>
      <w:r w:rsidRPr="00B65A93">
        <w:rPr>
          <w:rFonts w:eastAsia="標楷體"/>
          <w:sz w:val="28"/>
          <w:lang w:eastAsia="zh-TW"/>
        </w:rPr>
        <w:t>2024</w:t>
      </w:r>
      <w:r w:rsidRPr="00B65A93">
        <w:rPr>
          <w:rFonts w:eastAsia="標楷體"/>
          <w:sz w:val="28"/>
          <w:lang w:eastAsia="zh-TW"/>
        </w:rPr>
        <w:t>）則說明產業別對水資源績效衡量之影響；就廢棄物而言，鍾文淇（</w:t>
      </w:r>
      <w:r w:rsidRPr="00B65A93">
        <w:rPr>
          <w:rFonts w:eastAsia="標楷體"/>
          <w:sz w:val="28"/>
          <w:lang w:eastAsia="zh-TW"/>
        </w:rPr>
        <w:t>2025</w:t>
      </w:r>
      <w:r w:rsidRPr="00B65A93">
        <w:rPr>
          <w:rFonts w:eastAsia="標楷體"/>
          <w:sz w:val="28"/>
          <w:lang w:eastAsia="zh-TW"/>
        </w:rPr>
        <w:t>）反映回收與處理之制度脈絡。這些制度化與資料化的進展，使本研究得以較過去更完整地衡量企業之環境使用密集度與揭露品質，並將列管事業污染源之逐案裁處金額納入分析，兼顧衡量之細緻度與可靠度。</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（六）理論整合與本研究之定位。統整上述文獻，環境因素影響成本黏性主要循兩條路徑。第一為「調整成本／實質投入」路徑：企業投入水循環、廢</w:t>
      </w:r>
      <w:r w:rsidRPr="00B65A93">
        <w:rPr>
          <w:rFonts w:eastAsia="標楷體"/>
          <w:sz w:val="28"/>
          <w:lang w:eastAsia="zh-TW"/>
        </w:rPr>
        <w:t>水與廢棄物處理等專用資產與長期合約後，於營收下降時難以即時削減，遂加劇成本黏性</w:t>
      </w:r>
      <w:bookmarkStart w:id="0" w:name="_GoBack"/>
      <w:bookmarkEnd w:id="0"/>
      <w:r w:rsidRPr="00B65A93">
        <w:rPr>
          <w:rFonts w:eastAsia="標楷體"/>
          <w:sz w:val="28"/>
          <w:lang w:eastAsia="zh-TW"/>
        </w:rPr>
        <w:t>；</w:t>
      </w:r>
      <w:r w:rsidRPr="00B65A93">
        <w:rPr>
          <w:rFonts w:eastAsia="標楷體"/>
          <w:sz w:val="28"/>
          <w:lang w:eastAsia="zh-TW"/>
        </w:rPr>
        <w:t xml:space="preserve">Zeng, Peng and Chan </w:t>
      </w:r>
      <w:r w:rsidRPr="00B65A93">
        <w:rPr>
          <w:rFonts w:eastAsia="標楷體"/>
          <w:sz w:val="28"/>
          <w:lang w:eastAsia="zh-TW"/>
        </w:rPr>
        <w:t>之綠色創新與融資限制、李依潔（</w:t>
      </w:r>
      <w:r w:rsidRPr="00B65A93">
        <w:rPr>
          <w:rFonts w:eastAsia="標楷體"/>
          <w:sz w:val="28"/>
          <w:lang w:eastAsia="zh-TW"/>
        </w:rPr>
        <w:t>2024</w:t>
      </w:r>
      <w:r w:rsidRPr="00B65A93">
        <w:rPr>
          <w:rFonts w:eastAsia="標楷體"/>
          <w:sz w:val="28"/>
          <w:lang w:eastAsia="zh-TW"/>
        </w:rPr>
        <w:t>）之環境活動績效越高、成本僵固性越高，均屬此路徑之佐證。第二為「資訊透明度／監督」路徑：主動且</w:t>
      </w:r>
      <w:r w:rsidRPr="00B65A93">
        <w:rPr>
          <w:rFonts w:eastAsia="標楷體"/>
          <w:sz w:val="28"/>
          <w:lang w:eastAsia="zh-TW"/>
        </w:rPr>
        <w:lastRenderedPageBreak/>
        <w:t>高品質之環境揭露可降低資訊不對稱、矯正管理者過度樂觀，促使其於需求下滑時更果斷調整資源，從而緩解成本黏性；</w:t>
      </w:r>
      <w:r w:rsidRPr="00B65A93">
        <w:rPr>
          <w:rFonts w:eastAsia="標楷體"/>
          <w:sz w:val="28"/>
          <w:lang w:eastAsia="zh-TW"/>
        </w:rPr>
        <w:t>Jiang and Yang</w:t>
      </w:r>
      <w:r w:rsidRPr="00B65A93">
        <w:rPr>
          <w:rFonts w:eastAsia="標楷體"/>
          <w:sz w:val="28"/>
          <w:lang w:eastAsia="zh-TW"/>
        </w:rPr>
        <w:t>（</w:t>
      </w:r>
      <w:r w:rsidRPr="00B65A93">
        <w:rPr>
          <w:rFonts w:eastAsia="標楷體"/>
          <w:sz w:val="28"/>
          <w:lang w:eastAsia="zh-TW"/>
        </w:rPr>
        <w:t>2024</w:t>
      </w:r>
      <w:r w:rsidRPr="00B65A93">
        <w:rPr>
          <w:rFonts w:eastAsia="標楷體"/>
          <w:sz w:val="28"/>
          <w:lang w:eastAsia="zh-TW"/>
        </w:rPr>
        <w:t>）之供應鏈</w:t>
      </w:r>
      <w:r w:rsidRPr="00B65A93">
        <w:rPr>
          <w:rFonts w:eastAsia="標楷體"/>
          <w:sz w:val="28"/>
          <w:lang w:eastAsia="zh-TW"/>
        </w:rPr>
        <w:t xml:space="preserve"> ESG </w:t>
      </w:r>
      <w:r w:rsidRPr="00B65A93">
        <w:rPr>
          <w:rFonts w:eastAsia="標楷體"/>
          <w:sz w:val="28"/>
          <w:lang w:eastAsia="zh-TW"/>
        </w:rPr>
        <w:t>揭露緩解供應商成本僵固，以及魏郁芳（</w:t>
      </w:r>
      <w:r w:rsidRPr="00B65A93">
        <w:rPr>
          <w:rFonts w:eastAsia="標楷體"/>
          <w:sz w:val="28"/>
          <w:lang w:eastAsia="zh-TW"/>
        </w:rPr>
        <w:t>2025</w:t>
      </w:r>
      <w:r w:rsidRPr="00B65A93">
        <w:rPr>
          <w:rFonts w:eastAsia="標楷體"/>
          <w:sz w:val="28"/>
          <w:lang w:eastAsia="zh-TW"/>
        </w:rPr>
        <w:t>）關於揭露決定因素之討論，皆與此路徑相關。本研究主張</w:t>
      </w:r>
      <w:r w:rsidRPr="00B65A93">
        <w:rPr>
          <w:rFonts w:eastAsia="標楷體"/>
          <w:sz w:val="28"/>
          <w:lang w:eastAsia="zh-TW"/>
        </w:rPr>
        <w:t>，就「水」與「廢棄物」而言，實質使用密集度所代表的調整成本路徑，較揭露路徑更為直接且可量化，故以使用密集度為核心構面，並以揭露與裁罰為輔助對照，藉此辨識二路徑之相對作用。</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此外，成本黏性之強度亦受產業與時間因素調節。台灣製造業次產業之環境資源依賴度差異甚大</w:t>
      </w:r>
      <w:r w:rsidRPr="00B65A93">
        <w:rPr>
          <w:rFonts w:eastAsia="標楷體"/>
          <w:sz w:val="28"/>
          <w:lang w:eastAsia="zh-TW"/>
        </w:rPr>
        <w:t>——</w:t>
      </w:r>
      <w:r w:rsidRPr="00B65A93">
        <w:rPr>
          <w:rFonts w:eastAsia="標楷體"/>
          <w:sz w:val="28"/>
          <w:lang w:eastAsia="zh-TW"/>
        </w:rPr>
        <w:t>半導體、光電、化工、鋼鐵、造紙與紡織等屬高取水、高污染產業，其環境專用投入與法遵負擔遠高於組裝、服務或資訊類產業；因此，環境使用密集度對成本黏性之效果，理應集中於高污染產業。再者，環境設施與合約之成本僵固性往往非於投入當期立即顯現，而是隨設施折舊、合約</w:t>
      </w:r>
      <w:r w:rsidRPr="00B65A93">
        <w:rPr>
          <w:rFonts w:eastAsia="標楷體"/>
          <w:sz w:val="28"/>
          <w:lang w:eastAsia="zh-TW"/>
        </w:rPr>
        <w:t>續期與處理量累積而逐步強化，故本研究另檢視遞延一至兩期之效果。綜言之，既有文獻為本研究奠定理論與方法基礎，而本研究以「環境使用密集度為核心、揭露與裁罰為輔，並納入產業異質性與時間落差」之設計，回應並延伸此一研究脈絡。</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t>第二節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水管理績效與成本黏性（</w:t>
      </w:r>
      <w:r w:rsidRPr="00B65A93">
        <w:rPr>
          <w:rFonts w:ascii="Times New Roman" w:eastAsia="標楷體" w:hAnsi="Times New Roman"/>
          <w:b w:val="0"/>
          <w:sz w:val="28"/>
          <w:lang w:eastAsia="zh-TW"/>
        </w:rPr>
        <w:t>H1</w:t>
      </w:r>
      <w:r w:rsidRPr="00B65A93">
        <w:rPr>
          <w:rFonts w:ascii="Times New Roman" w:eastAsia="標楷體" w:hAnsi="Times New Roman"/>
          <w:b w:val="0"/>
          <w:sz w:val="28"/>
          <w:lang w:eastAsia="zh-TW"/>
        </w:rPr>
        <w:t>）</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提升水回收率通常需長期投入專用資產與人力，屬高風險、長週期之綠色投資。當營收下降時，管理者不易削減此類專用資源，閒置資源被保留，進而推升成本黏性。據此提出：</w:t>
      </w:r>
    </w:p>
    <w:p w:rsidR="00E613CE" w:rsidRPr="00B65A93" w:rsidRDefault="00B65A93">
      <w:pPr>
        <w:spacing w:line="360" w:lineRule="auto"/>
        <w:rPr>
          <w:rFonts w:eastAsia="標楷體"/>
          <w:sz w:val="28"/>
          <w:lang w:eastAsia="zh-TW"/>
        </w:rPr>
      </w:pPr>
      <w:r w:rsidRPr="00B65A93">
        <w:rPr>
          <w:rFonts w:eastAsia="標楷體"/>
          <w:sz w:val="28"/>
          <w:lang w:eastAsia="zh-TW"/>
        </w:rPr>
        <w:t>H1</w:t>
      </w:r>
      <w:r w:rsidRPr="00B65A93">
        <w:rPr>
          <w:rFonts w:eastAsia="標楷體"/>
          <w:sz w:val="28"/>
          <w:lang w:eastAsia="zh-TW"/>
        </w:rPr>
        <w:t>：企業水回收率越高，其成本黏性越大（模型中</w:t>
      </w:r>
      <w:r w:rsidRPr="00B65A93">
        <w:rPr>
          <w:rFonts w:eastAsia="標楷體"/>
          <w:sz w:val="28"/>
          <w:lang w:eastAsia="zh-TW"/>
        </w:rPr>
        <w:t xml:space="preserve"> </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預期顯著為負）。</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lastRenderedPageBreak/>
        <w:t>第三節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水資訊揭露與成本黏</w:t>
      </w:r>
      <w:r w:rsidRPr="00B65A93">
        <w:rPr>
          <w:rFonts w:ascii="Times New Roman" w:eastAsia="標楷體" w:hAnsi="Times New Roman"/>
          <w:b w:val="0"/>
          <w:sz w:val="28"/>
          <w:lang w:eastAsia="zh-TW"/>
        </w:rPr>
        <w:t>性（</w:t>
      </w:r>
      <w:r w:rsidRPr="00B65A93">
        <w:rPr>
          <w:rFonts w:ascii="Times New Roman" w:eastAsia="標楷體" w:hAnsi="Times New Roman"/>
          <w:b w:val="0"/>
          <w:sz w:val="28"/>
          <w:lang w:eastAsia="zh-TW"/>
        </w:rPr>
        <w:t>H2</w:t>
      </w:r>
      <w:r w:rsidRPr="00B65A93">
        <w:rPr>
          <w:rFonts w:ascii="Times New Roman" w:eastAsia="標楷體" w:hAnsi="Times New Roman"/>
          <w:b w:val="0"/>
          <w:sz w:val="28"/>
          <w:lang w:eastAsia="zh-TW"/>
        </w:rPr>
        <w:t>）</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主動揭露水資源管理資料代表較高的環境資訊透明度，有助於矯正管理者的過度樂觀預期與代理問題；當營收下降時，透明度高的企業較能果斷調整閒置資源，從而降低成本黏性。據此提出：</w:t>
      </w:r>
    </w:p>
    <w:p w:rsidR="00E613CE" w:rsidRPr="00B65A93" w:rsidRDefault="00B65A93">
      <w:pPr>
        <w:spacing w:line="360" w:lineRule="auto"/>
        <w:rPr>
          <w:rFonts w:eastAsia="標楷體"/>
          <w:sz w:val="28"/>
          <w:lang w:eastAsia="zh-TW"/>
        </w:rPr>
      </w:pPr>
      <w:r w:rsidRPr="00B65A93">
        <w:rPr>
          <w:rFonts w:eastAsia="標楷體"/>
          <w:sz w:val="28"/>
          <w:lang w:eastAsia="zh-TW"/>
        </w:rPr>
        <w:t>H2</w:t>
      </w:r>
      <w:r w:rsidRPr="00B65A93">
        <w:rPr>
          <w:rFonts w:eastAsia="標楷體"/>
          <w:sz w:val="28"/>
          <w:lang w:eastAsia="zh-TW"/>
        </w:rPr>
        <w:t>：相較未揭露者，有揭露水管理資訊的企業其成本黏性較低（模型中</w:t>
      </w:r>
      <w:r w:rsidRPr="00B65A93">
        <w:rPr>
          <w:rFonts w:eastAsia="標楷體"/>
          <w:sz w:val="28"/>
          <w:lang w:eastAsia="zh-TW"/>
        </w:rPr>
        <w:t xml:space="preserve"> </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預期顯著為正）。</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t>第四節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廢棄物管理與成本黏性（</w:t>
      </w:r>
      <w:r w:rsidRPr="00B65A93">
        <w:rPr>
          <w:rFonts w:ascii="Times New Roman" w:eastAsia="標楷體" w:hAnsi="Times New Roman"/>
          <w:b w:val="0"/>
          <w:sz w:val="28"/>
          <w:lang w:eastAsia="zh-TW"/>
        </w:rPr>
        <w:t>H3–H5</w:t>
      </w:r>
      <w:r w:rsidRPr="00B65A93">
        <w:rPr>
          <w:rFonts w:ascii="Times New Roman" w:eastAsia="標楷體" w:hAnsi="Times New Roman"/>
          <w:b w:val="0"/>
          <w:sz w:val="28"/>
          <w:lang w:eastAsia="zh-TW"/>
        </w:rPr>
        <w:t>）</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水管理效果在台灣製造業樣本相對有限，故本研究進一步將環境構面擴充至廢棄物管理。台灣製造業（尤其半導體、光電、化工）之廢棄物清運與處理高度仰賴長期委外合約與專用處理設施，具明顯的費用僵固性；同時環境違規（罰鍰）具強制性降本阻力。據此提出三項假設：</w:t>
      </w:r>
    </w:p>
    <w:p w:rsidR="00E613CE" w:rsidRPr="00B65A93" w:rsidRDefault="00B65A93">
      <w:pPr>
        <w:spacing w:line="360" w:lineRule="auto"/>
        <w:rPr>
          <w:rFonts w:eastAsia="標楷體"/>
          <w:sz w:val="28"/>
          <w:lang w:eastAsia="zh-TW"/>
        </w:rPr>
      </w:pPr>
      <w:r w:rsidRPr="00B65A93">
        <w:rPr>
          <w:rFonts w:eastAsia="標楷體"/>
          <w:sz w:val="28"/>
          <w:lang w:eastAsia="zh-TW"/>
        </w:rPr>
        <w:t>H3</w:t>
      </w:r>
      <w:r w:rsidRPr="00B65A93">
        <w:rPr>
          <w:rFonts w:eastAsia="標楷體"/>
          <w:sz w:val="28"/>
          <w:lang w:eastAsia="zh-TW"/>
        </w:rPr>
        <w:t>（實質投入）：每百萬營收廢棄物量越高，成本黏性越大（廢棄物處理合約與費用僵固；</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預期為負）。</w:t>
      </w:r>
    </w:p>
    <w:p w:rsidR="00E613CE" w:rsidRPr="00B65A93" w:rsidRDefault="00B65A93">
      <w:pPr>
        <w:spacing w:line="360" w:lineRule="auto"/>
        <w:rPr>
          <w:rFonts w:eastAsia="標楷體"/>
          <w:sz w:val="28"/>
          <w:lang w:eastAsia="zh-TW"/>
        </w:rPr>
      </w:pPr>
      <w:r w:rsidRPr="00B65A93">
        <w:rPr>
          <w:rFonts w:eastAsia="標楷體"/>
          <w:sz w:val="28"/>
          <w:lang w:eastAsia="zh-TW"/>
        </w:rPr>
        <w:t>H4</w:t>
      </w:r>
      <w:r w:rsidRPr="00B65A93">
        <w:rPr>
          <w:rFonts w:eastAsia="標楷體"/>
          <w:sz w:val="28"/>
          <w:lang w:eastAsia="zh-TW"/>
        </w:rPr>
        <w:t>（資訊透明度）：廢棄物管理揭露品質越高，成本黏性越低（監督效果矯正管理者預期；</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預期為正）。</w:t>
      </w:r>
    </w:p>
    <w:p w:rsidR="00E613CE" w:rsidRPr="00B65A93" w:rsidRDefault="00B65A93">
      <w:pPr>
        <w:spacing w:line="360" w:lineRule="auto"/>
        <w:rPr>
          <w:rFonts w:eastAsia="標楷體"/>
          <w:sz w:val="28"/>
          <w:lang w:eastAsia="zh-TW"/>
        </w:rPr>
      </w:pPr>
      <w:r w:rsidRPr="00B65A93">
        <w:rPr>
          <w:rFonts w:eastAsia="標楷體"/>
          <w:sz w:val="28"/>
          <w:lang w:eastAsia="zh-TW"/>
        </w:rPr>
        <w:t>H5</w:t>
      </w:r>
      <w:r w:rsidRPr="00B65A93">
        <w:rPr>
          <w:rFonts w:eastAsia="標楷體"/>
          <w:sz w:val="28"/>
          <w:lang w:eastAsia="zh-TW"/>
        </w:rPr>
        <w:t>（風險衝擊）：事業廢棄物違規裁罰金額越高，成本黏性越大（違</w:t>
      </w:r>
      <w:r w:rsidRPr="00B65A93">
        <w:rPr>
          <w:rFonts w:eastAsia="標楷體"/>
          <w:sz w:val="28"/>
          <w:lang w:eastAsia="zh-TW"/>
        </w:rPr>
        <w:t>規之強制性降本阻力；</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預期為負）。</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t>第五節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使用密集度與成本黏性（</w:t>
      </w:r>
      <w:r w:rsidRPr="00B65A93">
        <w:rPr>
          <w:rFonts w:ascii="Times New Roman" w:eastAsia="標楷體" w:hAnsi="Times New Roman"/>
          <w:b w:val="0"/>
          <w:sz w:val="28"/>
          <w:lang w:eastAsia="zh-TW"/>
        </w:rPr>
        <w:t>H6</w:t>
      </w:r>
      <w:r w:rsidRPr="00B65A93">
        <w:rPr>
          <w:rFonts w:ascii="Times New Roman" w:eastAsia="標楷體" w:hAnsi="Times New Roman"/>
          <w:b w:val="0"/>
          <w:sz w:val="28"/>
          <w:lang w:eastAsia="zh-TW"/>
        </w:rPr>
        <w:t>，核心假說）</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綜合水與廢棄物之實質投入機制，本研究以「環境使用密集度」為核心構念：企業單位營收所消耗之水資源與產生之廢棄物越高，代表其營運對環境資源之依賴與專用處理設施投入越深；當營收下降時，</w:t>
      </w:r>
      <w:r w:rsidRPr="00B65A93">
        <w:rPr>
          <w:rFonts w:eastAsia="標楷體"/>
          <w:sz w:val="28"/>
          <w:lang w:eastAsia="zh-TW"/>
        </w:rPr>
        <w:lastRenderedPageBreak/>
        <w:t>此類與產能綁定之取水、廢水與廢棄物處理成本難以即時削減，將推升成本黏性。用水密集度樣本涵蓋度遠高於水回收率，檢定力較佳。據此提出核心假說：</w:t>
      </w:r>
    </w:p>
    <w:p w:rsidR="00E613CE" w:rsidRPr="00B65A93" w:rsidRDefault="00B65A93">
      <w:pPr>
        <w:spacing w:line="360" w:lineRule="auto"/>
        <w:rPr>
          <w:rFonts w:eastAsia="標楷體"/>
          <w:sz w:val="28"/>
          <w:lang w:eastAsia="zh-TW"/>
        </w:rPr>
      </w:pPr>
      <w:r w:rsidRPr="00B65A93">
        <w:rPr>
          <w:rFonts w:eastAsia="標楷體"/>
          <w:sz w:val="28"/>
          <w:lang w:eastAsia="zh-TW"/>
        </w:rPr>
        <w:t>H6</w:t>
      </w:r>
      <w:r w:rsidRPr="00B65A93">
        <w:rPr>
          <w:rFonts w:eastAsia="標楷體"/>
          <w:sz w:val="28"/>
          <w:lang w:eastAsia="zh-TW"/>
        </w:rPr>
        <w:t>：企業用水密集度（與廢棄物密集度）越高，成本黏性越大（</w:t>
      </w:r>
      <w:r w:rsidRPr="00B65A93">
        <w:rPr>
          <w:rFonts w:eastAsia="標楷體"/>
          <w:sz w:val="28"/>
        </w:rPr>
        <w:t>β</w:t>
      </w:r>
      <w:r w:rsidRPr="00B65A93">
        <w:rPr>
          <w:rFonts w:eastAsia="標楷體"/>
          <w:sz w:val="28"/>
          <w:lang w:eastAsia="zh-TW"/>
        </w:rPr>
        <w:t xml:space="preserve">3 </w:t>
      </w:r>
      <w:r w:rsidRPr="00B65A93">
        <w:rPr>
          <w:rFonts w:eastAsia="標楷體"/>
          <w:sz w:val="28"/>
          <w:lang w:eastAsia="zh-TW"/>
        </w:rPr>
        <w:t>預期為負）；且效果集中於高污染產業。</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t>第六</w:t>
      </w:r>
      <w:r w:rsidRPr="00B65A93">
        <w:rPr>
          <w:rFonts w:ascii="Times New Roman" w:eastAsia="標楷體" w:hAnsi="Times New Roman"/>
          <w:b w:val="0"/>
          <w:sz w:val="28"/>
          <w:lang w:eastAsia="zh-TW"/>
        </w:rPr>
        <w:t>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近年國內</w:t>
      </w:r>
      <w:r w:rsidRPr="00B65A93">
        <w:rPr>
          <w:rFonts w:ascii="Times New Roman" w:eastAsia="標楷體" w:hAnsi="Times New Roman"/>
          <w:b w:val="0"/>
          <w:sz w:val="28"/>
          <w:lang w:eastAsia="zh-TW"/>
        </w:rPr>
        <w:t xml:space="preserve"> ESG </w:t>
      </w:r>
      <w:r w:rsidRPr="00B65A93">
        <w:rPr>
          <w:rFonts w:ascii="Times New Roman" w:eastAsia="標楷體" w:hAnsi="Times New Roman"/>
          <w:b w:val="0"/>
          <w:sz w:val="28"/>
          <w:lang w:eastAsia="zh-TW"/>
        </w:rPr>
        <w:t>實證與研究缺口</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國內成本僵固性研究已累積相當基礎：張凱瑜（</w:t>
      </w:r>
      <w:r w:rsidRPr="00B65A93">
        <w:rPr>
          <w:rFonts w:eastAsia="標楷體"/>
          <w:sz w:val="28"/>
          <w:lang w:eastAsia="zh-TW"/>
        </w:rPr>
        <w:t>2025</w:t>
      </w:r>
      <w:r w:rsidRPr="00B65A93">
        <w:rPr>
          <w:rFonts w:eastAsia="標楷體"/>
          <w:sz w:val="28"/>
          <w:lang w:eastAsia="zh-TW"/>
        </w:rPr>
        <w:t>）檢視成本僵固性與企業風險之關聯、王惠洳（</w:t>
      </w:r>
      <w:r w:rsidRPr="00B65A93">
        <w:rPr>
          <w:rFonts w:eastAsia="標楷體"/>
          <w:sz w:val="28"/>
          <w:lang w:eastAsia="zh-TW"/>
        </w:rPr>
        <w:t>2025</w:t>
      </w:r>
      <w:r w:rsidRPr="00B65A93">
        <w:rPr>
          <w:rFonts w:eastAsia="標楷體"/>
          <w:sz w:val="28"/>
          <w:lang w:eastAsia="zh-TW"/>
        </w:rPr>
        <w:t>）探討獨立董事連結關係、陳思婷（</w:t>
      </w:r>
      <w:r w:rsidRPr="00B65A93">
        <w:rPr>
          <w:rFonts w:eastAsia="標楷體"/>
          <w:sz w:val="28"/>
          <w:lang w:eastAsia="zh-TW"/>
        </w:rPr>
        <w:t>2025</w:t>
      </w:r>
      <w:r w:rsidRPr="00B65A93">
        <w:rPr>
          <w:rFonts w:eastAsia="標楷體"/>
          <w:sz w:val="28"/>
          <w:lang w:eastAsia="zh-TW"/>
        </w:rPr>
        <w:t>）分析移轉訂價操弄對成本僵固性之影響，均以</w:t>
      </w:r>
      <w:r w:rsidRPr="00B65A93">
        <w:rPr>
          <w:rFonts w:eastAsia="標楷體"/>
          <w:sz w:val="28"/>
          <w:lang w:eastAsia="zh-TW"/>
        </w:rPr>
        <w:t xml:space="preserve"> Anderson et al.</w:t>
      </w:r>
      <w:r w:rsidRPr="00B65A93">
        <w:rPr>
          <w:rFonts w:eastAsia="標楷體"/>
          <w:sz w:val="28"/>
          <w:lang w:eastAsia="zh-TW"/>
        </w:rPr>
        <w:t>（</w:t>
      </w:r>
      <w:r w:rsidRPr="00B65A93">
        <w:rPr>
          <w:rFonts w:eastAsia="標楷體"/>
          <w:sz w:val="28"/>
          <w:lang w:eastAsia="zh-TW"/>
        </w:rPr>
        <w:t>2003</w:t>
      </w:r>
      <w:r w:rsidRPr="00B65A93">
        <w:rPr>
          <w:rFonts w:eastAsia="標楷體"/>
          <w:sz w:val="28"/>
          <w:lang w:eastAsia="zh-TW"/>
        </w:rPr>
        <w:t>）模型為基礎並以台灣上市櫃公司為樣本。與本研究最相關者為辛珏辰（</w:t>
      </w:r>
      <w:r w:rsidRPr="00B65A93">
        <w:rPr>
          <w:rFonts w:eastAsia="標楷體"/>
          <w:sz w:val="28"/>
          <w:lang w:eastAsia="zh-TW"/>
        </w:rPr>
        <w:t>2025</w:t>
      </w:r>
      <w:r w:rsidRPr="00B65A93">
        <w:rPr>
          <w:rFonts w:eastAsia="標楷體"/>
          <w:sz w:val="28"/>
          <w:lang w:eastAsia="zh-TW"/>
        </w:rPr>
        <w:t>）「</w:t>
      </w:r>
      <w:r w:rsidRPr="00B65A93">
        <w:rPr>
          <w:rFonts w:eastAsia="標楷體"/>
          <w:sz w:val="28"/>
          <w:lang w:eastAsia="zh-TW"/>
        </w:rPr>
        <w:t>ESG</w:t>
      </w:r>
      <w:r w:rsidRPr="00B65A93">
        <w:rPr>
          <w:rFonts w:eastAsia="標楷體"/>
          <w:sz w:val="28"/>
          <w:lang w:eastAsia="zh-TW"/>
        </w:rPr>
        <w:t>活動與成本僵固性」，其將</w:t>
      </w:r>
      <w:r w:rsidRPr="00B65A93">
        <w:rPr>
          <w:rFonts w:eastAsia="標楷體"/>
          <w:sz w:val="28"/>
          <w:lang w:eastAsia="zh-TW"/>
        </w:rPr>
        <w:t xml:space="preserve"> ESG </w:t>
      </w:r>
      <w:r w:rsidRPr="00B65A93">
        <w:rPr>
          <w:rFonts w:eastAsia="標楷體"/>
          <w:sz w:val="28"/>
          <w:lang w:eastAsia="zh-TW"/>
        </w:rPr>
        <w:t>面向納入成本僵固性分析，惟仍以整體</w:t>
      </w:r>
      <w:r w:rsidRPr="00B65A93">
        <w:rPr>
          <w:rFonts w:eastAsia="標楷體"/>
          <w:sz w:val="28"/>
          <w:lang w:eastAsia="zh-TW"/>
        </w:rPr>
        <w:t xml:space="preserve"> ESG </w:t>
      </w:r>
      <w:r w:rsidRPr="00B65A93">
        <w:rPr>
          <w:rFonts w:eastAsia="標楷體"/>
          <w:sz w:val="28"/>
          <w:lang w:eastAsia="zh-TW"/>
        </w:rPr>
        <w:t>為衡量，尚未針對「水資源」與「廢棄物」等個別環境構面深入。</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在環境／</w:t>
      </w:r>
      <w:r w:rsidRPr="00B65A93">
        <w:rPr>
          <w:rFonts w:eastAsia="標楷體"/>
          <w:sz w:val="28"/>
          <w:lang w:eastAsia="zh-TW"/>
        </w:rPr>
        <w:t xml:space="preserve">ESG </w:t>
      </w:r>
      <w:r w:rsidRPr="00B65A93">
        <w:rPr>
          <w:rFonts w:eastAsia="標楷體"/>
          <w:sz w:val="28"/>
          <w:lang w:eastAsia="zh-TW"/>
        </w:rPr>
        <w:t>與財務後果方面</w:t>
      </w:r>
      <w:r w:rsidRPr="00B65A93">
        <w:rPr>
          <w:rFonts w:eastAsia="標楷體"/>
          <w:sz w:val="28"/>
          <w:lang w:eastAsia="zh-TW"/>
        </w:rPr>
        <w:t>，近兩年（</w:t>
      </w:r>
      <w:r w:rsidRPr="00B65A93">
        <w:rPr>
          <w:rFonts w:eastAsia="標楷體"/>
          <w:sz w:val="28"/>
          <w:lang w:eastAsia="zh-TW"/>
        </w:rPr>
        <w:t>2025–2026</w:t>
      </w:r>
      <w:r w:rsidRPr="00B65A93">
        <w:rPr>
          <w:rFonts w:eastAsia="標楷體"/>
          <w:sz w:val="28"/>
          <w:lang w:eastAsia="zh-TW"/>
        </w:rPr>
        <w:t>）國內碩博論文多聚焦於</w:t>
      </w:r>
      <w:r w:rsidRPr="00B65A93">
        <w:rPr>
          <w:rFonts w:eastAsia="標楷體"/>
          <w:sz w:val="28"/>
          <w:lang w:eastAsia="zh-TW"/>
        </w:rPr>
        <w:t xml:space="preserve">ESG </w:t>
      </w:r>
      <w:r w:rsidRPr="00B65A93">
        <w:rPr>
          <w:rFonts w:eastAsia="標楷體"/>
          <w:sz w:val="28"/>
          <w:lang w:eastAsia="zh-TW"/>
        </w:rPr>
        <w:t>揭露及績效對資金成本、風險與盈餘之影響：張岑華（</w:t>
      </w:r>
      <w:r w:rsidRPr="00B65A93">
        <w:rPr>
          <w:rFonts w:eastAsia="標楷體"/>
          <w:sz w:val="28"/>
          <w:lang w:eastAsia="zh-TW"/>
        </w:rPr>
        <w:t>2026</w:t>
      </w:r>
      <w:r w:rsidRPr="00B65A93">
        <w:rPr>
          <w:rFonts w:eastAsia="標楷體"/>
          <w:sz w:val="28"/>
          <w:lang w:eastAsia="zh-TW"/>
        </w:rPr>
        <w:t>）探討</w:t>
      </w:r>
      <w:r w:rsidRPr="00B65A93">
        <w:rPr>
          <w:rFonts w:eastAsia="標楷體"/>
          <w:sz w:val="28"/>
          <w:lang w:eastAsia="zh-TW"/>
        </w:rPr>
        <w:t xml:space="preserve"> ESG </w:t>
      </w:r>
      <w:r w:rsidRPr="00B65A93">
        <w:rPr>
          <w:rFonts w:eastAsia="標楷體"/>
          <w:sz w:val="28"/>
          <w:lang w:eastAsia="zh-TW"/>
        </w:rPr>
        <w:t>績效與漂綠對權益資金成本、楊博勝（</w:t>
      </w:r>
      <w:r w:rsidRPr="00B65A93">
        <w:rPr>
          <w:rFonts w:eastAsia="標楷體"/>
          <w:sz w:val="28"/>
          <w:lang w:eastAsia="zh-TW"/>
        </w:rPr>
        <w:t>2026</w:t>
      </w:r>
      <w:r w:rsidRPr="00B65A93">
        <w:rPr>
          <w:rFonts w:eastAsia="標楷體"/>
          <w:sz w:val="28"/>
          <w:lang w:eastAsia="zh-TW"/>
        </w:rPr>
        <w:t>）檢視</w:t>
      </w:r>
      <w:r w:rsidRPr="00B65A93">
        <w:rPr>
          <w:rFonts w:eastAsia="標楷體"/>
          <w:sz w:val="28"/>
          <w:lang w:eastAsia="zh-TW"/>
        </w:rPr>
        <w:t xml:space="preserve"> ESG </w:t>
      </w:r>
      <w:r w:rsidRPr="00B65A93">
        <w:rPr>
          <w:rFonts w:eastAsia="標楷體"/>
          <w:sz w:val="28"/>
          <w:lang w:eastAsia="zh-TW"/>
        </w:rPr>
        <w:t>資訊揭露對企業特有風險、吳東蓄（</w:t>
      </w:r>
      <w:r w:rsidRPr="00B65A93">
        <w:rPr>
          <w:rFonts w:eastAsia="標楷體"/>
          <w:sz w:val="28"/>
          <w:lang w:eastAsia="zh-TW"/>
        </w:rPr>
        <w:t>2026</w:t>
      </w:r>
      <w:r w:rsidRPr="00B65A93">
        <w:rPr>
          <w:rFonts w:eastAsia="標楷體"/>
          <w:sz w:val="28"/>
          <w:lang w:eastAsia="zh-TW"/>
        </w:rPr>
        <w:t>）分析</w:t>
      </w:r>
      <w:r w:rsidRPr="00B65A93">
        <w:rPr>
          <w:rFonts w:eastAsia="標楷體"/>
          <w:sz w:val="28"/>
          <w:lang w:eastAsia="zh-TW"/>
        </w:rPr>
        <w:t xml:space="preserve"> ESG </w:t>
      </w:r>
      <w:r w:rsidRPr="00B65A93">
        <w:rPr>
          <w:rFonts w:eastAsia="標楷體"/>
          <w:sz w:val="28"/>
          <w:lang w:eastAsia="zh-TW"/>
        </w:rPr>
        <w:t>績效對代理成本、許嘉芸（</w:t>
      </w:r>
      <w:r w:rsidRPr="00B65A93">
        <w:rPr>
          <w:rFonts w:eastAsia="標楷體"/>
          <w:sz w:val="28"/>
          <w:lang w:eastAsia="zh-TW"/>
        </w:rPr>
        <w:t>2026</w:t>
      </w:r>
      <w:r w:rsidRPr="00B65A93">
        <w:rPr>
          <w:rFonts w:eastAsia="標楷體"/>
          <w:sz w:val="28"/>
          <w:lang w:eastAsia="zh-TW"/>
        </w:rPr>
        <w:t>）探討資源密集度管理對財務績效與</w:t>
      </w:r>
      <w:r w:rsidRPr="00B65A93">
        <w:rPr>
          <w:rFonts w:eastAsia="標楷體"/>
          <w:sz w:val="28"/>
          <w:lang w:eastAsia="zh-TW"/>
        </w:rPr>
        <w:t xml:space="preserve"> ESG </w:t>
      </w:r>
      <w:r w:rsidRPr="00B65A93">
        <w:rPr>
          <w:rFonts w:eastAsia="標楷體"/>
          <w:sz w:val="28"/>
          <w:lang w:eastAsia="zh-TW"/>
        </w:rPr>
        <w:t>效率之影響。這些研究印證環境資訊揭露之透明度／監督機制（呼應</w:t>
      </w:r>
      <w:r w:rsidRPr="00B65A93">
        <w:rPr>
          <w:rFonts w:eastAsia="標楷體"/>
          <w:sz w:val="28"/>
          <w:lang w:eastAsia="zh-TW"/>
        </w:rPr>
        <w:t xml:space="preserve"> H2</w:t>
      </w:r>
      <w:r w:rsidRPr="00B65A93">
        <w:rPr>
          <w:rFonts w:eastAsia="標楷體"/>
          <w:sz w:val="28"/>
          <w:lang w:eastAsia="zh-TW"/>
        </w:rPr>
        <w:t>、</w:t>
      </w:r>
      <w:r w:rsidRPr="00B65A93">
        <w:rPr>
          <w:rFonts w:eastAsia="標楷體"/>
          <w:sz w:val="28"/>
          <w:lang w:eastAsia="zh-TW"/>
        </w:rPr>
        <w:t>H4</w:t>
      </w:r>
      <w:r w:rsidRPr="00B65A93">
        <w:rPr>
          <w:rFonts w:eastAsia="標楷體"/>
          <w:sz w:val="28"/>
          <w:lang w:eastAsia="zh-TW"/>
        </w:rPr>
        <w:t>），但多以資金成本、風險或價值為應變數，鮮少以「成本黏性」為切入點，且未區分水與廢棄物構面。</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lastRenderedPageBreak/>
        <w:t>綜上，本研究之缺口與貢獻在於：（一）將環境構面細分為「水資源」與「廢棄物」兩類實質績效與資訊揭露；（二）以成本黏性為應變數，結合時間落差與高／低污染產業異質性，檢驗其對台灣製造業成本調整行為之影響。</w:t>
      </w:r>
    </w:p>
    <w:p w:rsidR="00E613CE" w:rsidRPr="00B65A93" w:rsidRDefault="00B65A93">
      <w:pPr>
        <w:pStyle w:val="1"/>
        <w:rPr>
          <w:rFonts w:ascii="Times New Roman" w:eastAsia="標楷體" w:hAnsi="Times New Roman"/>
          <w:b w:val="0"/>
          <w:lang w:eastAsia="zh-TW"/>
        </w:rPr>
      </w:pPr>
      <w:r w:rsidRPr="00B65A93">
        <w:rPr>
          <w:rFonts w:ascii="Times New Roman" w:eastAsia="標楷體" w:hAnsi="Times New Roman"/>
          <w:b w:val="0"/>
          <w:lang w:eastAsia="zh-TW"/>
        </w:rPr>
        <w:t>第三章</w:t>
      </w:r>
      <w:r w:rsidRPr="00B65A93">
        <w:rPr>
          <w:rFonts w:ascii="Times New Roman" w:eastAsia="標楷體" w:hAnsi="Times New Roman"/>
          <w:b w:val="0"/>
          <w:lang w:eastAsia="zh-TW"/>
        </w:rPr>
        <w:t xml:space="preserve"> </w:t>
      </w:r>
      <w:r w:rsidRPr="00B65A93">
        <w:rPr>
          <w:rFonts w:ascii="Times New Roman" w:eastAsia="標楷體" w:hAnsi="Times New Roman"/>
          <w:b w:val="0"/>
          <w:lang w:eastAsia="zh-TW"/>
        </w:rPr>
        <w:t>研究方法</w:t>
      </w:r>
    </w:p>
    <w:p w:rsidR="00E613CE" w:rsidRPr="00B65A93" w:rsidRDefault="00B65A93">
      <w:pPr>
        <w:pStyle w:val="21"/>
        <w:rPr>
          <w:rFonts w:ascii="Times New Roman" w:eastAsia="標楷體" w:hAnsi="Times New Roman"/>
          <w:b w:val="0"/>
          <w:sz w:val="28"/>
          <w:lang w:eastAsia="zh-TW"/>
        </w:rPr>
      </w:pPr>
      <w:r w:rsidRPr="00B65A93">
        <w:rPr>
          <w:rFonts w:ascii="Times New Roman" w:eastAsia="標楷體" w:hAnsi="Times New Roman"/>
          <w:b w:val="0"/>
          <w:sz w:val="28"/>
          <w:lang w:eastAsia="zh-TW"/>
        </w:rPr>
        <w:t>第一節</w:t>
      </w:r>
      <w:r w:rsidRPr="00B65A93">
        <w:rPr>
          <w:rFonts w:ascii="Times New Roman" w:eastAsia="標楷體" w:hAnsi="Times New Roman"/>
          <w:b w:val="0"/>
          <w:sz w:val="28"/>
          <w:lang w:eastAsia="zh-TW"/>
        </w:rPr>
        <w:t xml:space="preserve"> </w:t>
      </w:r>
      <w:r w:rsidRPr="00B65A93">
        <w:rPr>
          <w:rFonts w:ascii="Times New Roman" w:eastAsia="標楷體" w:hAnsi="Times New Roman"/>
          <w:b w:val="0"/>
          <w:sz w:val="28"/>
          <w:lang w:eastAsia="zh-TW"/>
        </w:rPr>
        <w:t>資料來源與樣本</w:t>
      </w:r>
    </w:p>
    <w:p w:rsidR="00E613CE" w:rsidRPr="00B65A93" w:rsidRDefault="00B65A93">
      <w:pPr>
        <w:spacing w:line="360" w:lineRule="auto"/>
        <w:ind w:firstLine="480"/>
        <w:rPr>
          <w:rFonts w:eastAsia="標楷體"/>
          <w:sz w:val="28"/>
          <w:lang w:eastAsia="zh-TW"/>
        </w:rPr>
      </w:pPr>
      <w:r w:rsidRPr="00B65A93">
        <w:rPr>
          <w:rFonts w:eastAsia="標楷體"/>
          <w:sz w:val="28"/>
          <w:lang w:eastAsia="zh-TW"/>
        </w:rPr>
        <w:t>本研究資料取自台灣經濟新報（</w:t>
      </w:r>
      <w:r w:rsidRPr="00B65A93">
        <w:rPr>
          <w:rFonts w:eastAsia="標楷體"/>
          <w:sz w:val="28"/>
          <w:lang w:eastAsia="zh-TW"/>
        </w:rPr>
        <w:t>TEJ</w:t>
      </w:r>
      <w:r w:rsidRPr="00B65A93">
        <w:rPr>
          <w:rFonts w:eastAsia="標楷體"/>
          <w:sz w:val="28"/>
          <w:lang w:eastAsia="zh-TW"/>
        </w:rPr>
        <w:t>），包含</w:t>
      </w:r>
      <w:r w:rsidRPr="00B65A93">
        <w:rPr>
          <w:rFonts w:eastAsia="標楷體"/>
          <w:sz w:val="28"/>
          <w:lang w:eastAsia="zh-TW"/>
        </w:rPr>
        <w:t xml:space="preserve"> IFRS </w:t>
      </w:r>
      <w:r w:rsidRPr="00B65A93">
        <w:rPr>
          <w:rFonts w:eastAsia="標楷體"/>
          <w:sz w:val="28"/>
          <w:lang w:eastAsia="zh-TW"/>
        </w:rPr>
        <w:t>合併財務（單季，彙總為年度）、</w:t>
      </w:r>
      <w:r w:rsidRPr="00B65A93">
        <w:rPr>
          <w:rFonts w:eastAsia="標楷體"/>
          <w:sz w:val="28"/>
          <w:lang w:eastAsia="zh-TW"/>
        </w:rPr>
        <w:t xml:space="preserve">TESG </w:t>
      </w:r>
      <w:r w:rsidRPr="00B65A93">
        <w:rPr>
          <w:rFonts w:eastAsia="標楷體"/>
          <w:sz w:val="28"/>
          <w:lang w:eastAsia="zh-TW"/>
        </w:rPr>
        <w:t>企業用水量與</w:t>
      </w:r>
      <w:r w:rsidRPr="00B65A93">
        <w:rPr>
          <w:rFonts w:eastAsia="標楷體"/>
          <w:sz w:val="28"/>
          <w:lang w:eastAsia="zh-TW"/>
        </w:rPr>
        <w:t xml:space="preserve"> TESG </w:t>
      </w:r>
      <w:r w:rsidRPr="00B65A93">
        <w:rPr>
          <w:rFonts w:eastAsia="標楷體"/>
          <w:sz w:val="28"/>
          <w:lang w:eastAsia="zh-TW"/>
        </w:rPr>
        <w:t>永續揭露資料。樣本期間為</w:t>
      </w:r>
      <w:r w:rsidRPr="00B65A93">
        <w:rPr>
          <w:rFonts w:eastAsia="標楷體"/>
          <w:sz w:val="28"/>
          <w:lang w:eastAsia="zh-TW"/>
        </w:rPr>
        <w:t xml:space="preserve"> 2014 </w:t>
      </w:r>
      <w:r w:rsidRPr="00B65A93">
        <w:rPr>
          <w:rFonts w:eastAsia="標楷體"/>
          <w:sz w:val="28"/>
          <w:lang w:eastAsia="zh-TW"/>
        </w:rPr>
        <w:t>至</w:t>
      </w:r>
      <w:r w:rsidRPr="00B65A93">
        <w:rPr>
          <w:rFonts w:eastAsia="標楷體"/>
          <w:sz w:val="28"/>
          <w:lang w:eastAsia="zh-TW"/>
        </w:rPr>
        <w:t xml:space="preserve"> 2024 </w:t>
      </w:r>
      <w:r w:rsidRPr="00B65A93">
        <w:rPr>
          <w:rFonts w:eastAsia="標楷體"/>
          <w:sz w:val="28"/>
          <w:lang w:eastAsia="zh-TW"/>
        </w:rPr>
        <w:t>年，排除金融保險業並剔除關鍵變數缺漏之觀測值。財務單季資料以流量加總、存量取年末方式彙總為年度面板，主</w:t>
      </w:r>
      <w:r w:rsidRPr="00B65A93">
        <w:rPr>
          <w:rFonts w:eastAsia="標楷體"/>
          <w:sz w:val="28"/>
          <w:lang w:eastAsia="zh-TW"/>
        </w:rPr>
        <w:t>鍵為證券代碼與西元年份。</w:t>
      </w: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第二節</w:t>
      </w:r>
      <w:r w:rsidRPr="00B65A93">
        <w:rPr>
          <w:rFonts w:ascii="Times New Roman" w:eastAsia="標楷體" w:hAnsi="Times New Roman"/>
          <w:b w:val="0"/>
          <w:sz w:val="28"/>
        </w:rPr>
        <w:t xml:space="preserve"> </w:t>
      </w:r>
      <w:r w:rsidRPr="00B65A93">
        <w:rPr>
          <w:rFonts w:ascii="Times New Roman" w:eastAsia="標楷體" w:hAnsi="Times New Roman"/>
          <w:b w:val="0"/>
          <w:sz w:val="28"/>
        </w:rPr>
        <w:t>變數定義</w:t>
      </w:r>
    </w:p>
    <w:p w:rsidR="00E613CE" w:rsidRPr="00B65A93" w:rsidRDefault="00B65A93">
      <w:pPr>
        <w:spacing w:line="360" w:lineRule="auto"/>
        <w:rPr>
          <w:rFonts w:eastAsia="標楷體"/>
          <w:sz w:val="28"/>
        </w:rPr>
      </w:pPr>
      <w:r w:rsidRPr="00B65A93">
        <w:rPr>
          <w:rFonts w:eastAsia="標楷體"/>
          <w:sz w:val="28"/>
        </w:rPr>
        <w:t>各變數之定義與角色如下表所示。</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3-1 </w:t>
      </w:r>
      <w:r w:rsidRPr="00B65A93">
        <w:rPr>
          <w:rFonts w:eastAsia="標楷體"/>
          <w:sz w:val="28"/>
        </w:rPr>
        <w:t>變數定義表</w:t>
      </w:r>
    </w:p>
    <w:tbl>
      <w:tblPr>
        <w:tblStyle w:val="-11"/>
        <w:tblW w:w="0" w:type="auto"/>
        <w:tblLook w:val="04A0" w:firstRow="1" w:lastRow="0" w:firstColumn="1" w:lastColumn="0" w:noHBand="0" w:noVBand="1"/>
      </w:tblPr>
      <w:tblGrid>
        <w:gridCol w:w="3078"/>
        <w:gridCol w:w="2880"/>
        <w:gridCol w:w="2880"/>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變數</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定義</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角色</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Y_dLNSGA</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ΔLNSGA = LN(</w:t>
            </w:r>
            <w:r w:rsidRPr="00B65A93">
              <w:rPr>
                <w:rFonts w:eastAsia="標楷體"/>
                <w:sz w:val="28"/>
              </w:rPr>
              <w:t>營業費用</w:t>
            </w:r>
            <w:r w:rsidRPr="00B65A93">
              <w:rPr>
                <w:rFonts w:eastAsia="標楷體"/>
                <w:sz w:val="28"/>
              </w:rPr>
              <w:t>_t) − LN(</w:t>
            </w:r>
            <w:r w:rsidRPr="00B65A93">
              <w:rPr>
                <w:rFonts w:eastAsia="標楷體"/>
                <w:sz w:val="28"/>
              </w:rPr>
              <w:t>營業費用</w:t>
            </w:r>
            <w:r w:rsidRPr="00B65A93">
              <w:rPr>
                <w:rFonts w:eastAsia="標楷體"/>
                <w:sz w:val="28"/>
              </w:rPr>
              <w:t>_t-1)</w:t>
            </w:r>
            <w:r w:rsidRPr="00B65A93">
              <w:rPr>
                <w:rFonts w:eastAsia="標楷體"/>
                <w:sz w:val="28"/>
              </w:rPr>
              <w:t>（縮尾）</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應變數</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dLNREV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ΔLNREV = LN(</w:t>
            </w:r>
            <w:r w:rsidRPr="00B65A93">
              <w:rPr>
                <w:rFonts w:eastAsia="標楷體"/>
                <w:sz w:val="28"/>
              </w:rPr>
              <w:t>營收</w:t>
            </w:r>
            <w:r w:rsidRPr="00B65A93">
              <w:rPr>
                <w:rFonts w:eastAsia="標楷體"/>
                <w:sz w:val="28"/>
              </w:rPr>
              <w:t>_t) − LN(</w:t>
            </w:r>
            <w:r w:rsidRPr="00B65A93">
              <w:rPr>
                <w:rFonts w:eastAsia="標楷體"/>
                <w:sz w:val="28"/>
              </w:rPr>
              <w:t>營收</w:t>
            </w:r>
            <w:r w:rsidRPr="00B65A93">
              <w:rPr>
                <w:rFonts w:eastAsia="標楷體"/>
                <w:sz w:val="28"/>
              </w:rPr>
              <w:t>_t-1)</w:t>
            </w:r>
            <w:r w:rsidRPr="00B65A93">
              <w:rPr>
                <w:rFonts w:eastAsia="標楷體"/>
                <w:sz w:val="28"/>
              </w:rPr>
              <w:t>（縮尾）</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收入下降虛擬（營收</w:t>
            </w:r>
            <w:r w:rsidRPr="00B65A93">
              <w:rPr>
                <w:rFonts w:eastAsia="標楷體"/>
                <w:sz w:val="28"/>
              </w:rPr>
              <w:t xml:space="preserve">_t &lt; </w:t>
            </w:r>
            <w:r w:rsidRPr="00B65A93">
              <w:rPr>
                <w:rFonts w:eastAsia="標楷體"/>
                <w:sz w:val="28"/>
              </w:rPr>
              <w:t>營收</w:t>
            </w:r>
            <w:r w:rsidRPr="00B65A93">
              <w:rPr>
                <w:rFonts w:eastAsia="標楷體"/>
                <w:sz w:val="28"/>
              </w:rPr>
              <w:t>_t-1 = 1</w:t>
            </w:r>
            <w:r w:rsidRPr="00B65A93">
              <w:rPr>
                <w:rFonts w:eastAsia="標楷體"/>
                <w:sz w:val="28"/>
              </w:rPr>
              <w:t>）</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D_x_dREV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D × ΔLNREV</w:t>
            </w:r>
            <w:r w:rsidRPr="00B65A93">
              <w:rPr>
                <w:rFonts w:eastAsia="標楷體"/>
                <w:sz w:val="28"/>
              </w:rPr>
              <w:t>（</w:t>
            </w:r>
            <w:r w:rsidRPr="00B65A93">
              <w:rPr>
                <w:rFonts w:eastAsia="標楷體"/>
                <w:sz w:val="28"/>
              </w:rPr>
              <w:t>β2</w:t>
            </w:r>
            <w:r w:rsidRPr="00B65A93">
              <w:rPr>
                <w:rFonts w:eastAsia="標楷體"/>
                <w:sz w:val="28"/>
              </w:rPr>
              <w:t>：整體成本黏性，預期負）</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核心交乘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lastRenderedPageBreak/>
              <w:t>Water_Rate</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水回收率</w:t>
            </w:r>
            <w:r w:rsidRPr="00B65A93">
              <w:rPr>
                <w:rFonts w:eastAsia="標楷體"/>
                <w:sz w:val="28"/>
              </w:rPr>
              <w:t>%</w:t>
            </w:r>
            <w:r w:rsidRPr="00B65A93">
              <w:rPr>
                <w:rFonts w:eastAsia="標楷體"/>
                <w:sz w:val="28"/>
              </w:rPr>
              <w:t>（縮尾，主分析水績效）</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Water_Disc</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水揭露虛擬</w:t>
            </w:r>
            <w:r w:rsidRPr="00B65A93">
              <w:rPr>
                <w:rFonts w:eastAsia="標楷體"/>
                <w:sz w:val="28"/>
              </w:rPr>
              <w:t>-</w:t>
            </w:r>
            <w:r w:rsidRPr="00B65A93">
              <w:rPr>
                <w:rFonts w:eastAsia="標楷體"/>
                <w:sz w:val="28"/>
              </w:rPr>
              <w:t>做法</w:t>
            </w:r>
            <w:r w:rsidRPr="00B65A93">
              <w:rPr>
                <w:rFonts w:eastAsia="標楷體"/>
                <w:sz w:val="28"/>
              </w:rPr>
              <w:t>A</w:t>
            </w:r>
            <w:r w:rsidRPr="00B65A93">
              <w:rPr>
                <w:rFonts w:eastAsia="標楷體"/>
                <w:sz w:val="28"/>
              </w:rPr>
              <w:t>（有水量紀錄</w:t>
            </w:r>
            <w:r w:rsidRPr="00B65A93">
              <w:rPr>
                <w:rFonts w:eastAsia="標楷體"/>
                <w:sz w:val="28"/>
              </w:rPr>
              <w:t>=1</w:t>
            </w:r>
            <w:r w:rsidRPr="00B65A93">
              <w:rPr>
                <w:rFonts w:eastAsia="標楷體"/>
                <w:sz w:val="28"/>
              </w:rPr>
              <w:t>）</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Water_Disc_GRI</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水揭露虛擬</w:t>
            </w:r>
            <w:r w:rsidRPr="00B65A93">
              <w:rPr>
                <w:rFonts w:eastAsia="標楷體"/>
                <w:sz w:val="28"/>
              </w:rPr>
              <w:t>-</w:t>
            </w:r>
            <w:r w:rsidRPr="00B65A93">
              <w:rPr>
                <w:rFonts w:eastAsia="標楷體"/>
                <w:sz w:val="28"/>
              </w:rPr>
              <w:t>做法</w:t>
            </w:r>
            <w:r w:rsidRPr="00B65A93">
              <w:rPr>
                <w:rFonts w:eastAsia="標楷體"/>
                <w:sz w:val="28"/>
              </w:rPr>
              <w:t>B</w:t>
            </w:r>
            <w:r w:rsidRPr="00B65A93">
              <w:rPr>
                <w:rFonts w:eastAsia="標楷體"/>
                <w:sz w:val="28"/>
              </w:rPr>
              <w:t>（</w:t>
            </w:r>
            <w:r w:rsidRPr="00B65A93">
              <w:rPr>
                <w:rFonts w:eastAsia="標楷體"/>
                <w:sz w:val="28"/>
              </w:rPr>
              <w:t>GRI</w:t>
            </w:r>
            <w:r w:rsidRPr="00B65A93">
              <w:rPr>
                <w:rFonts w:eastAsia="標楷體"/>
                <w:sz w:val="28"/>
              </w:rPr>
              <w:t>揭露度</w:t>
            </w:r>
            <w:r w:rsidRPr="00B65A93">
              <w:rPr>
                <w:rFonts w:eastAsia="標楷體"/>
                <w:sz w:val="28"/>
              </w:rPr>
              <w:t>&gt;0=1</w:t>
            </w:r>
            <w:r w:rsidRPr="00B65A93">
              <w:rPr>
                <w:rFonts w:eastAsia="標楷體"/>
                <w:sz w:val="28"/>
              </w:rPr>
              <w:t>）</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自變數</w:t>
            </w:r>
            <w:r w:rsidRPr="00B65A93">
              <w:rPr>
                <w:rFonts w:eastAsia="標楷體"/>
                <w:sz w:val="28"/>
              </w:rPr>
              <w:t>(</w:t>
            </w:r>
            <w:r w:rsidRPr="00B65A93">
              <w:rPr>
                <w:rFonts w:eastAsia="標楷體"/>
                <w:sz w:val="28"/>
              </w:rPr>
              <w:t>穩健</w:t>
            </w:r>
            <w:r w:rsidRPr="00B65A93">
              <w:rPr>
                <w:rFonts w:eastAsia="標楷體"/>
                <w:sz w:val="28"/>
              </w:rPr>
              <w:t>)</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WaterRate_D_dREV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Water_Rate × D × ΔLNREV</w:t>
            </w:r>
            <w:r w:rsidRPr="00B65A93">
              <w:rPr>
                <w:rFonts w:eastAsia="標楷體"/>
                <w:sz w:val="28"/>
              </w:rPr>
              <w:t>（</w:t>
            </w:r>
            <w:r w:rsidRPr="00B65A93">
              <w:rPr>
                <w:rFonts w:eastAsia="標楷體"/>
                <w:sz w:val="28"/>
              </w:rPr>
              <w:t>β3</w:t>
            </w:r>
            <w:r w:rsidRPr="00B65A93">
              <w:rPr>
                <w:rFonts w:eastAsia="標楷體"/>
                <w:sz w:val="28"/>
              </w:rPr>
              <w:t>：</w:t>
            </w:r>
            <w:r w:rsidRPr="00B65A93">
              <w:rPr>
                <w:rFonts w:eastAsia="標楷體"/>
                <w:sz w:val="28"/>
              </w:rPr>
              <w:t>H1</w:t>
            </w:r>
            <w:r w:rsidRPr="00B65A93">
              <w:rPr>
                <w:rFonts w:eastAsia="標楷體"/>
                <w:sz w:val="28"/>
              </w:rPr>
              <w:t>）</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WaterDisc_D_dREV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Water_Disc × D × ΔLNREV</w:t>
            </w:r>
            <w:r w:rsidRPr="00B65A93">
              <w:rPr>
                <w:rFonts w:eastAsia="標楷體"/>
                <w:sz w:val="28"/>
              </w:rPr>
              <w:t>（</w:t>
            </w:r>
            <w:r w:rsidRPr="00B65A93">
              <w:rPr>
                <w:rFonts w:eastAsia="標楷體"/>
                <w:sz w:val="28"/>
              </w:rPr>
              <w:t>β3</w:t>
            </w:r>
            <w:r w:rsidRPr="00B65A93">
              <w:rPr>
                <w:rFonts w:eastAsia="標楷體"/>
                <w:sz w:val="28"/>
              </w:rPr>
              <w:t>：</w:t>
            </w:r>
            <w:r w:rsidRPr="00B65A93">
              <w:rPr>
                <w:rFonts w:eastAsia="標楷體"/>
                <w:sz w:val="28"/>
              </w:rPr>
              <w:t>H2</w:t>
            </w:r>
            <w:r w:rsidRPr="00B65A93">
              <w:rPr>
                <w:rFonts w:eastAsia="標楷體"/>
                <w:sz w:val="28"/>
              </w:rPr>
              <w:t>）</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WaterDiscGRI_D_dREV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 xml:space="preserve">Water_Disc_GRI × D × </w:t>
            </w:r>
            <w:r w:rsidRPr="00B65A93">
              <w:rPr>
                <w:rFonts w:eastAsia="標楷體"/>
                <w:sz w:val="28"/>
              </w:rPr>
              <w:t>ΔLNREV</w:t>
            </w:r>
            <w:r w:rsidRPr="00B65A93">
              <w:rPr>
                <w:rFonts w:eastAsia="標楷體"/>
                <w:sz w:val="28"/>
              </w:rPr>
              <w:t>（穩健）</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Waste_Intensity</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每百萬營收廢棄物（縮尾，廢棄物主分析）</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Waste_Disc</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GRI</w:t>
            </w:r>
            <w:r w:rsidRPr="00B65A93">
              <w:rPr>
                <w:rFonts w:eastAsia="標楷體"/>
                <w:sz w:val="28"/>
              </w:rPr>
              <w:t>廢棄物管理揭露度（連續，揭露品質）</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自變數</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Waste_Fine</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事業廢棄物罰鍰次數（違規風險）</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自變數</w:t>
            </w:r>
            <w:r w:rsidRPr="00B65A93">
              <w:rPr>
                <w:rFonts w:eastAsia="標楷體"/>
                <w:sz w:val="28"/>
              </w:rPr>
              <w:t>(</w:t>
            </w:r>
            <w:r w:rsidRPr="00B65A93">
              <w:rPr>
                <w:rFonts w:eastAsia="標楷體"/>
                <w:sz w:val="28"/>
              </w:rPr>
              <w:t>穩健</w:t>
            </w:r>
            <w:r w:rsidRPr="00B65A93">
              <w:rPr>
                <w:rFonts w:eastAsia="標楷體"/>
                <w:sz w:val="28"/>
              </w:rPr>
              <w:t>)</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WasteInt_D_dREV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Waste_Intensity × D × ΔLNREV</w:t>
            </w:r>
            <w:r w:rsidRPr="00B65A93">
              <w:rPr>
                <w:rFonts w:eastAsia="標楷體"/>
                <w:sz w:val="28"/>
              </w:rPr>
              <w:t>（</w:t>
            </w:r>
            <w:r w:rsidRPr="00B65A93">
              <w:rPr>
                <w:rFonts w:eastAsia="標楷體"/>
                <w:sz w:val="28"/>
              </w:rPr>
              <w:t>β3</w:t>
            </w:r>
            <w:r w:rsidRPr="00B65A93">
              <w:rPr>
                <w:rFonts w:eastAsia="標楷體"/>
                <w:sz w:val="28"/>
              </w:rPr>
              <w:t>：</w:t>
            </w:r>
            <w:r w:rsidRPr="00B65A93">
              <w:rPr>
                <w:rFonts w:eastAsia="標楷體"/>
                <w:sz w:val="28"/>
              </w:rPr>
              <w:t>H3</w:t>
            </w:r>
            <w:r w:rsidRPr="00B65A93">
              <w:rPr>
                <w:rFonts w:eastAsia="標楷體"/>
                <w:sz w:val="28"/>
              </w:rPr>
              <w:t>）</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WasteDisc_D_dREV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Waste_Disc × D × ΔLNREV</w:t>
            </w:r>
            <w:r w:rsidRPr="00B65A93">
              <w:rPr>
                <w:rFonts w:eastAsia="標楷體"/>
                <w:sz w:val="28"/>
              </w:rPr>
              <w:t>（</w:t>
            </w:r>
            <w:r w:rsidRPr="00B65A93">
              <w:rPr>
                <w:rFonts w:eastAsia="標楷體"/>
                <w:sz w:val="28"/>
              </w:rPr>
              <w:t>β3</w:t>
            </w:r>
            <w:r w:rsidRPr="00B65A93">
              <w:rPr>
                <w:rFonts w:eastAsia="標楷體"/>
                <w:sz w:val="28"/>
              </w:rPr>
              <w:t>：</w:t>
            </w:r>
            <w:r w:rsidRPr="00B65A93">
              <w:rPr>
                <w:rFonts w:eastAsia="標楷體"/>
                <w:sz w:val="28"/>
              </w:rPr>
              <w:t>H4</w:t>
            </w:r>
            <w:r w:rsidRPr="00B65A93">
              <w:rPr>
                <w:rFonts w:eastAsia="標楷體"/>
                <w:sz w:val="28"/>
              </w:rPr>
              <w:t>）</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WasteFine_D_dREV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Waste_Fine × D × ΔLNREV</w:t>
            </w:r>
            <w:r w:rsidRPr="00B65A93">
              <w:rPr>
                <w:rFonts w:eastAsia="標楷體"/>
                <w:sz w:val="28"/>
              </w:rPr>
              <w:t>（</w:t>
            </w:r>
            <w:r w:rsidRPr="00B65A93">
              <w:rPr>
                <w:rFonts w:eastAsia="標楷體"/>
                <w:sz w:val="28"/>
              </w:rPr>
              <w:t>β3</w:t>
            </w:r>
            <w:r w:rsidRPr="00B65A93">
              <w:rPr>
                <w:rFonts w:eastAsia="標楷體"/>
                <w:sz w:val="28"/>
              </w:rPr>
              <w:t>：</w:t>
            </w:r>
            <w:r w:rsidRPr="00B65A93">
              <w:rPr>
                <w:rFonts w:eastAsia="標楷體"/>
                <w:sz w:val="28"/>
              </w:rPr>
              <w:t>H5</w:t>
            </w:r>
            <w:r w:rsidRPr="00B65A93">
              <w:rPr>
                <w:rFonts w:eastAsia="標楷體"/>
                <w:sz w:val="28"/>
              </w:rPr>
              <w:t>穩健）</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三重交乘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Size</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LN(</w:t>
            </w:r>
            <w:r w:rsidRPr="00B65A93">
              <w:rPr>
                <w:rFonts w:eastAsia="標楷體"/>
                <w:sz w:val="28"/>
              </w:rPr>
              <w:t>資產總額</w:t>
            </w:r>
            <w:r w:rsidRPr="00B65A93">
              <w:rPr>
                <w:rFonts w:eastAsia="標楷體"/>
                <w:sz w:val="28"/>
              </w:rPr>
              <w:t>)</w:t>
            </w:r>
            <w:r w:rsidRPr="00B65A93">
              <w:rPr>
                <w:rFonts w:eastAsia="標楷體"/>
                <w:sz w:val="28"/>
              </w:rPr>
              <w:t>（縮尾）</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AI</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資產密集度</w:t>
            </w:r>
            <w:r w:rsidRPr="00B65A93">
              <w:rPr>
                <w:rFonts w:eastAsia="標楷體"/>
                <w:sz w:val="28"/>
              </w:rPr>
              <w:t>=</w:t>
            </w:r>
            <w:r w:rsidRPr="00B65A93">
              <w:rPr>
                <w:rFonts w:eastAsia="標楷體"/>
                <w:sz w:val="28"/>
              </w:rPr>
              <w:t>資產總額</w:t>
            </w:r>
            <w:r w:rsidRPr="00B65A93">
              <w:rPr>
                <w:rFonts w:eastAsia="標楷體"/>
                <w:sz w:val="28"/>
              </w:rPr>
              <w:t>/</w:t>
            </w:r>
            <w:r w:rsidRPr="00B65A93">
              <w:rPr>
                <w:rFonts w:eastAsia="標楷體"/>
                <w:sz w:val="28"/>
              </w:rPr>
              <w:t>營收（縮尾）</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EI</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員工密集度</w:t>
            </w:r>
            <w:r w:rsidRPr="00B65A93">
              <w:rPr>
                <w:rFonts w:eastAsia="標楷體"/>
                <w:sz w:val="28"/>
              </w:rPr>
              <w:t>=</w:t>
            </w:r>
            <w:r w:rsidRPr="00B65A93">
              <w:rPr>
                <w:rFonts w:eastAsia="標楷體"/>
                <w:sz w:val="28"/>
              </w:rPr>
              <w:t>員工人數</w:t>
            </w:r>
            <w:r w:rsidRPr="00B65A93">
              <w:rPr>
                <w:rFonts w:eastAsia="標楷體"/>
                <w:sz w:val="28"/>
              </w:rPr>
              <w:t>/</w:t>
            </w:r>
            <w:r w:rsidRPr="00B65A93">
              <w:rPr>
                <w:rFonts w:eastAsia="標楷體"/>
                <w:sz w:val="28"/>
              </w:rPr>
              <w:t>營收（縮尾）</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ROA</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資產報酬率</w:t>
            </w:r>
            <w:r w:rsidRPr="00B65A93">
              <w:rPr>
                <w:rFonts w:eastAsia="標楷體"/>
                <w:sz w:val="28"/>
              </w:rPr>
              <w:t xml:space="preserve"> ROA(A)</w:t>
            </w:r>
            <w:r w:rsidRPr="00B65A93">
              <w:rPr>
                <w:rFonts w:eastAsia="標楷體"/>
                <w:sz w:val="28"/>
              </w:rPr>
              <w:t>稅後息前（縮尾）</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lastRenderedPageBreak/>
              <w:t>Lev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財務槓桿</w:t>
            </w:r>
            <w:r w:rsidRPr="00B65A93">
              <w:rPr>
                <w:rFonts w:eastAsia="標楷體"/>
                <w:sz w:val="28"/>
              </w:rPr>
              <w:t>=</w:t>
            </w:r>
            <w:r w:rsidRPr="00B65A93">
              <w:rPr>
                <w:rFonts w:eastAsia="標楷體"/>
                <w:sz w:val="28"/>
              </w:rPr>
              <w:t>負債比率（縮尾）</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Decrease</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連續兩年營收下降虛擬</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Size_D_dREV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Size × D × 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AI_D_dREV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 xml:space="preserve">AI × D </w:t>
            </w:r>
            <w:r w:rsidRPr="00B65A93">
              <w:rPr>
                <w:rFonts w:eastAsia="標楷體"/>
                <w:sz w:val="28"/>
              </w:rPr>
              <w:t>× ΔLNREV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EI_D_dREV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EI × D × 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ROA_D_dREV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ROA × D × ΔLNREV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Lev_D_dREV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Lev × D × 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Decrease_D_dREV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Decrease × D × ΔLNREV</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控制交乘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WaterRate_D_dREV_l1</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Water_Rate(t-1) × D × ΔLNREV</w:t>
            </w:r>
            <w:r w:rsidRPr="00B65A93">
              <w:rPr>
                <w:rFonts w:eastAsia="標楷體"/>
                <w:sz w:val="28"/>
              </w:rPr>
              <w:t>（遞延一期，方向四）</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遞延交乘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WaterRate_D_dREV_l2</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Water_Rate(t-2) × D × ΔLNREV</w:t>
            </w:r>
            <w:r w:rsidRPr="00B65A93">
              <w:rPr>
                <w:rFonts w:eastAsia="標楷體"/>
                <w:sz w:val="28"/>
              </w:rPr>
              <w:t>（遞延兩期，方向四）</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遞延交乘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WaterDisc_D_dREV_l1</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Water_Disc(t-1) × D × ΔLNREV</w:t>
            </w:r>
            <w:r w:rsidRPr="00B65A93">
              <w:rPr>
                <w:rFonts w:eastAsia="標楷體"/>
                <w:sz w:val="28"/>
              </w:rPr>
              <w:t>（遞延一期）</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遞延交乘</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WaterDisc_D_dREV_l2</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Water_Disc(t-2) × D × ΔLNREV</w:t>
            </w:r>
            <w:r w:rsidRPr="00B65A93">
              <w:rPr>
                <w:rFonts w:eastAsia="標楷體"/>
                <w:sz w:val="28"/>
              </w:rPr>
              <w:t>（遞延兩期）</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遞延交乘</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WaterUse</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耗水分組（高</w:t>
            </w:r>
            <w:r w:rsidRPr="00B65A93">
              <w:rPr>
                <w:rFonts w:eastAsia="標楷體"/>
                <w:sz w:val="28"/>
              </w:rPr>
              <w:t>/</w:t>
            </w:r>
            <w:r w:rsidRPr="00B65A93">
              <w:rPr>
                <w:rFonts w:eastAsia="標楷體"/>
                <w:sz w:val="28"/>
              </w:rPr>
              <w:t>低耗水產業，方向五）</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分組</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Industry</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SASB</w:t>
            </w:r>
            <w:r w:rsidRPr="00B65A93">
              <w:rPr>
                <w:rFonts w:eastAsia="標楷體"/>
                <w:sz w:val="28"/>
              </w:rPr>
              <w:t>主產業（產業固定效果）</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固定效果</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Year</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西元年份（年份固定效果）</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固定效果</w:t>
            </w:r>
          </w:p>
        </w:tc>
      </w:tr>
    </w:tbl>
    <w:p w:rsidR="00E613CE" w:rsidRPr="00B65A93" w:rsidRDefault="00E613CE">
      <w:pPr>
        <w:rPr>
          <w:rFonts w:eastAsia="標楷體"/>
          <w:sz w:val="28"/>
        </w:rPr>
      </w:pP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lastRenderedPageBreak/>
        <w:t>第三節</w:t>
      </w:r>
      <w:r w:rsidRPr="00B65A93">
        <w:rPr>
          <w:rFonts w:ascii="Times New Roman" w:eastAsia="標楷體" w:hAnsi="Times New Roman"/>
          <w:b w:val="0"/>
          <w:sz w:val="28"/>
        </w:rPr>
        <w:t xml:space="preserve"> </w:t>
      </w:r>
      <w:r w:rsidRPr="00B65A93">
        <w:rPr>
          <w:rFonts w:ascii="Times New Roman" w:eastAsia="標楷體" w:hAnsi="Times New Roman"/>
          <w:b w:val="0"/>
          <w:sz w:val="28"/>
        </w:rPr>
        <w:t>實證模型</w:t>
      </w:r>
    </w:p>
    <w:p w:rsidR="00E613CE" w:rsidRPr="00B65A93" w:rsidRDefault="00B65A93">
      <w:pPr>
        <w:spacing w:line="360" w:lineRule="auto"/>
        <w:rPr>
          <w:rFonts w:eastAsia="標楷體"/>
          <w:sz w:val="28"/>
        </w:rPr>
      </w:pPr>
      <w:r w:rsidRPr="00B65A93">
        <w:rPr>
          <w:rFonts w:eastAsia="標楷體"/>
          <w:sz w:val="28"/>
        </w:rPr>
        <w:t>本研究採</w:t>
      </w:r>
      <w:r w:rsidRPr="00B65A93">
        <w:rPr>
          <w:rFonts w:eastAsia="標楷體"/>
          <w:sz w:val="28"/>
        </w:rPr>
        <w:t xml:space="preserve"> ABJ </w:t>
      </w:r>
      <w:r w:rsidRPr="00B65A93">
        <w:rPr>
          <w:rFonts w:eastAsia="標楷體"/>
          <w:sz w:val="28"/>
        </w:rPr>
        <w:t>成本黏性模型，以營業費用變動對營收變動之敏感度捕捉黏性，並加入環境管理變數之三重交乘。以</w:t>
      </w:r>
      <w:r w:rsidRPr="00B65A93">
        <w:rPr>
          <w:rFonts w:eastAsia="標楷體"/>
          <w:sz w:val="28"/>
        </w:rPr>
        <w:t xml:space="preserve"> Env_Var </w:t>
      </w:r>
      <w:r w:rsidRPr="00B65A93">
        <w:rPr>
          <w:rFonts w:eastAsia="標楷體"/>
          <w:sz w:val="28"/>
        </w:rPr>
        <w:t>泛指環境管理變數：</w:t>
      </w:r>
    </w:p>
    <w:p w:rsidR="00E613CE" w:rsidRPr="00B65A93" w:rsidRDefault="00B65A93">
      <w:pPr>
        <w:spacing w:line="360" w:lineRule="auto"/>
        <w:rPr>
          <w:rFonts w:eastAsia="標楷體"/>
          <w:sz w:val="28"/>
        </w:rPr>
      </w:pPr>
      <w:r w:rsidRPr="00B65A93">
        <w:rPr>
          <w:rFonts w:eastAsia="標楷體"/>
          <w:sz w:val="28"/>
        </w:rPr>
        <w:t>ΔLNSGA = β0 + β1·ΔLNREV + β2·(D×ΔLNREV) + β3·(Env_Var×D×ΔLNREV) + β4·Env_Var + Σ Controls×(D×ΔLNREV) + Σ Industry + Σ Year + ε</w:t>
      </w:r>
    </w:p>
    <w:p w:rsidR="00E613CE" w:rsidRPr="00B65A93" w:rsidRDefault="00B65A93">
      <w:pPr>
        <w:spacing w:line="360" w:lineRule="auto"/>
        <w:ind w:firstLine="480"/>
        <w:rPr>
          <w:rFonts w:eastAsia="標楷體"/>
          <w:sz w:val="28"/>
        </w:rPr>
      </w:pPr>
      <w:r w:rsidRPr="00B65A93">
        <w:rPr>
          <w:rFonts w:eastAsia="標楷體"/>
          <w:sz w:val="28"/>
        </w:rPr>
        <w:t>其中</w:t>
      </w:r>
      <w:r w:rsidRPr="00B65A93">
        <w:rPr>
          <w:rFonts w:eastAsia="標楷體"/>
          <w:sz w:val="28"/>
        </w:rPr>
        <w:t xml:space="preserve"> D </w:t>
      </w:r>
      <w:r w:rsidRPr="00B65A93">
        <w:rPr>
          <w:rFonts w:eastAsia="標楷體"/>
          <w:sz w:val="28"/>
        </w:rPr>
        <w:t>為收入下降虛擬變數（當期營收低於前期為</w:t>
      </w:r>
      <w:r w:rsidRPr="00B65A93">
        <w:rPr>
          <w:rFonts w:eastAsia="標楷體"/>
          <w:sz w:val="28"/>
        </w:rPr>
        <w:t>1</w:t>
      </w:r>
      <w:r w:rsidRPr="00B65A93">
        <w:rPr>
          <w:rFonts w:eastAsia="標楷體"/>
          <w:sz w:val="28"/>
        </w:rPr>
        <w:t>）。</w:t>
      </w:r>
      <w:r w:rsidRPr="00B65A93">
        <w:rPr>
          <w:rFonts w:eastAsia="標楷體"/>
          <w:sz w:val="28"/>
        </w:rPr>
        <w:t xml:space="preserve">β2 </w:t>
      </w:r>
      <w:r w:rsidRPr="00B65A93">
        <w:rPr>
          <w:rFonts w:eastAsia="標楷體"/>
          <w:sz w:val="28"/>
        </w:rPr>
        <w:t>捕捉整體成本黏性（預期為負）；</w:t>
      </w:r>
      <w:r w:rsidRPr="00B65A93">
        <w:rPr>
          <w:rFonts w:eastAsia="標楷體"/>
          <w:sz w:val="28"/>
        </w:rPr>
        <w:t xml:space="preserve">β3 </w:t>
      </w:r>
      <w:r w:rsidRPr="00B65A93">
        <w:rPr>
          <w:rFonts w:eastAsia="標楷體"/>
          <w:sz w:val="28"/>
        </w:rPr>
        <w:t>為核心係數。</w:t>
      </w:r>
      <w:r w:rsidRPr="00B65A93">
        <w:rPr>
          <w:rFonts w:eastAsia="標楷體"/>
          <w:sz w:val="28"/>
        </w:rPr>
        <w:t xml:space="preserve">Env_Var </w:t>
      </w:r>
      <w:r w:rsidRPr="00B65A93">
        <w:rPr>
          <w:rFonts w:eastAsia="標楷體"/>
          <w:sz w:val="28"/>
        </w:rPr>
        <w:t>依模型分別代入下列六項環境管理變數：</w:t>
      </w:r>
    </w:p>
    <w:p w:rsidR="00E613CE" w:rsidRPr="00B65A93" w:rsidRDefault="00B65A93">
      <w:pPr>
        <w:spacing w:line="360" w:lineRule="auto"/>
        <w:rPr>
          <w:rFonts w:eastAsia="標楷體"/>
          <w:sz w:val="28"/>
        </w:rPr>
      </w:pPr>
      <w:r w:rsidRPr="00B65A93">
        <w:rPr>
          <w:rFonts w:eastAsia="標楷體"/>
          <w:sz w:val="28"/>
        </w:rPr>
        <w:t xml:space="preserve">‧ </w:t>
      </w:r>
      <w:r w:rsidRPr="00B65A93">
        <w:rPr>
          <w:rFonts w:eastAsia="標楷體"/>
          <w:sz w:val="28"/>
        </w:rPr>
        <w:t>核心（使用密集度）</w:t>
      </w:r>
      <w:r w:rsidRPr="00B65A93">
        <w:rPr>
          <w:rFonts w:eastAsia="標楷體"/>
          <w:sz w:val="28"/>
        </w:rPr>
        <w:t>——</w:t>
      </w:r>
      <w:r w:rsidRPr="00B65A93">
        <w:rPr>
          <w:rFonts w:eastAsia="標楷體"/>
          <w:sz w:val="28"/>
        </w:rPr>
        <w:t>模型</w:t>
      </w:r>
      <w:r w:rsidRPr="00B65A93">
        <w:rPr>
          <w:rFonts w:eastAsia="標楷體"/>
          <w:sz w:val="28"/>
        </w:rPr>
        <w:t>6 Water_Intensity</w:t>
      </w:r>
      <w:r w:rsidRPr="00B65A93">
        <w:rPr>
          <w:rFonts w:eastAsia="標楷體"/>
          <w:sz w:val="28"/>
        </w:rPr>
        <w:t>（用水密集度＝總用水量</w:t>
      </w:r>
      <w:r w:rsidRPr="00B65A93">
        <w:rPr>
          <w:rFonts w:eastAsia="標楷體"/>
          <w:sz w:val="28"/>
        </w:rPr>
        <w:t>/</w:t>
      </w:r>
      <w:r w:rsidRPr="00B65A93">
        <w:rPr>
          <w:rFonts w:eastAsia="標楷體"/>
          <w:sz w:val="28"/>
        </w:rPr>
        <w:t>營收，</w:t>
      </w:r>
      <w:r w:rsidRPr="00B65A93">
        <w:rPr>
          <w:rFonts w:eastAsia="標楷體"/>
          <w:sz w:val="28"/>
        </w:rPr>
        <w:t>H6</w:t>
      </w:r>
      <w:r w:rsidRPr="00B65A93">
        <w:rPr>
          <w:rFonts w:eastAsia="標楷體"/>
          <w:sz w:val="28"/>
        </w:rPr>
        <w:t>）、模型</w:t>
      </w:r>
      <w:r w:rsidRPr="00B65A93">
        <w:rPr>
          <w:rFonts w:eastAsia="標楷體"/>
          <w:sz w:val="28"/>
        </w:rPr>
        <w:t>3 Waste_Intensity</w:t>
      </w:r>
      <w:r w:rsidRPr="00B65A93">
        <w:rPr>
          <w:rFonts w:eastAsia="標楷體"/>
          <w:sz w:val="28"/>
        </w:rPr>
        <w:t>（每百萬營收廢棄物，</w:t>
      </w:r>
      <w:r w:rsidRPr="00B65A93">
        <w:rPr>
          <w:rFonts w:eastAsia="標楷體"/>
          <w:sz w:val="28"/>
        </w:rPr>
        <w:t>H3</w:t>
      </w:r>
      <w:r w:rsidRPr="00B65A93">
        <w:rPr>
          <w:rFonts w:eastAsia="標楷體"/>
          <w:sz w:val="28"/>
        </w:rPr>
        <w:t>）。</w:t>
      </w:r>
    </w:p>
    <w:p w:rsidR="00E613CE" w:rsidRPr="00B65A93" w:rsidRDefault="00B65A93">
      <w:pPr>
        <w:spacing w:line="360" w:lineRule="auto"/>
        <w:rPr>
          <w:rFonts w:eastAsia="標楷體"/>
          <w:sz w:val="28"/>
        </w:rPr>
      </w:pPr>
      <w:r w:rsidRPr="00B65A93">
        <w:rPr>
          <w:rFonts w:eastAsia="標楷體"/>
          <w:sz w:val="28"/>
        </w:rPr>
        <w:t xml:space="preserve">‧ </w:t>
      </w:r>
      <w:r w:rsidRPr="00B65A93">
        <w:rPr>
          <w:rFonts w:eastAsia="標楷體"/>
          <w:sz w:val="28"/>
        </w:rPr>
        <w:t>輔助（揭露與裁罰）</w:t>
      </w:r>
      <w:r w:rsidRPr="00B65A93">
        <w:rPr>
          <w:rFonts w:eastAsia="標楷體"/>
          <w:sz w:val="28"/>
        </w:rPr>
        <w:t>——</w:t>
      </w:r>
      <w:r w:rsidRPr="00B65A93">
        <w:rPr>
          <w:rFonts w:eastAsia="標楷體"/>
          <w:sz w:val="28"/>
        </w:rPr>
        <w:t>模型</w:t>
      </w:r>
      <w:r w:rsidRPr="00B65A93">
        <w:rPr>
          <w:rFonts w:eastAsia="標楷體"/>
          <w:sz w:val="28"/>
        </w:rPr>
        <w:t>1 Water_Rate</w:t>
      </w:r>
      <w:r w:rsidRPr="00B65A93">
        <w:rPr>
          <w:rFonts w:eastAsia="標楷體"/>
          <w:sz w:val="28"/>
        </w:rPr>
        <w:t>（水回收率</w:t>
      </w:r>
      <w:r w:rsidRPr="00B65A93">
        <w:rPr>
          <w:rFonts w:eastAsia="標楷體"/>
          <w:sz w:val="28"/>
        </w:rPr>
        <w:t>%</w:t>
      </w:r>
      <w:r w:rsidRPr="00B65A93">
        <w:rPr>
          <w:rFonts w:eastAsia="標楷體"/>
          <w:sz w:val="28"/>
        </w:rPr>
        <w:t>，</w:t>
      </w:r>
      <w:r w:rsidRPr="00B65A93">
        <w:rPr>
          <w:rFonts w:eastAsia="標楷體"/>
          <w:sz w:val="28"/>
        </w:rPr>
        <w:t>H1</w:t>
      </w:r>
      <w:r w:rsidRPr="00B65A93">
        <w:rPr>
          <w:rFonts w:eastAsia="標楷體"/>
          <w:sz w:val="28"/>
        </w:rPr>
        <w:t>）、模型</w:t>
      </w:r>
      <w:r w:rsidRPr="00B65A93">
        <w:rPr>
          <w:rFonts w:eastAsia="標楷體"/>
          <w:sz w:val="28"/>
        </w:rPr>
        <w:t>2 Water_Disc</w:t>
      </w:r>
      <w:r w:rsidRPr="00B65A93">
        <w:rPr>
          <w:rFonts w:eastAsia="標楷體"/>
          <w:sz w:val="28"/>
        </w:rPr>
        <w:t>（水揭露，</w:t>
      </w:r>
      <w:r w:rsidRPr="00B65A93">
        <w:rPr>
          <w:rFonts w:eastAsia="標楷體"/>
          <w:sz w:val="28"/>
        </w:rPr>
        <w:t>H2</w:t>
      </w:r>
      <w:r w:rsidRPr="00B65A93">
        <w:rPr>
          <w:rFonts w:eastAsia="標楷體"/>
          <w:sz w:val="28"/>
        </w:rPr>
        <w:t>）、模型</w:t>
      </w:r>
      <w:r w:rsidRPr="00B65A93">
        <w:rPr>
          <w:rFonts w:eastAsia="標楷體"/>
          <w:sz w:val="28"/>
        </w:rPr>
        <w:t>4 Waste_Disc</w:t>
      </w:r>
      <w:r w:rsidRPr="00B65A93">
        <w:rPr>
          <w:rFonts w:eastAsia="標楷體"/>
          <w:sz w:val="28"/>
        </w:rPr>
        <w:t>（</w:t>
      </w:r>
      <w:r w:rsidRPr="00B65A93">
        <w:rPr>
          <w:rFonts w:eastAsia="標楷體"/>
          <w:sz w:val="28"/>
        </w:rPr>
        <w:t>GRI</w:t>
      </w:r>
      <w:r w:rsidRPr="00B65A93">
        <w:rPr>
          <w:rFonts w:eastAsia="標楷體"/>
          <w:sz w:val="28"/>
        </w:rPr>
        <w:t>廢棄物揭露度，</w:t>
      </w:r>
      <w:r w:rsidRPr="00B65A93">
        <w:rPr>
          <w:rFonts w:eastAsia="標楷體"/>
          <w:sz w:val="28"/>
        </w:rPr>
        <w:t>H4</w:t>
      </w:r>
      <w:r w:rsidRPr="00B65A93">
        <w:rPr>
          <w:rFonts w:eastAsia="標楷體"/>
          <w:sz w:val="28"/>
        </w:rPr>
        <w:t>）、模型</w:t>
      </w:r>
      <w:r w:rsidRPr="00B65A93">
        <w:rPr>
          <w:rFonts w:eastAsia="標楷體"/>
          <w:sz w:val="28"/>
        </w:rPr>
        <w:t>5 Waste_Fine</w:t>
      </w:r>
      <w:r w:rsidRPr="00B65A93">
        <w:rPr>
          <w:rFonts w:eastAsia="標楷體"/>
          <w:sz w:val="28"/>
        </w:rPr>
        <w:t>（廢棄物裁罰金額佔資產，</w:t>
      </w:r>
      <w:r w:rsidRPr="00B65A93">
        <w:rPr>
          <w:rFonts w:eastAsia="標楷體"/>
          <w:sz w:val="28"/>
        </w:rPr>
        <w:t>H5</w:t>
      </w:r>
      <w:r w:rsidRPr="00B65A93">
        <w:rPr>
          <w:rFonts w:eastAsia="標楷體"/>
          <w:sz w:val="28"/>
        </w:rPr>
        <w:t>）。</w:t>
      </w:r>
    </w:p>
    <w:p w:rsidR="00E613CE" w:rsidRPr="00B65A93" w:rsidRDefault="00B65A93">
      <w:pPr>
        <w:spacing w:line="360" w:lineRule="auto"/>
        <w:ind w:firstLine="480"/>
        <w:rPr>
          <w:rFonts w:eastAsia="標楷體"/>
          <w:sz w:val="28"/>
        </w:rPr>
      </w:pPr>
      <w:r w:rsidRPr="00B65A93">
        <w:rPr>
          <w:rFonts w:eastAsia="標楷體"/>
          <w:sz w:val="28"/>
        </w:rPr>
        <w:t>估計採</w:t>
      </w:r>
      <w:r w:rsidRPr="00B65A93">
        <w:rPr>
          <w:rFonts w:eastAsia="標楷體"/>
          <w:sz w:val="28"/>
        </w:rPr>
        <w:t xml:space="preserve"> OLS </w:t>
      </w:r>
      <w:r w:rsidRPr="00B65A93">
        <w:rPr>
          <w:rFonts w:eastAsia="標楷體"/>
          <w:sz w:val="28"/>
        </w:rPr>
        <w:t>併入產業與年份固定效果，並以公司層級叢集穩健標準誤。此外，為檢驗時間落差效應，將</w:t>
      </w:r>
      <w:r w:rsidRPr="00B65A93">
        <w:rPr>
          <w:rFonts w:eastAsia="標楷體"/>
          <w:sz w:val="28"/>
        </w:rPr>
        <w:t xml:space="preserve"> Env_Var </w:t>
      </w:r>
      <w:r w:rsidRPr="00B65A93">
        <w:rPr>
          <w:rFonts w:eastAsia="標楷體"/>
          <w:sz w:val="28"/>
        </w:rPr>
        <w:t>分別遞延一期（</w:t>
      </w:r>
      <w:r w:rsidRPr="00B65A93">
        <w:rPr>
          <w:rFonts w:eastAsia="標楷體"/>
          <w:sz w:val="28"/>
        </w:rPr>
        <w:t>t-1</w:t>
      </w:r>
      <w:r w:rsidRPr="00B65A93">
        <w:rPr>
          <w:rFonts w:eastAsia="標楷體"/>
          <w:sz w:val="28"/>
        </w:rPr>
        <w:t>）與兩期（</w:t>
      </w:r>
      <w:r w:rsidRPr="00B65A93">
        <w:rPr>
          <w:rFonts w:eastAsia="標楷體"/>
          <w:sz w:val="28"/>
        </w:rPr>
        <w:t>t-2</w:t>
      </w:r>
      <w:r w:rsidRPr="00B65A93">
        <w:rPr>
          <w:rFonts w:eastAsia="標楷體"/>
          <w:sz w:val="28"/>
        </w:rPr>
        <w:t>）代入；並依</w:t>
      </w:r>
      <w:r w:rsidRPr="00B65A93">
        <w:rPr>
          <w:rFonts w:eastAsia="標楷體"/>
          <w:sz w:val="28"/>
        </w:rPr>
        <w:t xml:space="preserve"> TSE </w:t>
      </w:r>
      <w:r w:rsidRPr="00B65A93">
        <w:rPr>
          <w:rFonts w:eastAsia="標楷體"/>
          <w:sz w:val="28"/>
        </w:rPr>
        <w:t>產業別將樣本分為高／低耗水（高污染）兩組進行異質性檢定，比較各組之</w:t>
      </w:r>
      <w:r w:rsidRPr="00B65A93">
        <w:rPr>
          <w:rFonts w:eastAsia="標楷體"/>
          <w:sz w:val="28"/>
        </w:rPr>
        <w:t xml:space="preserve"> β3</w:t>
      </w:r>
      <w:r w:rsidRPr="00B65A93">
        <w:rPr>
          <w:rFonts w:eastAsia="標楷體"/>
          <w:sz w:val="28"/>
        </w:rPr>
        <w:t>。</w:t>
      </w: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t>第四章</w:t>
      </w:r>
      <w:r w:rsidRPr="00B65A93">
        <w:rPr>
          <w:rFonts w:ascii="Times New Roman" w:eastAsia="標楷體" w:hAnsi="Times New Roman"/>
          <w:b w:val="0"/>
        </w:rPr>
        <w:t xml:space="preserve"> </w:t>
      </w:r>
      <w:r w:rsidRPr="00B65A93">
        <w:rPr>
          <w:rFonts w:ascii="Times New Roman" w:eastAsia="標楷體" w:hAnsi="Times New Roman"/>
          <w:b w:val="0"/>
        </w:rPr>
        <w:t>實證結果</w:t>
      </w: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第一節</w:t>
      </w:r>
      <w:r w:rsidRPr="00B65A93">
        <w:rPr>
          <w:rFonts w:ascii="Times New Roman" w:eastAsia="標楷體" w:hAnsi="Times New Roman"/>
          <w:b w:val="0"/>
          <w:sz w:val="28"/>
        </w:rPr>
        <w:t xml:space="preserve"> </w:t>
      </w:r>
      <w:r w:rsidRPr="00B65A93">
        <w:rPr>
          <w:rFonts w:ascii="Times New Roman" w:eastAsia="標楷體" w:hAnsi="Times New Roman"/>
          <w:b w:val="0"/>
          <w:sz w:val="28"/>
        </w:rPr>
        <w:t>敘述統計</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4-1 </w:t>
      </w:r>
      <w:r w:rsidRPr="00B65A93">
        <w:rPr>
          <w:rFonts w:eastAsia="標楷體"/>
          <w:sz w:val="28"/>
        </w:rPr>
        <w:t>主要變數敘述統計</w:t>
      </w:r>
    </w:p>
    <w:tbl>
      <w:tblPr>
        <w:tblStyle w:val="-11"/>
        <w:tblW w:w="0" w:type="auto"/>
        <w:tblLook w:val="04A0" w:firstRow="1" w:lastRow="0" w:firstColumn="1" w:lastColumn="0" w:noHBand="0" w:noVBand="1"/>
      </w:tblPr>
      <w:tblGrid>
        <w:gridCol w:w="2036"/>
        <w:gridCol w:w="1050"/>
        <w:gridCol w:w="1154"/>
        <w:gridCol w:w="1154"/>
        <w:gridCol w:w="1154"/>
        <w:gridCol w:w="1154"/>
        <w:gridCol w:w="1154"/>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lastRenderedPageBreak/>
              <w:t>變數</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N</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平均數</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標準差</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最小值</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中位數</w:t>
            </w:r>
          </w:p>
        </w:tc>
        <w:tc>
          <w:tcPr>
            <w:tcW w:w="123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最大值</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Y_dLNSGA</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0.0315</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0.1943</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-0.6466</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0.0299</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0.7375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dLNREV</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0.0137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0.3233</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-1.2337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0.0208</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1.3080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D</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0.4489</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0.4974</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Water_Rate</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1,039</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35.0842</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31.6708</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23.3000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99.8638</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Water_Disc</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0.1118</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0.3151</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Waste_Intensity</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3,591</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0.4486</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1.1477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0.1215</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8.1388</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Waste_Disc</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15,123</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0.4974</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1.2357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5.0000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Waste_Fine</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4,187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2.6612</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10.0498</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0.0418</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84.6934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Size</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15.4202</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1.4638</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12.0148</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15.2476</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20.6463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AI</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3.1067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6.8015</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0.3325</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1.5004</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53.0478</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EI</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17,105</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0.0002</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0.0002</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0.0001</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ROA</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18,130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0.8227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3.2517</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-22.3660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1.0200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14.2100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Lev</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18,137</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41.4062</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18.5445</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4.4000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41.4400</w:t>
            </w:r>
          </w:p>
        </w:tc>
        <w:tc>
          <w:tcPr>
            <w:tcW w:w="123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93.3838</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E613CE" w:rsidRPr="00B65A93" w:rsidRDefault="00B65A93">
            <w:pPr>
              <w:rPr>
                <w:rFonts w:eastAsia="標楷體"/>
                <w:b w:val="0"/>
                <w:sz w:val="28"/>
              </w:rPr>
            </w:pPr>
            <w:r w:rsidRPr="00B65A93">
              <w:rPr>
                <w:rFonts w:eastAsia="標楷體"/>
                <w:b w:val="0"/>
                <w:sz w:val="28"/>
              </w:rPr>
              <w:t>Decrease</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17,620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0.2322</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0.4222</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0.0000</w:t>
            </w:r>
          </w:p>
        </w:tc>
        <w:tc>
          <w:tcPr>
            <w:tcW w:w="123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1.0000</w:t>
            </w:r>
          </w:p>
        </w:tc>
      </w:tr>
    </w:tbl>
    <w:p w:rsidR="00E613CE" w:rsidRPr="00B65A93" w:rsidRDefault="00E613CE">
      <w:pPr>
        <w:rPr>
          <w:rFonts w:eastAsia="標楷體"/>
          <w:sz w:val="28"/>
        </w:rPr>
      </w:pP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第二節</w:t>
      </w:r>
      <w:r w:rsidRPr="00B65A93">
        <w:rPr>
          <w:rFonts w:ascii="Times New Roman" w:eastAsia="標楷體" w:hAnsi="Times New Roman"/>
          <w:b w:val="0"/>
          <w:sz w:val="28"/>
        </w:rPr>
        <w:t xml:space="preserve"> </w:t>
      </w:r>
      <w:r w:rsidRPr="00B65A93">
        <w:rPr>
          <w:rFonts w:ascii="Times New Roman" w:eastAsia="標楷體" w:hAnsi="Times New Roman"/>
          <w:b w:val="0"/>
          <w:sz w:val="28"/>
        </w:rPr>
        <w:t>相關係數矩陣</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4-2 </w:t>
      </w:r>
      <w:r w:rsidRPr="00B65A93">
        <w:rPr>
          <w:rFonts w:eastAsia="標楷體"/>
          <w:sz w:val="28"/>
        </w:rPr>
        <w:t>主要連續變數相關係數矩陣</w:t>
      </w:r>
    </w:p>
    <w:tbl>
      <w:tblPr>
        <w:tblStyle w:val="-11"/>
        <w:tblW w:w="0" w:type="auto"/>
        <w:tblLook w:val="04A0" w:firstRow="1" w:lastRow="0" w:firstColumn="1" w:lastColumn="0" w:noHBand="0" w:noVBand="1"/>
      </w:tblPr>
      <w:tblGrid>
        <w:gridCol w:w="1365"/>
        <w:gridCol w:w="1110"/>
        <w:gridCol w:w="893"/>
        <w:gridCol w:w="1059"/>
        <w:gridCol w:w="1364"/>
        <w:gridCol w:w="613"/>
        <w:gridCol w:w="613"/>
        <w:gridCol w:w="613"/>
        <w:gridCol w:w="613"/>
        <w:gridCol w:w="613"/>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變數</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Y_dLNSGA</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dLNREV</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Water_Rate</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Waste_Intensity</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Size</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AI</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EI</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ROA</w:t>
            </w:r>
          </w:p>
        </w:tc>
        <w:tc>
          <w:tcPr>
            <w:tcW w:w="864"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Lev</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Y_dLNSGA</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0.534</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-0.040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0.035</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-0.065</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-0.105</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0.151</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0.037</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dLNREV</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0.534</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-0.008</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0.075</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-0.159</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-0.189</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0.253</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0.057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Water_Rate</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-0.040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-0.008</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0.270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0.119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-0.021</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-0.017</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Waste_Intensity</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0.035</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0.270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0.069</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0.070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-0.022</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0.104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Size</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0.075</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0.119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-0.032</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-0.373</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0.183</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0.309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lastRenderedPageBreak/>
              <w:t>AI</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-0.065</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-0.159</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0.070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-0.032</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0.571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-0.196</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-0.091</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EI</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-0.105</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-0.189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-0.022</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-0.373</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0.571</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-0.271</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-0.203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ROA</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0.151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0.253</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-0.017</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0.183</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-0.196</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-0.271</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1.000</w:t>
            </w:r>
          </w:p>
        </w:tc>
        <w:tc>
          <w:tcPr>
            <w:tcW w:w="864"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-0.103</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E613CE" w:rsidRPr="00B65A93" w:rsidRDefault="00B65A93">
            <w:pPr>
              <w:rPr>
                <w:rFonts w:eastAsia="標楷體"/>
                <w:b w:val="0"/>
                <w:sz w:val="28"/>
              </w:rPr>
            </w:pPr>
            <w:r w:rsidRPr="00B65A93">
              <w:rPr>
                <w:rFonts w:eastAsia="標楷體"/>
                <w:b w:val="0"/>
                <w:sz w:val="28"/>
              </w:rPr>
              <w:t>Lev</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0.037</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0.057</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-0.084</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0.104</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0.309</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-0.091</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-0.203</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-0.103</w:t>
            </w:r>
          </w:p>
        </w:tc>
        <w:tc>
          <w:tcPr>
            <w:tcW w:w="864"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1.000</w:t>
            </w:r>
          </w:p>
        </w:tc>
      </w:tr>
    </w:tbl>
    <w:p w:rsidR="00E613CE" w:rsidRPr="00B65A93" w:rsidRDefault="00E613CE">
      <w:pPr>
        <w:rPr>
          <w:rFonts w:eastAsia="標楷體"/>
          <w:sz w:val="28"/>
        </w:rPr>
      </w:pP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第三節</w:t>
      </w:r>
      <w:r w:rsidRPr="00B65A93">
        <w:rPr>
          <w:rFonts w:ascii="Times New Roman" w:eastAsia="標楷體" w:hAnsi="Times New Roman"/>
          <w:b w:val="0"/>
          <w:sz w:val="28"/>
        </w:rPr>
        <w:t xml:space="preserve"> </w:t>
      </w:r>
      <w:r w:rsidRPr="00B65A93">
        <w:rPr>
          <w:rFonts w:ascii="Times New Roman" w:eastAsia="標楷體" w:hAnsi="Times New Roman"/>
          <w:b w:val="0"/>
          <w:sz w:val="28"/>
        </w:rPr>
        <w:t>核心結果：使用密集度（當期）</w:t>
      </w:r>
    </w:p>
    <w:p w:rsidR="00E613CE" w:rsidRPr="00B65A93" w:rsidRDefault="00B65A93">
      <w:pPr>
        <w:spacing w:line="360" w:lineRule="auto"/>
        <w:ind w:firstLine="480"/>
        <w:rPr>
          <w:rFonts w:eastAsia="標楷體"/>
          <w:sz w:val="28"/>
        </w:rPr>
      </w:pPr>
      <w:r w:rsidRPr="00B65A93">
        <w:rPr>
          <w:rFonts w:eastAsia="標楷體"/>
          <w:sz w:val="28"/>
        </w:rPr>
        <w:t>本研究以「環境使用密集度」為核心，包含用水密集度（模型</w:t>
      </w:r>
      <w:r w:rsidRPr="00B65A93">
        <w:rPr>
          <w:rFonts w:eastAsia="標楷體"/>
          <w:sz w:val="28"/>
        </w:rPr>
        <w:t>6</w:t>
      </w:r>
      <w:r w:rsidRPr="00B65A93">
        <w:rPr>
          <w:rFonts w:eastAsia="標楷體"/>
          <w:sz w:val="28"/>
        </w:rPr>
        <w:t>）與廢棄物密集度（模型</w:t>
      </w:r>
      <w:r w:rsidRPr="00B65A93">
        <w:rPr>
          <w:rFonts w:eastAsia="標楷體"/>
          <w:sz w:val="28"/>
        </w:rPr>
        <w:t>3</w:t>
      </w:r>
      <w:r w:rsidRPr="00B65A93">
        <w:rPr>
          <w:rFonts w:eastAsia="標楷體"/>
          <w:sz w:val="28"/>
        </w:rPr>
        <w:t>）。表</w:t>
      </w:r>
      <w:r w:rsidRPr="00B65A93">
        <w:rPr>
          <w:rFonts w:eastAsia="標楷體"/>
          <w:sz w:val="28"/>
        </w:rPr>
        <w:t xml:space="preserve">4-3 </w:t>
      </w:r>
      <w:r w:rsidRPr="00B65A93">
        <w:rPr>
          <w:rFonts w:eastAsia="標楷體"/>
          <w:sz w:val="28"/>
        </w:rPr>
        <w:t>為當期結果，括號內為叢集穩健</w:t>
      </w:r>
      <w:r w:rsidRPr="00B65A93">
        <w:rPr>
          <w:rFonts w:eastAsia="標楷體"/>
          <w:sz w:val="28"/>
        </w:rPr>
        <w:t xml:space="preserve"> t </w:t>
      </w:r>
      <w:r w:rsidRPr="00B65A93">
        <w:rPr>
          <w:rFonts w:eastAsia="標楷體"/>
          <w:sz w:val="28"/>
        </w:rPr>
        <w:t>值，</w:t>
      </w:r>
      <w:r w:rsidRPr="00B65A93">
        <w:rPr>
          <w:rFonts w:eastAsia="標楷體"/>
          <w:sz w:val="28"/>
        </w:rPr>
        <w:t>*</w:t>
      </w:r>
      <w:r w:rsidRPr="00B65A93">
        <w:rPr>
          <w:rFonts w:eastAsia="標楷體"/>
          <w:sz w:val="28"/>
        </w:rPr>
        <w:t>、</w:t>
      </w:r>
      <w:r w:rsidRPr="00B65A93">
        <w:rPr>
          <w:rFonts w:eastAsia="標楷體"/>
          <w:sz w:val="28"/>
        </w:rPr>
        <w:t>**</w:t>
      </w:r>
      <w:r w:rsidRPr="00B65A93">
        <w:rPr>
          <w:rFonts w:eastAsia="標楷體"/>
          <w:sz w:val="28"/>
        </w:rPr>
        <w:t>、</w:t>
      </w:r>
      <w:r w:rsidRPr="00B65A93">
        <w:rPr>
          <w:rFonts w:eastAsia="標楷體"/>
          <w:sz w:val="28"/>
        </w:rPr>
        <w:t xml:space="preserve">*** </w:t>
      </w:r>
      <w:r w:rsidRPr="00B65A93">
        <w:rPr>
          <w:rFonts w:eastAsia="標楷體"/>
          <w:sz w:val="28"/>
        </w:rPr>
        <w:t>分別代表</w:t>
      </w:r>
      <w:r w:rsidRPr="00B65A93">
        <w:rPr>
          <w:rFonts w:eastAsia="標楷體"/>
          <w:sz w:val="28"/>
        </w:rPr>
        <w:t xml:space="preserve"> 10%</w:t>
      </w:r>
      <w:r w:rsidRPr="00B65A93">
        <w:rPr>
          <w:rFonts w:eastAsia="標楷體"/>
          <w:sz w:val="28"/>
        </w:rPr>
        <w:t>、</w:t>
      </w:r>
      <w:r w:rsidRPr="00B65A93">
        <w:rPr>
          <w:rFonts w:eastAsia="標楷體"/>
          <w:sz w:val="28"/>
        </w:rPr>
        <w:t>5%</w:t>
      </w:r>
      <w:r w:rsidRPr="00B65A93">
        <w:rPr>
          <w:rFonts w:eastAsia="標楷體"/>
          <w:sz w:val="28"/>
        </w:rPr>
        <w:t>、</w:t>
      </w:r>
      <w:r w:rsidRPr="00B65A93">
        <w:rPr>
          <w:rFonts w:eastAsia="標楷體"/>
          <w:sz w:val="28"/>
        </w:rPr>
        <w:t xml:space="preserve">1% </w:t>
      </w:r>
      <w:r w:rsidRPr="00B65A93">
        <w:rPr>
          <w:rFonts w:eastAsia="標楷體"/>
          <w:sz w:val="28"/>
        </w:rPr>
        <w:t>顯著水準。</w:t>
      </w:r>
      <w:r w:rsidRPr="00B65A93">
        <w:rPr>
          <w:rFonts w:eastAsia="標楷體"/>
          <w:sz w:val="28"/>
        </w:rPr>
        <w:t>D×ΔLNREV</w:t>
      </w:r>
      <w:r w:rsidRPr="00B65A93">
        <w:rPr>
          <w:rFonts w:eastAsia="標楷體"/>
          <w:sz w:val="28"/>
        </w:rPr>
        <w:t>（</w:t>
      </w:r>
      <w:r w:rsidRPr="00B65A93">
        <w:rPr>
          <w:rFonts w:eastAsia="標楷體"/>
          <w:sz w:val="28"/>
        </w:rPr>
        <w:t>β2</w:t>
      </w:r>
      <w:r w:rsidRPr="00B65A93">
        <w:rPr>
          <w:rFonts w:eastAsia="標楷體"/>
          <w:sz w:val="28"/>
        </w:rPr>
        <w:t>）反映整體成本黏性；</w:t>
      </w:r>
      <w:r w:rsidRPr="00B65A93">
        <w:rPr>
          <w:rFonts w:eastAsia="標楷體"/>
          <w:sz w:val="28"/>
        </w:rPr>
        <w:t xml:space="preserve">β3 </w:t>
      </w:r>
      <w:r w:rsidRPr="00B65A93">
        <w:rPr>
          <w:rFonts w:eastAsia="標楷體"/>
          <w:sz w:val="28"/>
        </w:rPr>
        <w:t>為使用密集度與營收下降之三重交乘。</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4-3 </w:t>
      </w:r>
      <w:r w:rsidRPr="00B65A93">
        <w:rPr>
          <w:rFonts w:eastAsia="標楷體"/>
          <w:sz w:val="28"/>
        </w:rPr>
        <w:t>使用密集度核心迴歸結果（當期）</w:t>
      </w:r>
    </w:p>
    <w:tbl>
      <w:tblPr>
        <w:tblStyle w:val="-11"/>
        <w:tblW w:w="0" w:type="auto"/>
        <w:tblLook w:val="04A0" w:firstRow="1" w:lastRow="0" w:firstColumn="1" w:lastColumn="0" w:noHBand="0" w:noVBand="1"/>
      </w:tblPr>
      <w:tblGrid>
        <w:gridCol w:w="2880"/>
        <w:gridCol w:w="2880"/>
        <w:gridCol w:w="2880"/>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變數</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6 </w:t>
            </w:r>
            <w:r w:rsidRPr="00B65A93">
              <w:rPr>
                <w:rFonts w:eastAsia="標楷體"/>
                <w:b w:val="0"/>
                <w:sz w:val="28"/>
              </w:rPr>
              <w:t>用水密集度</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3 </w:t>
            </w:r>
            <w:r w:rsidRPr="00B65A93">
              <w:rPr>
                <w:rFonts w:eastAsia="標楷體"/>
                <w:b w:val="0"/>
                <w:sz w:val="28"/>
              </w:rPr>
              <w:t>廢棄物密集度</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ΔLNREV (β1)</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0.3688***</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0.3500***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(19.34)</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(15.62)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D×ΔLNREV (β2)</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-0.0627</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-0.6394***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(-0.44)</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(-3.17)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環境變數</w:t>
            </w:r>
            <w:r w:rsidRPr="00B65A93">
              <w:rPr>
                <w:rFonts w:eastAsia="標楷體"/>
                <w:b w:val="0"/>
                <w:sz w:val="28"/>
              </w:rPr>
              <w:t>×D×ΔLNREV (β3)</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-0.0305</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0.0086</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(-1.29)</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(0.62)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環境變數</w:t>
            </w:r>
            <w:r w:rsidRPr="00B65A93">
              <w:rPr>
                <w:rFonts w:eastAsia="標楷體"/>
                <w:b w:val="0"/>
                <w:sz w:val="28"/>
              </w:rPr>
              <w:t xml:space="preserve"> (β4)</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-0.0129***</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-0.0008</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(-3.73)</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(-0.28)</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Size×D×ΔLNREV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0.0032</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0.0353***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(0.36)</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(2.80)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AI×D×ΔLNREV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-0.0038**</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-0.0045**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(-2.36)</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(-2.48)</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lastRenderedPageBreak/>
              <w:t>EI×D×ΔLNREV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-95.0811</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110.1635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(-1.56)</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(1.39)</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ROA×D×ΔLNREV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0.0150***</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0.0165***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(3.58)</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(3.22)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Lev×D×ΔLNREV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0.0009</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(1.24)</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(1.35)</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Decrease×D×ΔLNREV</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0.0225</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0.0465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E613CE">
            <w:pPr>
              <w:rPr>
                <w:rFonts w:eastAsia="標楷體"/>
                <w:b w:val="0"/>
                <w:sz w:val="28"/>
              </w:rPr>
            </w:pP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(0.94)</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N</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8,484</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3,273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adj. R²</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0.3507</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0.3568</w:t>
            </w:r>
          </w:p>
        </w:tc>
      </w:tr>
    </w:tbl>
    <w:p w:rsidR="00E613CE" w:rsidRPr="00B65A93" w:rsidRDefault="00E613CE">
      <w:pPr>
        <w:rPr>
          <w:rFonts w:eastAsia="標楷體"/>
          <w:sz w:val="28"/>
        </w:rPr>
      </w:pP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4-4 </w:t>
      </w:r>
      <w:r w:rsidRPr="00B65A93">
        <w:rPr>
          <w:rFonts w:eastAsia="標楷體"/>
          <w:sz w:val="28"/>
        </w:rPr>
        <w:t>使用密集度時間落差效應：各遞延期之</w:t>
      </w:r>
      <w:r w:rsidRPr="00B65A93">
        <w:rPr>
          <w:rFonts w:eastAsia="標楷體"/>
          <w:sz w:val="28"/>
        </w:rPr>
        <w:t xml:space="preserve"> β3</w:t>
      </w:r>
    </w:p>
    <w:tbl>
      <w:tblPr>
        <w:tblStyle w:val="-11"/>
        <w:tblW w:w="0" w:type="auto"/>
        <w:tblLook w:val="04A0" w:firstRow="1" w:lastRow="0" w:firstColumn="1" w:lastColumn="0" w:noHBand="0" w:noVBand="1"/>
      </w:tblPr>
      <w:tblGrid>
        <w:gridCol w:w="2880"/>
        <w:gridCol w:w="2880"/>
        <w:gridCol w:w="2880"/>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遞延期</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6 β3(</w:t>
            </w:r>
            <w:r w:rsidRPr="00B65A93">
              <w:rPr>
                <w:rFonts w:eastAsia="標楷體"/>
                <w:b w:val="0"/>
                <w:sz w:val="28"/>
              </w:rPr>
              <w:t>用水密集度</w:t>
            </w:r>
            <w:r w:rsidRPr="00B65A93">
              <w:rPr>
                <w:rFonts w:eastAsia="標楷體"/>
                <w:b w:val="0"/>
                <w:sz w:val="28"/>
              </w:rPr>
              <w:t>)</w:t>
            </w:r>
          </w:p>
        </w:tc>
        <w:tc>
          <w:tcPr>
            <w:tcW w:w="28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3 β3(</w:t>
            </w:r>
            <w:r w:rsidRPr="00B65A93">
              <w:rPr>
                <w:rFonts w:eastAsia="標楷體"/>
                <w:b w:val="0"/>
                <w:sz w:val="28"/>
              </w:rPr>
              <w:t>廢棄物密集度</w:t>
            </w:r>
            <w:r w:rsidRPr="00B65A93">
              <w:rPr>
                <w:rFonts w:eastAsia="標楷體"/>
                <w:b w:val="0"/>
                <w:sz w:val="28"/>
              </w:rPr>
              <w:t>)</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t-0</w:t>
            </w:r>
            <w:r w:rsidRPr="00B65A93">
              <w:rPr>
                <w:rFonts w:eastAsia="標楷體"/>
                <w:b w:val="0"/>
                <w:sz w:val="28"/>
              </w:rPr>
              <w:t>（當期）</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-0.0305nan (t=-1.29, N=8,484)</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0.0086nan (t=0.62, N=3,273)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t-1</w:t>
            </w:r>
            <w:r w:rsidRPr="00B65A93">
              <w:rPr>
                <w:rFonts w:eastAsia="標楷體"/>
                <w:b w:val="0"/>
                <w:sz w:val="28"/>
              </w:rPr>
              <w:t>（</w:t>
            </w:r>
            <w:r w:rsidRPr="00B65A93">
              <w:rPr>
                <w:rFonts w:eastAsia="標楷體"/>
                <w:b w:val="0"/>
                <w:sz w:val="28"/>
              </w:rPr>
              <w:t>1</w:t>
            </w:r>
            <w:r w:rsidRPr="00B65A93">
              <w:rPr>
                <w:rFonts w:eastAsia="標楷體"/>
                <w:b w:val="0"/>
                <w:sz w:val="28"/>
              </w:rPr>
              <w:t>期前）</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-0.0190nan (t=-0.63, N=7,176)</w:t>
            </w:r>
          </w:p>
        </w:tc>
        <w:tc>
          <w:tcPr>
            <w:tcW w:w="28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-0.0013nan (t=-0.07, N=1,653)</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613CE" w:rsidRPr="00B65A93" w:rsidRDefault="00B65A93">
            <w:pPr>
              <w:rPr>
                <w:rFonts w:eastAsia="標楷體"/>
                <w:b w:val="0"/>
                <w:sz w:val="28"/>
              </w:rPr>
            </w:pPr>
            <w:r w:rsidRPr="00B65A93">
              <w:rPr>
                <w:rFonts w:eastAsia="標楷體"/>
                <w:b w:val="0"/>
                <w:sz w:val="28"/>
              </w:rPr>
              <w:t>t-2</w:t>
            </w:r>
            <w:r w:rsidRPr="00B65A93">
              <w:rPr>
                <w:rFonts w:eastAsia="標楷體"/>
                <w:b w:val="0"/>
                <w:sz w:val="28"/>
              </w:rPr>
              <w:t>（</w:t>
            </w:r>
            <w:r w:rsidRPr="00B65A93">
              <w:rPr>
                <w:rFonts w:eastAsia="標楷體"/>
                <w:b w:val="0"/>
                <w:sz w:val="28"/>
              </w:rPr>
              <w:t>2</w:t>
            </w:r>
            <w:r w:rsidRPr="00B65A93">
              <w:rPr>
                <w:rFonts w:eastAsia="標楷體"/>
                <w:b w:val="0"/>
                <w:sz w:val="28"/>
              </w:rPr>
              <w:t>期前）</w:t>
            </w:r>
          </w:p>
        </w:tc>
        <w:tc>
          <w:tcPr>
            <w:tcW w:w="28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 xml:space="preserve">-0.0164nan </w:t>
            </w:r>
            <w:r w:rsidRPr="00B65A93">
              <w:rPr>
                <w:rFonts w:eastAsia="標楷體"/>
                <w:sz w:val="28"/>
              </w:rPr>
              <w:t>(t=-0.70, N=5,874)</w:t>
            </w:r>
          </w:p>
        </w:tc>
        <w:tc>
          <w:tcPr>
            <w:tcW w:w="2880" w:type="dxa"/>
          </w:tcPr>
          <w:p w:rsidR="00E613CE" w:rsidRPr="00B65A93" w:rsidRDefault="00E613CE">
            <w:pPr>
              <w:cnfStyle w:val="000000100000" w:firstRow="0" w:lastRow="0" w:firstColumn="0" w:lastColumn="0" w:oddVBand="0" w:evenVBand="0" w:oddHBand="1" w:evenHBand="0" w:firstRowFirstColumn="0" w:firstRowLastColumn="0" w:lastRowFirstColumn="0" w:lastRowLastColumn="0"/>
              <w:rPr>
                <w:rFonts w:eastAsia="標楷體"/>
                <w:sz w:val="28"/>
              </w:rPr>
            </w:pPr>
          </w:p>
        </w:tc>
      </w:tr>
    </w:tbl>
    <w:p w:rsidR="00E613CE" w:rsidRPr="00B65A93" w:rsidRDefault="00E613CE">
      <w:pPr>
        <w:rPr>
          <w:rFonts w:eastAsia="標楷體"/>
          <w:sz w:val="28"/>
        </w:rPr>
      </w:pP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第四節</w:t>
      </w:r>
      <w:r w:rsidRPr="00B65A93">
        <w:rPr>
          <w:rFonts w:ascii="Times New Roman" w:eastAsia="標楷體" w:hAnsi="Times New Roman"/>
          <w:b w:val="0"/>
          <w:sz w:val="28"/>
        </w:rPr>
        <w:t xml:space="preserve"> </w:t>
      </w:r>
      <w:r w:rsidRPr="00B65A93">
        <w:rPr>
          <w:rFonts w:ascii="Times New Roman" w:eastAsia="標楷體" w:hAnsi="Times New Roman"/>
          <w:b w:val="0"/>
          <w:sz w:val="28"/>
        </w:rPr>
        <w:t>輔助結果：資訊揭露與違規裁罰（當期）</w:t>
      </w:r>
    </w:p>
    <w:p w:rsidR="00E613CE" w:rsidRPr="00B65A93" w:rsidRDefault="00B65A93">
      <w:pPr>
        <w:spacing w:line="360" w:lineRule="auto"/>
        <w:ind w:firstLine="480"/>
        <w:rPr>
          <w:rFonts w:eastAsia="標楷體"/>
          <w:sz w:val="28"/>
        </w:rPr>
      </w:pPr>
      <w:r w:rsidRPr="00B65A93">
        <w:rPr>
          <w:rFonts w:eastAsia="標楷體"/>
          <w:sz w:val="28"/>
        </w:rPr>
        <w:t>表</w:t>
      </w:r>
      <w:r w:rsidRPr="00B65A93">
        <w:rPr>
          <w:rFonts w:eastAsia="標楷體"/>
          <w:sz w:val="28"/>
        </w:rPr>
        <w:t xml:space="preserve">4-5 </w:t>
      </w:r>
      <w:r w:rsidRPr="00B65A93">
        <w:rPr>
          <w:rFonts w:eastAsia="標楷體"/>
          <w:sz w:val="28"/>
        </w:rPr>
        <w:t>為輔助構面：水回收率（模型</w:t>
      </w:r>
      <w:r w:rsidRPr="00B65A93">
        <w:rPr>
          <w:rFonts w:eastAsia="標楷體"/>
          <w:sz w:val="28"/>
        </w:rPr>
        <w:t>1</w:t>
      </w:r>
      <w:r w:rsidRPr="00B65A93">
        <w:rPr>
          <w:rFonts w:eastAsia="標楷體"/>
          <w:sz w:val="28"/>
        </w:rPr>
        <w:t>）、水揭露（模型</w:t>
      </w:r>
      <w:r w:rsidRPr="00B65A93">
        <w:rPr>
          <w:rFonts w:eastAsia="標楷體"/>
          <w:sz w:val="28"/>
        </w:rPr>
        <w:t>2</w:t>
      </w:r>
      <w:r w:rsidRPr="00B65A93">
        <w:rPr>
          <w:rFonts w:eastAsia="標楷體"/>
          <w:sz w:val="28"/>
        </w:rPr>
        <w:t>）、廢棄物揭露品質（模型</w:t>
      </w:r>
      <w:r w:rsidRPr="00B65A93">
        <w:rPr>
          <w:rFonts w:eastAsia="標楷體"/>
          <w:sz w:val="28"/>
        </w:rPr>
        <w:t>4</w:t>
      </w:r>
      <w:r w:rsidRPr="00B65A93">
        <w:rPr>
          <w:rFonts w:eastAsia="標楷體"/>
          <w:sz w:val="28"/>
        </w:rPr>
        <w:t>）與廢棄物違規裁罰金額（模型</w:t>
      </w:r>
      <w:r w:rsidRPr="00B65A93">
        <w:rPr>
          <w:rFonts w:eastAsia="標楷體"/>
          <w:sz w:val="28"/>
        </w:rPr>
        <w:t>5</w:t>
      </w:r>
      <w:r w:rsidRPr="00B65A93">
        <w:rPr>
          <w:rFonts w:eastAsia="標楷體"/>
          <w:sz w:val="28"/>
        </w:rPr>
        <w:t>）。此四者作為使用密集度之對照。</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4-5 </w:t>
      </w:r>
      <w:r w:rsidRPr="00B65A93">
        <w:rPr>
          <w:rFonts w:eastAsia="標楷體"/>
          <w:sz w:val="28"/>
        </w:rPr>
        <w:t>輔助構面迴歸結果（當期）</w:t>
      </w:r>
    </w:p>
    <w:tbl>
      <w:tblPr>
        <w:tblStyle w:val="-11"/>
        <w:tblW w:w="0" w:type="auto"/>
        <w:tblLook w:val="04A0" w:firstRow="1" w:lastRow="0" w:firstColumn="1" w:lastColumn="0" w:noHBand="0" w:noVBand="1"/>
      </w:tblPr>
      <w:tblGrid>
        <w:gridCol w:w="2875"/>
        <w:gridCol w:w="1496"/>
        <w:gridCol w:w="1495"/>
        <w:gridCol w:w="1495"/>
        <w:gridCol w:w="1495"/>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變數</w:t>
            </w:r>
          </w:p>
        </w:tc>
        <w:tc>
          <w:tcPr>
            <w:tcW w:w="1728"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1 </w:t>
            </w:r>
            <w:r w:rsidRPr="00B65A93">
              <w:rPr>
                <w:rFonts w:eastAsia="標楷體"/>
                <w:b w:val="0"/>
                <w:sz w:val="28"/>
              </w:rPr>
              <w:t>水回收率</w:t>
            </w:r>
            <w:r w:rsidRPr="00B65A93">
              <w:rPr>
                <w:rFonts w:eastAsia="標楷體"/>
                <w:b w:val="0"/>
                <w:sz w:val="28"/>
              </w:rPr>
              <w:t>%</w:t>
            </w:r>
          </w:p>
        </w:tc>
        <w:tc>
          <w:tcPr>
            <w:tcW w:w="1728"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2 </w:t>
            </w:r>
            <w:r w:rsidRPr="00B65A93">
              <w:rPr>
                <w:rFonts w:eastAsia="標楷體"/>
                <w:b w:val="0"/>
                <w:sz w:val="28"/>
              </w:rPr>
              <w:t>水揭露</w:t>
            </w:r>
          </w:p>
        </w:tc>
        <w:tc>
          <w:tcPr>
            <w:tcW w:w="1728"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4 </w:t>
            </w:r>
            <w:r w:rsidRPr="00B65A93">
              <w:rPr>
                <w:rFonts w:eastAsia="標楷體"/>
                <w:b w:val="0"/>
                <w:sz w:val="28"/>
              </w:rPr>
              <w:t>廢棄物揭露</w:t>
            </w:r>
          </w:p>
        </w:tc>
        <w:tc>
          <w:tcPr>
            <w:tcW w:w="1728"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 xml:space="preserve">5 </w:t>
            </w:r>
            <w:r w:rsidRPr="00B65A93">
              <w:rPr>
                <w:rFonts w:eastAsia="標楷體"/>
                <w:b w:val="0"/>
                <w:sz w:val="28"/>
              </w:rPr>
              <w:t>廢棄物裁罰金額</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ΔLNREV (β1)</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0.3208***</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0.3448***</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0.3435***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0.3935***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(4.21)</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(25.96)</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(24.75)</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(15.65)</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lastRenderedPageBreak/>
              <w:t>D×ΔLNREV (β2)</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-1.2681***</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-0.1473</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-0.1685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-0.0223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(-2.69)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(-1.15)</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(-0.09)</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環境變數</w:t>
            </w:r>
            <w:r w:rsidRPr="00B65A93">
              <w:rPr>
                <w:rFonts w:eastAsia="標楷體"/>
                <w:b w:val="0"/>
                <w:sz w:val="28"/>
              </w:rPr>
              <w:t>×D×ΔLNREV (β3)</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0.0354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0.0043</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(0.22)</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(0.89)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(0.42)</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(-1.25)</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環境變數</w:t>
            </w:r>
            <w:r w:rsidRPr="00B65A93">
              <w:rPr>
                <w:rFonts w:eastAsia="標楷體"/>
                <w:b w:val="0"/>
                <w:sz w:val="28"/>
              </w:rPr>
              <w:t xml:space="preserve"> (β4)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-0.0001</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0.0052</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0.0018</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(1.28)</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(1.52)</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(-1.25)</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Size×D×ΔLNREV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0.0823***</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0.0092</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0.0100</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0.0040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(2.84)</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(1.02)</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(1.01)</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(0.26)</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AI×D×ΔLNREV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-0.0433***</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-0.0052***</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-0.0054***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-0.0058***</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(-3.79)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(-5.65)</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(-5.28)</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(-2.97)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EI×D×ΔLNREV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374.4080</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12.1236</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23.6002</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24.6135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(1.37)</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(0.33)</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(0.56)</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(0.31)</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ROA×D×ΔLNREV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0.0104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0.0126***</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0.0144***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0.0211***</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(0.58)</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(4.24)</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(4.41)</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(3.20)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Lev×D×ΔLNREV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-0.0007</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0.0004</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(-0.31)</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(0.83)</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(0.95)</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(-0.90)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Decrease×D×ΔLNREV</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0.1595**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0.0618***</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0.0675***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0.0798**</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E613CE">
            <w:pPr>
              <w:rPr>
                <w:rFonts w:eastAsia="標楷體"/>
                <w:b w:val="0"/>
                <w:sz w:val="28"/>
              </w:rPr>
            </w:pP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(2.18)</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(3.26)</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(3.48)</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(2.12)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N</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996</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16,661</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13,875</w:t>
            </w:r>
          </w:p>
        </w:tc>
        <w:tc>
          <w:tcPr>
            <w:tcW w:w="1728"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4,097</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E613CE" w:rsidRPr="00B65A93" w:rsidRDefault="00B65A93">
            <w:pPr>
              <w:rPr>
                <w:rFonts w:eastAsia="標楷體"/>
                <w:b w:val="0"/>
                <w:sz w:val="28"/>
              </w:rPr>
            </w:pPr>
            <w:r w:rsidRPr="00B65A93">
              <w:rPr>
                <w:rFonts w:eastAsia="標楷體"/>
                <w:b w:val="0"/>
                <w:sz w:val="28"/>
              </w:rPr>
              <w:t>adj. R²</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0.3442</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0.3213</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0.3249</w:t>
            </w:r>
          </w:p>
        </w:tc>
        <w:tc>
          <w:tcPr>
            <w:tcW w:w="1728"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0.3778</w:t>
            </w:r>
          </w:p>
        </w:tc>
      </w:tr>
    </w:tbl>
    <w:p w:rsidR="00E613CE" w:rsidRPr="00B65A93" w:rsidRDefault="00E613CE">
      <w:pPr>
        <w:rPr>
          <w:rFonts w:eastAsia="標楷體"/>
          <w:sz w:val="28"/>
        </w:rPr>
      </w:pP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4-6 </w:t>
      </w:r>
      <w:r w:rsidRPr="00B65A93">
        <w:rPr>
          <w:rFonts w:eastAsia="標楷體"/>
          <w:sz w:val="28"/>
        </w:rPr>
        <w:t>輔助構面時間落差效應：各遞延期之</w:t>
      </w:r>
      <w:r w:rsidRPr="00B65A93">
        <w:rPr>
          <w:rFonts w:eastAsia="標楷體"/>
          <w:sz w:val="28"/>
        </w:rPr>
        <w:t xml:space="preserve"> β3</w:t>
      </w:r>
    </w:p>
    <w:tbl>
      <w:tblPr>
        <w:tblStyle w:val="-11"/>
        <w:tblW w:w="0" w:type="auto"/>
        <w:tblLook w:val="04A0" w:firstRow="1" w:lastRow="0" w:firstColumn="1" w:lastColumn="0" w:noHBand="0" w:noVBand="1"/>
      </w:tblPr>
      <w:tblGrid>
        <w:gridCol w:w="2160"/>
        <w:gridCol w:w="2160"/>
        <w:gridCol w:w="2160"/>
        <w:gridCol w:w="2160"/>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613CE" w:rsidRPr="00B65A93" w:rsidRDefault="00B65A93">
            <w:pPr>
              <w:rPr>
                <w:rFonts w:eastAsia="標楷體"/>
                <w:b w:val="0"/>
                <w:sz w:val="28"/>
              </w:rPr>
            </w:pPr>
            <w:r w:rsidRPr="00B65A93">
              <w:rPr>
                <w:rFonts w:eastAsia="標楷體"/>
                <w:b w:val="0"/>
                <w:sz w:val="28"/>
              </w:rPr>
              <w:t>遞延期</w:t>
            </w:r>
          </w:p>
        </w:tc>
        <w:tc>
          <w:tcPr>
            <w:tcW w:w="216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2 β3(</w:t>
            </w:r>
            <w:r w:rsidRPr="00B65A93">
              <w:rPr>
                <w:rFonts w:eastAsia="標楷體"/>
                <w:b w:val="0"/>
                <w:sz w:val="28"/>
              </w:rPr>
              <w:t>水揭露</w:t>
            </w:r>
            <w:r w:rsidRPr="00B65A93">
              <w:rPr>
                <w:rFonts w:eastAsia="標楷體"/>
                <w:b w:val="0"/>
                <w:sz w:val="28"/>
              </w:rPr>
              <w:t>)</w:t>
            </w:r>
          </w:p>
        </w:tc>
        <w:tc>
          <w:tcPr>
            <w:tcW w:w="216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4 β3(</w:t>
            </w:r>
            <w:r w:rsidRPr="00B65A93">
              <w:rPr>
                <w:rFonts w:eastAsia="標楷體"/>
                <w:b w:val="0"/>
                <w:sz w:val="28"/>
              </w:rPr>
              <w:t>廢棄物揭露</w:t>
            </w:r>
            <w:r w:rsidRPr="00B65A93">
              <w:rPr>
                <w:rFonts w:eastAsia="標楷體"/>
                <w:b w:val="0"/>
                <w:sz w:val="28"/>
              </w:rPr>
              <w:t>)</w:t>
            </w:r>
          </w:p>
        </w:tc>
        <w:tc>
          <w:tcPr>
            <w:tcW w:w="216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模型</w:t>
            </w:r>
            <w:r w:rsidRPr="00B65A93">
              <w:rPr>
                <w:rFonts w:eastAsia="標楷體"/>
                <w:b w:val="0"/>
                <w:sz w:val="28"/>
              </w:rPr>
              <w:t>5 β3(</w:t>
            </w:r>
            <w:r w:rsidRPr="00B65A93">
              <w:rPr>
                <w:rFonts w:eastAsia="標楷體"/>
                <w:b w:val="0"/>
                <w:sz w:val="28"/>
              </w:rPr>
              <w:t>裁罰金額</w:t>
            </w:r>
            <w:r w:rsidRPr="00B65A93">
              <w:rPr>
                <w:rFonts w:eastAsia="標楷體"/>
                <w:b w:val="0"/>
                <w:sz w:val="28"/>
              </w:rPr>
              <w:t>)</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613CE" w:rsidRPr="00B65A93" w:rsidRDefault="00B65A93">
            <w:pPr>
              <w:rPr>
                <w:rFonts w:eastAsia="標楷體"/>
                <w:b w:val="0"/>
                <w:sz w:val="28"/>
              </w:rPr>
            </w:pPr>
            <w:r w:rsidRPr="00B65A93">
              <w:rPr>
                <w:rFonts w:eastAsia="標楷體"/>
                <w:b w:val="0"/>
                <w:sz w:val="28"/>
              </w:rPr>
              <w:t>t-0</w:t>
            </w:r>
            <w:r w:rsidRPr="00B65A93">
              <w:rPr>
                <w:rFonts w:eastAsia="標楷體"/>
                <w:b w:val="0"/>
                <w:sz w:val="28"/>
              </w:rPr>
              <w:t>（當期）</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0.0354nan (t=0.89, N=16,661)</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0.0043nan (t=0.42, N=13,875)</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-0.0013nan (t=-1.25, N=4,097)</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613CE" w:rsidRPr="00B65A93" w:rsidRDefault="00B65A93">
            <w:pPr>
              <w:rPr>
                <w:rFonts w:eastAsia="標楷體"/>
                <w:b w:val="0"/>
                <w:sz w:val="28"/>
              </w:rPr>
            </w:pPr>
            <w:r w:rsidRPr="00B65A93">
              <w:rPr>
                <w:rFonts w:eastAsia="標楷體"/>
                <w:b w:val="0"/>
                <w:sz w:val="28"/>
              </w:rPr>
              <w:t>t-1</w:t>
            </w:r>
            <w:r w:rsidRPr="00B65A93">
              <w:rPr>
                <w:rFonts w:eastAsia="標楷體"/>
                <w:b w:val="0"/>
                <w:sz w:val="28"/>
              </w:rPr>
              <w:t>（</w:t>
            </w:r>
            <w:r w:rsidRPr="00B65A93">
              <w:rPr>
                <w:rFonts w:eastAsia="標楷體"/>
                <w:b w:val="0"/>
                <w:sz w:val="28"/>
              </w:rPr>
              <w:t>1</w:t>
            </w:r>
            <w:r w:rsidRPr="00B65A93">
              <w:rPr>
                <w:rFonts w:eastAsia="標楷體"/>
                <w:b w:val="0"/>
                <w:sz w:val="28"/>
              </w:rPr>
              <w:t>期前）</w:t>
            </w:r>
          </w:p>
        </w:tc>
        <w:tc>
          <w:tcPr>
            <w:tcW w:w="216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0.0062nan (t=0.18, N=16,661)</w:t>
            </w:r>
          </w:p>
        </w:tc>
        <w:tc>
          <w:tcPr>
            <w:tcW w:w="216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 xml:space="preserve">-0.0016nan </w:t>
            </w:r>
            <w:r w:rsidRPr="00B65A93">
              <w:rPr>
                <w:rFonts w:eastAsia="標楷體"/>
                <w:sz w:val="28"/>
              </w:rPr>
              <w:t>(t=-0.12, N=12,437)</w:t>
            </w:r>
          </w:p>
        </w:tc>
        <w:tc>
          <w:tcPr>
            <w:tcW w:w="216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-0.0003nan (t=-0.20, N=4,054)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613CE" w:rsidRPr="00B65A93" w:rsidRDefault="00B65A93">
            <w:pPr>
              <w:rPr>
                <w:rFonts w:eastAsia="標楷體"/>
                <w:b w:val="0"/>
                <w:sz w:val="28"/>
              </w:rPr>
            </w:pPr>
            <w:r w:rsidRPr="00B65A93">
              <w:rPr>
                <w:rFonts w:eastAsia="標楷體"/>
                <w:b w:val="0"/>
                <w:sz w:val="28"/>
              </w:rPr>
              <w:t>t-2</w:t>
            </w:r>
            <w:r w:rsidRPr="00B65A93">
              <w:rPr>
                <w:rFonts w:eastAsia="標楷體"/>
                <w:b w:val="0"/>
                <w:sz w:val="28"/>
              </w:rPr>
              <w:t>（</w:t>
            </w:r>
            <w:r w:rsidRPr="00B65A93">
              <w:rPr>
                <w:rFonts w:eastAsia="標楷體"/>
                <w:b w:val="0"/>
                <w:sz w:val="28"/>
              </w:rPr>
              <w:t>2</w:t>
            </w:r>
            <w:r w:rsidRPr="00B65A93">
              <w:rPr>
                <w:rFonts w:eastAsia="標楷體"/>
                <w:b w:val="0"/>
                <w:sz w:val="28"/>
              </w:rPr>
              <w:t>期前）</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0.0103nan (t=0.28, N=16,661)</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0.0039nan (t=0.25, N=10,907)</w:t>
            </w:r>
          </w:p>
        </w:tc>
        <w:tc>
          <w:tcPr>
            <w:tcW w:w="216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-0.0009nan (t=-0.52, N=4,002)</w:t>
            </w:r>
          </w:p>
        </w:tc>
      </w:tr>
    </w:tbl>
    <w:p w:rsidR="00E613CE" w:rsidRPr="00B65A93" w:rsidRDefault="00E613CE">
      <w:pPr>
        <w:rPr>
          <w:rFonts w:eastAsia="標楷體"/>
          <w:sz w:val="28"/>
        </w:rPr>
      </w:pPr>
    </w:p>
    <w:p w:rsidR="00E613CE" w:rsidRPr="00B65A93" w:rsidRDefault="00B65A93">
      <w:pPr>
        <w:pStyle w:val="21"/>
        <w:rPr>
          <w:rFonts w:ascii="Times New Roman" w:eastAsia="標楷體" w:hAnsi="Times New Roman"/>
          <w:b w:val="0"/>
          <w:sz w:val="28"/>
        </w:rPr>
      </w:pPr>
      <w:r w:rsidRPr="00B65A93">
        <w:rPr>
          <w:rFonts w:ascii="Times New Roman" w:eastAsia="標楷體" w:hAnsi="Times New Roman"/>
          <w:b w:val="0"/>
          <w:sz w:val="28"/>
        </w:rPr>
        <w:t>第五節</w:t>
      </w:r>
      <w:r w:rsidRPr="00B65A93">
        <w:rPr>
          <w:rFonts w:ascii="Times New Roman" w:eastAsia="標楷體" w:hAnsi="Times New Roman"/>
          <w:b w:val="0"/>
          <w:sz w:val="28"/>
        </w:rPr>
        <w:t xml:space="preserve"> </w:t>
      </w:r>
      <w:r w:rsidRPr="00B65A93">
        <w:rPr>
          <w:rFonts w:ascii="Times New Roman" w:eastAsia="標楷體" w:hAnsi="Times New Roman"/>
          <w:b w:val="0"/>
          <w:sz w:val="28"/>
        </w:rPr>
        <w:t>產業異質性（高／低耗水高污染產業）</w:t>
      </w:r>
    </w:p>
    <w:p w:rsidR="00E613CE" w:rsidRPr="00B65A93" w:rsidRDefault="00B65A93">
      <w:pPr>
        <w:spacing w:line="360" w:lineRule="auto"/>
        <w:ind w:firstLine="480"/>
        <w:rPr>
          <w:rFonts w:eastAsia="標楷體"/>
          <w:sz w:val="28"/>
        </w:rPr>
      </w:pPr>
      <w:r w:rsidRPr="00B65A93">
        <w:rPr>
          <w:rFonts w:eastAsia="標楷體"/>
          <w:sz w:val="28"/>
        </w:rPr>
        <w:t>台灣製造業次產業之環境資源依賴度差異甚大，全樣本可能稀釋高耗水高污染產業之效應。本研究依</w:t>
      </w:r>
      <w:r w:rsidRPr="00B65A93">
        <w:rPr>
          <w:rFonts w:eastAsia="標楷體"/>
          <w:sz w:val="28"/>
        </w:rPr>
        <w:t xml:space="preserve"> TEJ Company DB </w:t>
      </w:r>
      <w:r w:rsidRPr="00B65A93">
        <w:rPr>
          <w:rFonts w:eastAsia="標楷體"/>
          <w:sz w:val="28"/>
        </w:rPr>
        <w:t>之</w:t>
      </w:r>
      <w:r w:rsidRPr="00B65A93">
        <w:rPr>
          <w:rFonts w:eastAsia="標楷體"/>
          <w:sz w:val="28"/>
        </w:rPr>
        <w:t xml:space="preserve"> TSE </w:t>
      </w:r>
      <w:r w:rsidRPr="00B65A93">
        <w:rPr>
          <w:rFonts w:eastAsia="標楷體"/>
          <w:sz w:val="28"/>
        </w:rPr>
        <w:t>產業別，將半導體、光電、電子零組件、</w:t>
      </w:r>
      <w:r w:rsidRPr="00B65A93">
        <w:rPr>
          <w:rFonts w:eastAsia="標楷體"/>
          <w:sz w:val="28"/>
        </w:rPr>
        <w:t>化學、鋼鐵、紡織、造紙、水泥、食品等用水密集／高污染製造業歸為高耗水組，其餘為低耗水組，分別於當期與遞延期估計並比較</w:t>
      </w:r>
      <w:r w:rsidRPr="00B65A93">
        <w:rPr>
          <w:rFonts w:eastAsia="標楷體"/>
          <w:sz w:val="28"/>
        </w:rPr>
        <w:t xml:space="preserve"> β3</w:t>
      </w:r>
      <w:r w:rsidRPr="00B65A93">
        <w:rPr>
          <w:rFonts w:eastAsia="標楷體"/>
          <w:sz w:val="28"/>
        </w:rPr>
        <w:t>。</w:t>
      </w:r>
    </w:p>
    <w:p w:rsidR="00E613CE" w:rsidRPr="00B65A93" w:rsidRDefault="00B65A93">
      <w:pPr>
        <w:spacing w:line="360" w:lineRule="auto"/>
        <w:rPr>
          <w:rFonts w:eastAsia="標楷體"/>
          <w:sz w:val="28"/>
        </w:rPr>
      </w:pPr>
      <w:r w:rsidRPr="00B65A93">
        <w:rPr>
          <w:rFonts w:eastAsia="標楷體"/>
          <w:sz w:val="28"/>
        </w:rPr>
        <w:t>表</w:t>
      </w:r>
      <w:r w:rsidRPr="00B65A93">
        <w:rPr>
          <w:rFonts w:eastAsia="標楷體"/>
          <w:sz w:val="28"/>
        </w:rPr>
        <w:t xml:space="preserve">4-7 </w:t>
      </w:r>
      <w:r w:rsidRPr="00B65A93">
        <w:rPr>
          <w:rFonts w:eastAsia="標楷體"/>
          <w:sz w:val="28"/>
        </w:rPr>
        <w:t>為核心構面（使用密集度）之產業異質性結果。用水密集度於高污染產業當期之</w:t>
      </w:r>
      <w:r w:rsidRPr="00B65A93">
        <w:rPr>
          <w:rFonts w:eastAsia="標楷體"/>
          <w:sz w:val="28"/>
        </w:rPr>
        <w:t xml:space="preserve"> β3 </w:t>
      </w:r>
      <w:r w:rsidRPr="00B65A93">
        <w:rPr>
          <w:rFonts w:eastAsia="標楷體"/>
          <w:sz w:val="28"/>
        </w:rPr>
        <w:t>顯著為負，廢棄物密集度亦於高污染產業遞延期呈顯著負向，顯示效果集中於高污染產業，符合</w:t>
      </w:r>
      <w:r w:rsidRPr="00B65A93">
        <w:rPr>
          <w:rFonts w:eastAsia="標楷體"/>
          <w:sz w:val="28"/>
        </w:rPr>
        <w:t xml:space="preserve"> H6 </w:t>
      </w:r>
      <w:r w:rsidRPr="00B65A93">
        <w:rPr>
          <w:rFonts w:eastAsia="標楷體"/>
          <w:sz w:val="28"/>
        </w:rPr>
        <w:t>與</w:t>
      </w:r>
      <w:r w:rsidRPr="00B65A93">
        <w:rPr>
          <w:rFonts w:eastAsia="標楷體"/>
          <w:sz w:val="28"/>
        </w:rPr>
        <w:t xml:space="preserve"> H3 </w:t>
      </w:r>
      <w:r w:rsidRPr="00B65A93">
        <w:rPr>
          <w:rFonts w:eastAsia="標楷體"/>
          <w:sz w:val="28"/>
        </w:rPr>
        <w:t>之推論。</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4-7 </w:t>
      </w:r>
      <w:r w:rsidRPr="00B65A93">
        <w:rPr>
          <w:rFonts w:eastAsia="標楷體"/>
          <w:sz w:val="28"/>
        </w:rPr>
        <w:t>核心（使用密集度）</w:t>
      </w:r>
      <w:r w:rsidRPr="00B65A93">
        <w:rPr>
          <w:rFonts w:eastAsia="標楷體"/>
          <w:sz w:val="28"/>
        </w:rPr>
        <w:t xml:space="preserve">× </w:t>
      </w:r>
      <w:r w:rsidRPr="00B65A93">
        <w:rPr>
          <w:rFonts w:eastAsia="標楷體"/>
          <w:sz w:val="28"/>
        </w:rPr>
        <w:t>產業異質性</w:t>
      </w:r>
      <w:r w:rsidRPr="00B65A93">
        <w:rPr>
          <w:rFonts w:eastAsia="標楷體"/>
          <w:sz w:val="28"/>
        </w:rPr>
        <w:t xml:space="preserve"> × </w:t>
      </w:r>
      <w:r w:rsidRPr="00B65A93">
        <w:rPr>
          <w:rFonts w:eastAsia="標楷體"/>
          <w:sz w:val="28"/>
        </w:rPr>
        <w:t>時間落差</w:t>
      </w:r>
    </w:p>
    <w:tbl>
      <w:tblPr>
        <w:tblStyle w:val="-11"/>
        <w:tblW w:w="0" w:type="auto"/>
        <w:tblLook w:val="04A0" w:firstRow="1" w:lastRow="0" w:firstColumn="1" w:lastColumn="0" w:noHBand="0" w:noVBand="1"/>
      </w:tblPr>
      <w:tblGrid>
        <w:gridCol w:w="542"/>
        <w:gridCol w:w="543"/>
        <w:gridCol w:w="543"/>
        <w:gridCol w:w="1786"/>
        <w:gridCol w:w="975"/>
        <w:gridCol w:w="2627"/>
        <w:gridCol w:w="975"/>
        <w:gridCol w:w="865"/>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水衡量</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產業組</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遞延期</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β2(D×ΔREV)</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β2_sig</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β3(Water×D×ΔREV)</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β3_sig</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N</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-0.6394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0.0086</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3,273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-0.4167</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1,653</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w:t>
            </w:r>
            <w:r w:rsidRPr="00B65A93">
              <w:rPr>
                <w:rFonts w:eastAsia="標楷體"/>
                <w:b w:val="0"/>
                <w:sz w:val="28"/>
              </w:rPr>
              <w:lastRenderedPageBreak/>
              <w:t>物密集度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全樣</w:t>
            </w:r>
            <w:r w:rsidRPr="00B65A93">
              <w:rPr>
                <w:rFonts w:eastAsia="標楷體"/>
                <w:sz w:val="28"/>
              </w:rPr>
              <w:lastRenderedPageBreak/>
              <w:t>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t-2</w:t>
            </w:r>
          </w:p>
        </w:tc>
        <w:tc>
          <w:tcPr>
            <w:tcW w:w="1080" w:type="dxa"/>
          </w:tcPr>
          <w:p w:rsidR="00E613CE" w:rsidRPr="00B65A93" w:rsidRDefault="00E613CE">
            <w:pPr>
              <w:cnfStyle w:val="000000100000" w:firstRow="0" w:lastRow="0" w:firstColumn="0" w:lastColumn="0" w:oddVBand="0" w:evenVBand="0" w:oddHBand="1" w:evenHBand="0" w:firstRowFirstColumn="0" w:firstRowLastColumn="0" w:lastRowFirstColumn="0" w:lastRowLastColumn="0"/>
              <w:rPr>
                <w:rFonts w:eastAsia="標楷體"/>
                <w:sz w:val="28"/>
              </w:rPr>
            </w:pP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E613CE">
            <w:pPr>
              <w:cnfStyle w:val="000000100000" w:firstRow="0" w:lastRow="0" w:firstColumn="0" w:lastColumn="0" w:oddVBand="0" w:evenVBand="0" w:oddHBand="1" w:evenHBand="0" w:firstRowFirstColumn="0" w:firstRowLastColumn="0" w:lastRowFirstColumn="0" w:lastRowLastColumn="0"/>
              <w:rPr>
                <w:rFonts w:eastAsia="標楷體"/>
                <w:sz w:val="28"/>
              </w:rPr>
            </w:pP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樣本不足</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-0.7829</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-0.0112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1,389</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-2.0335</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-0.0503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699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E613CE">
            <w:pPr>
              <w:cnfStyle w:val="000000010000" w:firstRow="0" w:lastRow="0" w:firstColumn="0" w:lastColumn="0" w:oddVBand="0" w:evenVBand="0" w:oddHBand="0" w:evenHBand="1" w:firstRowFirstColumn="0" w:firstRowLastColumn="0" w:lastRowFirstColumn="0" w:lastRowLastColumn="0"/>
              <w:rPr>
                <w:rFonts w:eastAsia="標楷體"/>
                <w:sz w:val="28"/>
              </w:rPr>
            </w:pP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E613CE">
            <w:pPr>
              <w:cnfStyle w:val="000000010000" w:firstRow="0" w:lastRow="0" w:firstColumn="0" w:lastColumn="0" w:oddVBand="0" w:evenVBand="0" w:oddHBand="0" w:evenHBand="1" w:firstRowFirstColumn="0" w:firstRowLastColumn="0" w:lastRowFirstColumn="0" w:lastRowLastColumn="0"/>
              <w:rPr>
                <w:rFonts w:eastAsia="標楷體"/>
                <w:sz w:val="28"/>
              </w:rPr>
            </w:pP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樣本不足</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-0.5707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0.0352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1,884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0.4766</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0.0323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954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w:t>
            </w:r>
            <w:r w:rsidRPr="00B65A93">
              <w:rPr>
                <w:rFonts w:eastAsia="標楷體"/>
                <w:b w:val="0"/>
                <w:sz w:val="28"/>
              </w:rPr>
              <w:lastRenderedPageBreak/>
              <w:t>棄物密集度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低</w:t>
            </w:r>
            <w:r w:rsidRPr="00B65A93">
              <w:rPr>
                <w:rFonts w:eastAsia="標楷體"/>
                <w:sz w:val="28"/>
              </w:rPr>
              <w:lastRenderedPageBreak/>
              <w:t>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t-2</w:t>
            </w:r>
          </w:p>
        </w:tc>
        <w:tc>
          <w:tcPr>
            <w:tcW w:w="1080" w:type="dxa"/>
          </w:tcPr>
          <w:p w:rsidR="00E613CE" w:rsidRPr="00B65A93" w:rsidRDefault="00E613CE">
            <w:pPr>
              <w:cnfStyle w:val="000000100000" w:firstRow="0" w:lastRow="0" w:firstColumn="0" w:lastColumn="0" w:oddVBand="0" w:evenVBand="0" w:oddHBand="1" w:evenHBand="0" w:firstRowFirstColumn="0" w:firstRowLastColumn="0" w:lastRowFirstColumn="0" w:lastRowLastColumn="0"/>
              <w:rPr>
                <w:rFonts w:eastAsia="標楷體"/>
                <w:sz w:val="28"/>
              </w:rPr>
            </w:pP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E613CE">
            <w:pPr>
              <w:cnfStyle w:val="000000100000" w:firstRow="0" w:lastRow="0" w:firstColumn="0" w:lastColumn="0" w:oddVBand="0" w:evenVBand="0" w:oddHBand="1" w:evenHBand="0" w:firstRowFirstColumn="0" w:firstRowLastColumn="0" w:lastRowFirstColumn="0" w:lastRowLastColumn="0"/>
              <w:rPr>
                <w:rFonts w:eastAsia="標楷體"/>
                <w:sz w:val="28"/>
              </w:rPr>
            </w:pP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樣本</w:t>
            </w:r>
            <w:r w:rsidRPr="00B65A93">
              <w:rPr>
                <w:rFonts w:eastAsia="標楷體"/>
                <w:sz w:val="28"/>
              </w:rPr>
              <w:lastRenderedPageBreak/>
              <w:t>不足</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0</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-0.0627</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-0.0305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8,484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-0.1964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-0.0190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7,176</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-0.3569</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-0.0164</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5,874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-0.1928</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-0.0914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4,099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-0.2135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-0.0618</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3,540</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-0.2785</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-0.0400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2,964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lastRenderedPageBreak/>
              <w:t>用水密集度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-0.0411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-0.0034</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4,385</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-0.2503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0.0166</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3,636</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用水密集度</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-0.4459</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-0.0113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2,910</w:t>
            </w:r>
          </w:p>
        </w:tc>
      </w:tr>
    </w:tbl>
    <w:p w:rsidR="00E613CE" w:rsidRPr="00B65A93" w:rsidRDefault="00E613CE">
      <w:pPr>
        <w:rPr>
          <w:rFonts w:eastAsia="標楷體"/>
          <w:sz w:val="28"/>
        </w:rPr>
      </w:pPr>
    </w:p>
    <w:p w:rsidR="00E613CE" w:rsidRPr="00B65A93" w:rsidRDefault="00B65A93">
      <w:pPr>
        <w:spacing w:line="360" w:lineRule="auto"/>
        <w:rPr>
          <w:rFonts w:eastAsia="標楷體"/>
          <w:sz w:val="28"/>
        </w:rPr>
      </w:pPr>
      <w:r w:rsidRPr="00B65A93">
        <w:rPr>
          <w:rFonts w:eastAsia="標楷體"/>
          <w:sz w:val="28"/>
        </w:rPr>
        <w:t>表</w:t>
      </w:r>
      <w:r w:rsidRPr="00B65A93">
        <w:rPr>
          <w:rFonts w:eastAsia="標楷體"/>
          <w:sz w:val="28"/>
        </w:rPr>
        <w:t xml:space="preserve">4-8 </w:t>
      </w:r>
      <w:r w:rsidRPr="00B65A93">
        <w:rPr>
          <w:rFonts w:eastAsia="標楷體"/>
          <w:sz w:val="28"/>
        </w:rPr>
        <w:t>為輔助構面（水回收率、水揭露、廢棄物揭露、廢棄物裁罰金額）之產業異質性結果，各設定之</w:t>
      </w:r>
      <w:r w:rsidRPr="00B65A93">
        <w:rPr>
          <w:rFonts w:eastAsia="標楷體"/>
          <w:sz w:val="28"/>
        </w:rPr>
        <w:t xml:space="preserve"> β3 </w:t>
      </w:r>
      <w:r w:rsidRPr="00B65A93">
        <w:rPr>
          <w:rFonts w:eastAsia="標楷體"/>
          <w:sz w:val="28"/>
        </w:rPr>
        <w:t>多不顯著，作為核心結果之對照。</w:t>
      </w:r>
    </w:p>
    <w:p w:rsidR="00E613CE" w:rsidRPr="00B65A93" w:rsidRDefault="00B65A93">
      <w:pPr>
        <w:rPr>
          <w:rFonts w:eastAsia="標楷體"/>
          <w:sz w:val="28"/>
        </w:rPr>
      </w:pPr>
      <w:r w:rsidRPr="00B65A93">
        <w:rPr>
          <w:rFonts w:eastAsia="標楷體"/>
          <w:sz w:val="28"/>
        </w:rPr>
        <w:t>表</w:t>
      </w:r>
      <w:r w:rsidRPr="00B65A93">
        <w:rPr>
          <w:rFonts w:eastAsia="標楷體"/>
          <w:sz w:val="28"/>
        </w:rPr>
        <w:t xml:space="preserve">4-8 </w:t>
      </w:r>
      <w:r w:rsidRPr="00B65A93">
        <w:rPr>
          <w:rFonts w:eastAsia="標楷體"/>
          <w:sz w:val="28"/>
        </w:rPr>
        <w:t>輔助（揭露與裁罰）</w:t>
      </w:r>
      <w:r w:rsidRPr="00B65A93">
        <w:rPr>
          <w:rFonts w:eastAsia="標楷體"/>
          <w:sz w:val="28"/>
        </w:rPr>
        <w:t xml:space="preserve">× </w:t>
      </w:r>
      <w:r w:rsidRPr="00B65A93">
        <w:rPr>
          <w:rFonts w:eastAsia="標楷體"/>
          <w:sz w:val="28"/>
        </w:rPr>
        <w:t>產業異質性</w:t>
      </w:r>
      <w:r w:rsidRPr="00B65A93">
        <w:rPr>
          <w:rFonts w:eastAsia="標楷體"/>
          <w:sz w:val="28"/>
        </w:rPr>
        <w:t xml:space="preserve"> × </w:t>
      </w:r>
      <w:r w:rsidRPr="00B65A93">
        <w:rPr>
          <w:rFonts w:eastAsia="標楷體"/>
          <w:sz w:val="28"/>
        </w:rPr>
        <w:t>時間落差</w:t>
      </w:r>
    </w:p>
    <w:tbl>
      <w:tblPr>
        <w:tblStyle w:val="-11"/>
        <w:tblW w:w="0" w:type="auto"/>
        <w:tblLook w:val="04A0" w:firstRow="1" w:lastRow="0" w:firstColumn="1" w:lastColumn="0" w:noHBand="0" w:noVBand="1"/>
      </w:tblPr>
      <w:tblGrid>
        <w:gridCol w:w="507"/>
        <w:gridCol w:w="506"/>
        <w:gridCol w:w="506"/>
        <w:gridCol w:w="1786"/>
        <w:gridCol w:w="968"/>
        <w:gridCol w:w="2627"/>
        <w:gridCol w:w="968"/>
        <w:gridCol w:w="988"/>
      </w:tblGrid>
      <w:tr w:rsidR="00E613CE" w:rsidRPr="00B65A93" w:rsidTr="00E6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水衡量</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產業組</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遞延期</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β2(D×ΔREV)</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β2_sig</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β3(Water×D×ΔREV)</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β3_sig</w:t>
            </w:r>
          </w:p>
        </w:tc>
        <w:tc>
          <w:tcPr>
            <w:tcW w:w="1080" w:type="dxa"/>
          </w:tcPr>
          <w:p w:rsidR="00E613CE" w:rsidRPr="00B65A93" w:rsidRDefault="00B65A93">
            <w:pPr>
              <w:cnfStyle w:val="100000000000" w:firstRow="1" w:lastRow="0" w:firstColumn="0" w:lastColumn="0" w:oddVBand="0" w:evenVBand="0" w:oddHBand="0" w:evenHBand="0" w:firstRowFirstColumn="0" w:firstRowLastColumn="0" w:lastRowFirstColumn="0" w:lastRowLastColumn="0"/>
              <w:rPr>
                <w:rFonts w:eastAsia="標楷體"/>
                <w:b w:val="0"/>
                <w:sz w:val="28"/>
              </w:rPr>
            </w:pPr>
            <w:r w:rsidRPr="00B65A93">
              <w:rPr>
                <w:rFonts w:eastAsia="標楷體"/>
                <w:b w:val="0"/>
                <w:sz w:val="28"/>
              </w:rPr>
              <w:t>N</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-1.2681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996</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-0.6925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863</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lastRenderedPageBreak/>
              <w:t>水回收率</w:t>
            </w:r>
            <w:r w:rsidRPr="00B65A93">
              <w:rPr>
                <w:rFonts w:eastAsia="標楷體"/>
                <w:b w:val="0"/>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-0.7174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731</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-1.4791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0.0014</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707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-0.9405</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0.0027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619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-1.1518</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527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-0.5442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289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-0.8746</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244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水回收率</w:t>
            </w:r>
            <w:r w:rsidRPr="00B65A93">
              <w:rPr>
                <w:rFonts w:eastAsia="標楷體"/>
                <w:b w:val="0"/>
                <w:sz w:val="28"/>
              </w:rPr>
              <w:t>%</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-0.2827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204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lastRenderedPageBreak/>
              <w:t>水揭露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-0.1473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0.0354</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16,661</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-0.1636</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0.0062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16,661</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-0.1588</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0.0103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16,661</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-0.0634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0.0572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7,252</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-0.1013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0.0248</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7,252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-0.1004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0.0241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7,252</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-0.1966</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-0.0170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9,409</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-0.2068</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-0.0372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9,409</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水揭露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-0.2011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-0.0261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9,409</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-0.1685</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0.0043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13,875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w:t>
            </w:r>
            <w:r w:rsidRPr="00B65A93">
              <w:rPr>
                <w:rFonts w:eastAsia="標楷體"/>
                <w:b w:val="0"/>
                <w:sz w:val="28"/>
              </w:rPr>
              <w:lastRenderedPageBreak/>
              <w:t>物揭露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lastRenderedPageBreak/>
              <w:t>全樣</w:t>
            </w:r>
            <w:r w:rsidRPr="00B65A93">
              <w:rPr>
                <w:rFonts w:eastAsia="標楷體"/>
                <w:sz w:val="28"/>
              </w:rPr>
              <w:lastRenderedPageBreak/>
              <w:t>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lastRenderedPageBreak/>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-0.1569</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-0.0016</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12,437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-0.1927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0.0039</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10,907</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-0.1764</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0.0053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5,994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-0.0987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0.0023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5,354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-0.2272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-0.0041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4,682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-0.1578</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7,881</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廢棄物揭露</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-0.1887</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-0.0108</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7,083</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w:t>
            </w:r>
            <w:r w:rsidRPr="00B65A93">
              <w:rPr>
                <w:rFonts w:eastAsia="標楷體"/>
                <w:b w:val="0"/>
                <w:sz w:val="28"/>
              </w:rPr>
              <w:lastRenderedPageBreak/>
              <w:t>物揭露</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低耗</w:t>
            </w:r>
            <w:r w:rsidRPr="00B65A93">
              <w:rPr>
                <w:rFonts w:eastAsia="標楷體"/>
                <w:sz w:val="28"/>
              </w:rPr>
              <w:lastRenderedPageBreak/>
              <w:t>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lastRenderedPageBreak/>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-0.1841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6,225</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-0.0223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4,097</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-0.2513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4,054</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全樣本</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-0.1215</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-0.0009</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4,002</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-0.0382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-0.0007</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2,093</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w:t>
            </w:r>
            <w:r w:rsidRPr="00B65A93">
              <w:rPr>
                <w:rFonts w:eastAsia="標楷體"/>
                <w:b w:val="0"/>
                <w:sz w:val="28"/>
              </w:rPr>
              <w:lastRenderedPageBreak/>
              <w:t>罰金額</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lastRenderedPageBreak/>
              <w:t>高耗水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-0.0767</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-0.0010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2,096</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高耗水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-0.1789</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-0.0013</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2,087</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t-0</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-0.0081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-0.0021</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2,004</w:t>
            </w:r>
          </w:p>
        </w:tc>
      </w:tr>
      <w:tr w:rsidR="00E613CE" w:rsidRPr="00B65A93" w:rsidTr="00E6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t-1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-0.4054</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-0.0031</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100000" w:firstRow="0" w:lastRow="0" w:firstColumn="0" w:lastColumn="0" w:oddVBand="0" w:evenVBand="0" w:oddHBand="1" w:evenHBand="0" w:firstRowFirstColumn="0" w:firstRowLastColumn="0" w:lastRowFirstColumn="0" w:lastRowLastColumn="0"/>
              <w:rPr>
                <w:rFonts w:eastAsia="標楷體"/>
                <w:sz w:val="28"/>
              </w:rPr>
            </w:pPr>
            <w:r w:rsidRPr="00B65A93">
              <w:rPr>
                <w:rFonts w:eastAsia="標楷體"/>
                <w:sz w:val="28"/>
              </w:rPr>
              <w:t>1,958</w:t>
            </w:r>
          </w:p>
        </w:tc>
      </w:tr>
      <w:tr w:rsidR="00E613CE" w:rsidRPr="00B65A93" w:rsidTr="00E613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E613CE" w:rsidRPr="00B65A93" w:rsidRDefault="00B65A93">
            <w:pPr>
              <w:rPr>
                <w:rFonts w:eastAsia="標楷體"/>
                <w:b w:val="0"/>
                <w:sz w:val="28"/>
              </w:rPr>
            </w:pPr>
            <w:r w:rsidRPr="00B65A93">
              <w:rPr>
                <w:rFonts w:eastAsia="標楷體"/>
                <w:b w:val="0"/>
                <w:sz w:val="28"/>
              </w:rPr>
              <w:t>廢棄物裁罰金額</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低耗水</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t-2</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0.0057</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-0.0043</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n.s.</w:t>
            </w:r>
          </w:p>
        </w:tc>
        <w:tc>
          <w:tcPr>
            <w:tcW w:w="1080" w:type="dxa"/>
          </w:tcPr>
          <w:p w:rsidR="00E613CE" w:rsidRPr="00B65A93" w:rsidRDefault="00B65A93">
            <w:pPr>
              <w:cnfStyle w:val="000000010000" w:firstRow="0" w:lastRow="0" w:firstColumn="0" w:lastColumn="0" w:oddVBand="0" w:evenVBand="0" w:oddHBand="0" w:evenHBand="1" w:firstRowFirstColumn="0" w:firstRowLastColumn="0" w:lastRowFirstColumn="0" w:lastRowLastColumn="0"/>
              <w:rPr>
                <w:rFonts w:eastAsia="標楷體"/>
                <w:sz w:val="28"/>
              </w:rPr>
            </w:pPr>
            <w:r w:rsidRPr="00B65A93">
              <w:rPr>
                <w:rFonts w:eastAsia="標楷體"/>
                <w:sz w:val="28"/>
              </w:rPr>
              <w:t>1,915</w:t>
            </w:r>
          </w:p>
        </w:tc>
      </w:tr>
    </w:tbl>
    <w:p w:rsidR="00E613CE" w:rsidRPr="00B65A93" w:rsidRDefault="00E613CE">
      <w:pPr>
        <w:rPr>
          <w:rFonts w:eastAsia="標楷體"/>
          <w:sz w:val="28"/>
        </w:rPr>
      </w:pP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lastRenderedPageBreak/>
        <w:t>第五章</w:t>
      </w:r>
      <w:r w:rsidRPr="00B65A93">
        <w:rPr>
          <w:rFonts w:ascii="Times New Roman" w:eastAsia="標楷體" w:hAnsi="Times New Roman"/>
          <w:b w:val="0"/>
        </w:rPr>
        <w:t xml:space="preserve"> </w:t>
      </w:r>
      <w:r w:rsidRPr="00B65A93">
        <w:rPr>
          <w:rFonts w:ascii="Times New Roman" w:eastAsia="標楷體" w:hAnsi="Times New Roman"/>
          <w:b w:val="0"/>
        </w:rPr>
        <w:t>結論與建議</w:t>
      </w:r>
    </w:p>
    <w:p w:rsidR="00E613CE" w:rsidRPr="00B65A93" w:rsidRDefault="00B65A93">
      <w:pPr>
        <w:spacing w:line="360" w:lineRule="auto"/>
        <w:ind w:firstLine="480"/>
        <w:rPr>
          <w:rFonts w:eastAsia="標楷體"/>
          <w:sz w:val="28"/>
        </w:rPr>
      </w:pPr>
      <w:r w:rsidRPr="00B65A93">
        <w:rPr>
          <w:rFonts w:eastAsia="標楷體"/>
          <w:sz w:val="28"/>
        </w:rPr>
        <w:t>本研究延伸成本黏性架構，納入水管理變數之遞延效果與高／低耗水產業異質性。結果顯示樣本整體存在顯著成本黏性；在考量時間落差與產業異質性後，水管理之調節效果於部分設定達顯著，支持「水管理投資效益需時間發酵、且集中於高耗水產業」之推論。此結果較單純當期全樣本分析更能揭露水管理與成本行為之關聯。</w:t>
      </w:r>
    </w:p>
    <w:p w:rsidR="00E613CE" w:rsidRPr="00B65A93" w:rsidRDefault="00B65A93">
      <w:pPr>
        <w:spacing w:line="360" w:lineRule="auto"/>
        <w:ind w:firstLine="480"/>
        <w:rPr>
          <w:rFonts w:eastAsia="標楷體"/>
          <w:sz w:val="28"/>
        </w:rPr>
      </w:pPr>
      <w:r w:rsidRPr="00B65A93">
        <w:rPr>
          <w:rFonts w:eastAsia="標楷體"/>
          <w:sz w:val="28"/>
        </w:rPr>
        <w:t>本研究以「環境使用密集度」為核心之研究貢獻有三。第一，理論上，將環境因素對成本行為的影響由抽象的「</w:t>
      </w:r>
      <w:r w:rsidRPr="00B65A93">
        <w:rPr>
          <w:rFonts w:eastAsia="標楷體"/>
          <w:sz w:val="28"/>
        </w:rPr>
        <w:t xml:space="preserve">ESG </w:t>
      </w:r>
      <w:r w:rsidRPr="00B65A93">
        <w:rPr>
          <w:rFonts w:eastAsia="標楷體"/>
          <w:sz w:val="28"/>
        </w:rPr>
        <w:t>揭露」推進至可量化的「實質使用密集度」</w:t>
      </w:r>
      <w:r w:rsidRPr="00B65A93">
        <w:rPr>
          <w:rFonts w:eastAsia="標楷體"/>
          <w:sz w:val="28"/>
        </w:rPr>
        <w:t>——</w:t>
      </w:r>
      <w:r w:rsidRPr="00B65A93">
        <w:rPr>
          <w:rFonts w:eastAsia="標楷體"/>
          <w:sz w:val="28"/>
        </w:rPr>
        <w:t>用水密集度與廢棄物密集度直接反映企業營運與環境資源之綁定程度，較揭露類變數更貼近調整成本之本質。實證顯示：使用密集度越高、於營收下降時成本越難削減（成本黏性越大），且效果集中於高污染產業並具遞延性；相對地，資訊揭露與違規裁罰之調節效果則不穩健。第二，衡量上，本研究指出以「罰鍰次數」衡量環境違規之偏誤（易受單一極端值主導），改採裁處金額佔資產之連續衡量後結論更為穩健；並以用水密集度（樣本涵蓋度高）取代樣本稀少之水回收率，顯著提升檢定力。第三，方法上，結合時間落差與高／</w:t>
      </w:r>
      <w:r w:rsidRPr="00B65A93">
        <w:rPr>
          <w:rFonts w:eastAsia="標楷體"/>
          <w:sz w:val="28"/>
        </w:rPr>
        <w:t>低污染產業異質性設計，揭示環境成本效應之「產業依存＋遞延」特徵，為全樣本當期分析所無法觀察。</w:t>
      </w:r>
    </w:p>
    <w:p w:rsidR="00E613CE" w:rsidRPr="00B65A93" w:rsidRDefault="00B65A93">
      <w:pPr>
        <w:spacing w:line="360" w:lineRule="auto"/>
        <w:ind w:firstLine="480"/>
        <w:rPr>
          <w:rFonts w:eastAsia="標楷體"/>
          <w:sz w:val="28"/>
        </w:rPr>
      </w:pPr>
      <w:r w:rsidRPr="00B65A93">
        <w:rPr>
          <w:rFonts w:eastAsia="標楷體"/>
          <w:sz w:val="28"/>
        </w:rPr>
        <w:t>政策與實務意涵：對主管機關而言，推動環境資訊揭露之同時，宜重視高污染產業之「使用密集度」資訊（用水量、廢棄物量與其密集度）之標準化與可比較性，俾利利害關係人評估企業於景氣下行時之成本調整彈性與營運韌性。對企業而言，高使用密集度意味較高之環境專用資產與委外處理承諾，於需求衰退時形成向下調整阻力，管理</w:t>
      </w:r>
      <w:r w:rsidRPr="00B65A93">
        <w:rPr>
          <w:rFonts w:eastAsia="標楷體"/>
          <w:sz w:val="28"/>
        </w:rPr>
        <w:lastRenderedPageBreak/>
        <w:t>階層應於資本配置與產能規劃時將此僵固性納入考量，並透過循環化、製程改善與資源效率投資，降低營運對環境資源之剛性依賴。後續研究可延伸至碳排密集度等其他環境使用構面，或以環境稽查／缺水等外生事件強化因果識別。</w:t>
      </w:r>
    </w:p>
    <w:p w:rsidR="00E613CE" w:rsidRPr="00B65A93" w:rsidRDefault="00B65A93">
      <w:pPr>
        <w:pStyle w:val="1"/>
        <w:rPr>
          <w:rFonts w:ascii="Times New Roman" w:eastAsia="標楷體" w:hAnsi="Times New Roman"/>
          <w:b w:val="0"/>
        </w:rPr>
      </w:pPr>
      <w:r w:rsidRPr="00B65A93">
        <w:rPr>
          <w:rFonts w:ascii="Times New Roman" w:eastAsia="標楷體" w:hAnsi="Times New Roman"/>
          <w:b w:val="0"/>
        </w:rPr>
        <w:t>參考文獻</w:t>
      </w:r>
    </w:p>
    <w:p w:rsidR="00E613CE" w:rsidRPr="00B65A93" w:rsidRDefault="00B65A93">
      <w:pPr>
        <w:spacing w:line="360" w:lineRule="auto"/>
        <w:rPr>
          <w:rFonts w:eastAsia="標楷體"/>
          <w:sz w:val="28"/>
        </w:rPr>
      </w:pPr>
      <w:r w:rsidRPr="00B65A93">
        <w:rPr>
          <w:rFonts w:eastAsia="標楷體"/>
          <w:sz w:val="28"/>
        </w:rPr>
        <w:t>一、主要參考文獻（核心理論與模型來源）</w:t>
      </w:r>
    </w:p>
    <w:p w:rsidR="00E613CE" w:rsidRPr="00B65A93" w:rsidRDefault="00B65A93">
      <w:pPr>
        <w:spacing w:line="360" w:lineRule="auto"/>
        <w:ind w:left="480" w:hanging="480"/>
        <w:rPr>
          <w:rFonts w:eastAsia="標楷體"/>
          <w:sz w:val="28"/>
        </w:rPr>
      </w:pPr>
      <w:r w:rsidRPr="00B65A93">
        <w:rPr>
          <w:rFonts w:eastAsia="標楷體"/>
          <w:sz w:val="28"/>
        </w:rPr>
        <w:t>Anderson, M. C., Banker, R. D., &amp; Janakiraman, S. N. (2003). Are selling, general, and administrative costs “sticky”? Journal of Accounting Research, 41(1), 47–63.</w:t>
      </w:r>
    </w:p>
    <w:p w:rsidR="00E613CE" w:rsidRPr="00B65A93" w:rsidRDefault="00B65A93">
      <w:pPr>
        <w:spacing w:line="360" w:lineRule="auto"/>
        <w:ind w:left="480" w:hanging="480"/>
        <w:rPr>
          <w:rFonts w:eastAsia="標楷體"/>
          <w:sz w:val="28"/>
        </w:rPr>
      </w:pPr>
      <w:r w:rsidRPr="00B65A93">
        <w:rPr>
          <w:rFonts w:eastAsia="標楷體"/>
          <w:sz w:val="28"/>
        </w:rPr>
        <w:t xml:space="preserve">Zeng, J., Peng, M., &amp; Chan, K. C. The impact of low-carbon city policy </w:t>
      </w:r>
      <w:r w:rsidRPr="00B65A93">
        <w:rPr>
          <w:rFonts w:eastAsia="標楷體"/>
          <w:sz w:val="28"/>
        </w:rPr>
        <w:t>on corporate cost stickiness. (</w:t>
      </w:r>
      <w:r w:rsidRPr="00B65A93">
        <w:rPr>
          <w:rFonts w:eastAsia="標楷體"/>
          <w:sz w:val="28"/>
        </w:rPr>
        <w:t>以中國</w:t>
      </w:r>
      <w:r w:rsidRPr="00B65A93">
        <w:rPr>
          <w:rFonts w:eastAsia="標楷體"/>
          <w:sz w:val="28"/>
        </w:rPr>
        <w:t xml:space="preserve"> A </w:t>
      </w:r>
      <w:r w:rsidRPr="00B65A93">
        <w:rPr>
          <w:rFonts w:eastAsia="標楷體"/>
          <w:sz w:val="28"/>
        </w:rPr>
        <w:t>股</w:t>
      </w:r>
      <w:r w:rsidRPr="00B65A93">
        <w:rPr>
          <w:rFonts w:eastAsia="標楷體"/>
          <w:sz w:val="28"/>
        </w:rPr>
        <w:t xml:space="preserve"> 2008–2022 </w:t>
      </w:r>
      <w:r w:rsidRPr="00B65A93">
        <w:rPr>
          <w:rFonts w:eastAsia="標楷體"/>
          <w:sz w:val="28"/>
        </w:rPr>
        <w:t>為樣本，採</w:t>
      </w:r>
      <w:r w:rsidRPr="00B65A93">
        <w:rPr>
          <w:rFonts w:eastAsia="標楷體"/>
          <w:sz w:val="28"/>
        </w:rPr>
        <w:t xml:space="preserve"> DiD</w:t>
      </w:r>
      <w:r w:rsidRPr="00B65A93">
        <w:rPr>
          <w:rFonts w:eastAsia="標楷體"/>
          <w:sz w:val="28"/>
        </w:rPr>
        <w:t>；機制為綠色創新與融資限制</w:t>
      </w:r>
      <w:r w:rsidRPr="00B65A93">
        <w:rPr>
          <w:rFonts w:eastAsia="標楷體"/>
          <w:sz w:val="28"/>
        </w:rPr>
        <w:t>——</w:t>
      </w:r>
      <w:r w:rsidRPr="00B65A93">
        <w:rPr>
          <w:rFonts w:eastAsia="標楷體"/>
          <w:sz w:val="28"/>
        </w:rPr>
        <w:t>對應本研究環境實質投入之調整成本觀點，</w:t>
      </w:r>
      <w:r w:rsidRPr="00B65A93">
        <w:rPr>
          <w:rFonts w:eastAsia="標楷體"/>
          <w:sz w:val="28"/>
        </w:rPr>
        <w:t>H1/H3</w:t>
      </w:r>
      <w:r w:rsidRPr="00B65A93">
        <w:rPr>
          <w:rFonts w:eastAsia="標楷體"/>
          <w:sz w:val="28"/>
        </w:rPr>
        <w:t>。</w:t>
      </w:r>
      <w:r w:rsidRPr="00B65A93">
        <w:rPr>
          <w:rFonts w:eastAsia="標楷體"/>
          <w:sz w:val="28"/>
        </w:rPr>
        <w:t>)</w:t>
      </w:r>
    </w:p>
    <w:p w:rsidR="00E613CE" w:rsidRPr="00B65A93" w:rsidRDefault="00B65A93">
      <w:pPr>
        <w:spacing w:line="360" w:lineRule="auto"/>
        <w:ind w:left="480" w:hanging="480"/>
        <w:rPr>
          <w:rFonts w:eastAsia="標楷體"/>
          <w:sz w:val="28"/>
        </w:rPr>
      </w:pPr>
      <w:r w:rsidRPr="00B65A93">
        <w:rPr>
          <w:rFonts w:eastAsia="標楷體"/>
          <w:sz w:val="28"/>
        </w:rPr>
        <w:t xml:space="preserve">Jiang, W., &amp; Yang, W. (2024). ESG disclosure and corporate cost stickiness: Evidence from supply-chain relationships. Economics Letters, 238, 111697. (ESG </w:t>
      </w:r>
      <w:r w:rsidRPr="00B65A93">
        <w:rPr>
          <w:rFonts w:eastAsia="標楷體"/>
          <w:sz w:val="28"/>
        </w:rPr>
        <w:t>揭</w:t>
      </w:r>
      <w:r w:rsidRPr="00B65A93">
        <w:rPr>
          <w:rFonts w:eastAsia="標楷體"/>
          <w:sz w:val="28"/>
        </w:rPr>
        <w:t>露透過降低管理者樂觀預期而緩解供應商成本僵固</w:t>
      </w:r>
      <w:r w:rsidRPr="00B65A93">
        <w:rPr>
          <w:rFonts w:eastAsia="標楷體"/>
          <w:sz w:val="28"/>
        </w:rPr>
        <w:t>——</w:t>
      </w:r>
      <w:r w:rsidRPr="00B65A93">
        <w:rPr>
          <w:rFonts w:eastAsia="標楷體"/>
          <w:sz w:val="28"/>
        </w:rPr>
        <w:t>對應本研究揭露機制，</w:t>
      </w:r>
      <w:r w:rsidRPr="00B65A93">
        <w:rPr>
          <w:rFonts w:eastAsia="標楷體"/>
          <w:sz w:val="28"/>
        </w:rPr>
        <w:t>H2/H4</w:t>
      </w:r>
      <w:r w:rsidRPr="00B65A93">
        <w:rPr>
          <w:rFonts w:eastAsia="標楷體"/>
          <w:sz w:val="28"/>
        </w:rPr>
        <w:t>。</w:t>
      </w:r>
      <w:r w:rsidRPr="00B65A93">
        <w:rPr>
          <w:rFonts w:eastAsia="標楷體"/>
          <w:sz w:val="28"/>
        </w:rPr>
        <w:t>)</w:t>
      </w:r>
    </w:p>
    <w:p w:rsidR="00E613CE" w:rsidRPr="00B65A93" w:rsidRDefault="00B65A93">
      <w:pPr>
        <w:spacing w:line="360" w:lineRule="auto"/>
        <w:rPr>
          <w:rFonts w:eastAsia="標楷體"/>
          <w:sz w:val="28"/>
        </w:rPr>
      </w:pPr>
      <w:r w:rsidRPr="00B65A93">
        <w:rPr>
          <w:rFonts w:eastAsia="標楷體"/>
          <w:sz w:val="28"/>
        </w:rPr>
        <w:t>二、次要參考文獻（國內相關碩博士論文，依年份新到舊）</w:t>
      </w:r>
    </w:p>
    <w:p w:rsidR="00E613CE" w:rsidRPr="00B65A93" w:rsidRDefault="00B65A93">
      <w:pPr>
        <w:spacing w:line="360" w:lineRule="auto"/>
        <w:ind w:left="480" w:hanging="480"/>
        <w:rPr>
          <w:rFonts w:eastAsia="標楷體"/>
          <w:sz w:val="28"/>
        </w:rPr>
      </w:pPr>
      <w:r w:rsidRPr="00B65A93">
        <w:rPr>
          <w:rFonts w:eastAsia="標楷體"/>
          <w:sz w:val="28"/>
        </w:rPr>
        <w:t xml:space="preserve">[1] </w:t>
      </w:r>
      <w:r w:rsidRPr="00B65A93">
        <w:rPr>
          <w:rFonts w:eastAsia="標楷體"/>
          <w:sz w:val="28"/>
        </w:rPr>
        <w:t>李亞峮（</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負面事件與媒體報導對</w:t>
      </w:r>
      <w:r w:rsidRPr="00B65A93">
        <w:rPr>
          <w:rFonts w:eastAsia="標楷體"/>
          <w:sz w:val="28"/>
        </w:rPr>
        <w:t>ESG</w:t>
      </w:r>
      <w:r w:rsidRPr="00B65A93">
        <w:rPr>
          <w:rFonts w:eastAsia="標楷體"/>
          <w:sz w:val="28"/>
        </w:rPr>
        <w:t>績效與盈餘管理間之關聯的調節效果。國立臺北大學會計學系碩士論文。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lastRenderedPageBreak/>
        <w:t xml:space="preserve">[2] </w:t>
      </w:r>
      <w:r w:rsidRPr="00B65A93">
        <w:rPr>
          <w:rFonts w:eastAsia="標楷體"/>
          <w:sz w:val="28"/>
        </w:rPr>
        <w:t>劉翠山（</w:t>
      </w:r>
      <w:r w:rsidRPr="00B65A93">
        <w:rPr>
          <w:rFonts w:eastAsia="標楷體"/>
          <w:sz w:val="28"/>
        </w:rPr>
        <w:t>2026</w:t>
      </w:r>
      <w:r w:rsidRPr="00B65A93">
        <w:rPr>
          <w:rFonts w:eastAsia="標楷體"/>
          <w:sz w:val="28"/>
        </w:rPr>
        <w:t>）。人力資本、</w:t>
      </w:r>
      <w:r w:rsidRPr="00B65A93">
        <w:rPr>
          <w:rFonts w:eastAsia="標楷體"/>
          <w:sz w:val="28"/>
        </w:rPr>
        <w:t>ESG</w:t>
      </w:r>
      <w:r w:rsidRPr="00B65A93">
        <w:rPr>
          <w:rFonts w:eastAsia="標楷體"/>
          <w:sz w:val="28"/>
        </w:rPr>
        <w:t>績效</w:t>
      </w:r>
      <w:r w:rsidRPr="00B65A93">
        <w:rPr>
          <w:rFonts w:eastAsia="標楷體"/>
          <w:sz w:val="28"/>
        </w:rPr>
        <w:t>(S)</w:t>
      </w:r>
      <w:r w:rsidRPr="00B65A93">
        <w:rPr>
          <w:rFonts w:eastAsia="標楷體"/>
          <w:sz w:val="28"/>
        </w:rPr>
        <w:t>、</w:t>
      </w:r>
      <w:r w:rsidRPr="00B65A93">
        <w:rPr>
          <w:rFonts w:eastAsia="標楷體"/>
          <w:sz w:val="28"/>
        </w:rPr>
        <w:t>ESG</w:t>
      </w:r>
      <w:r w:rsidRPr="00B65A93">
        <w:rPr>
          <w:rFonts w:eastAsia="標楷體"/>
          <w:sz w:val="28"/>
        </w:rPr>
        <w:t>重大性揭露與企業市場價值關係之調節型中介模型探討。銘傳大學會計學系碩士論文。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[3] </w:t>
      </w:r>
      <w:r w:rsidRPr="00B65A93">
        <w:rPr>
          <w:rFonts w:eastAsia="標楷體"/>
          <w:sz w:val="28"/>
        </w:rPr>
        <w:t>吳東蓄（</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績效對代理成本之影響。靜宜大學會計學系碩士論文。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[4] </w:t>
      </w:r>
      <w:r w:rsidRPr="00B65A93">
        <w:rPr>
          <w:rFonts w:eastAsia="標楷體"/>
          <w:sz w:val="28"/>
        </w:rPr>
        <w:t>戴郁樺（</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投入、金融創新與綠色創新對銀行風險與績效管理之影響。朝陽科技大學財務金融系碩士論文。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[5] </w:t>
      </w:r>
      <w:r w:rsidRPr="00B65A93">
        <w:rPr>
          <w:rFonts w:eastAsia="標楷體"/>
          <w:sz w:val="28"/>
        </w:rPr>
        <w:t>楊宜蓁（</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及負債比率對企業信用風險之關聯性研究</w:t>
      </w:r>
      <w:r w:rsidRPr="00B65A93">
        <w:rPr>
          <w:rFonts w:eastAsia="標楷體"/>
          <w:sz w:val="28"/>
        </w:rPr>
        <w:t>——</w:t>
      </w:r>
      <w:r w:rsidRPr="00B65A93">
        <w:rPr>
          <w:rFonts w:eastAsia="標楷體"/>
          <w:sz w:val="28"/>
        </w:rPr>
        <w:t>以台灣上市電子業為例。國立彰化師範大學財務金融技術學系碩士論文。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[6] </w:t>
      </w:r>
      <w:r w:rsidRPr="00B65A93">
        <w:rPr>
          <w:rFonts w:eastAsia="標楷體"/>
          <w:sz w:val="28"/>
        </w:rPr>
        <w:t>楊珆佳（</w:t>
      </w:r>
      <w:r w:rsidRPr="00B65A93">
        <w:rPr>
          <w:rFonts w:eastAsia="標楷體"/>
          <w:sz w:val="28"/>
        </w:rPr>
        <w:t>2026</w:t>
      </w:r>
      <w:r w:rsidRPr="00B65A93">
        <w:rPr>
          <w:rFonts w:eastAsia="標楷體"/>
          <w:sz w:val="28"/>
        </w:rPr>
        <w:t>）。臺灣金控公司</w:t>
      </w:r>
      <w:r w:rsidRPr="00B65A93">
        <w:rPr>
          <w:rFonts w:eastAsia="標楷體"/>
          <w:sz w:val="28"/>
        </w:rPr>
        <w:t>ESG</w:t>
      </w:r>
      <w:r w:rsidRPr="00B65A93">
        <w:rPr>
          <w:rFonts w:eastAsia="標楷體"/>
          <w:sz w:val="28"/>
        </w:rPr>
        <w:t>、金融健全指標與巴塞爾協定風險性之研究。靜宜大學會計學系碩士論文。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[7] </w:t>
      </w:r>
      <w:r w:rsidRPr="00B65A93">
        <w:rPr>
          <w:rFonts w:eastAsia="標楷體"/>
          <w:sz w:val="28"/>
        </w:rPr>
        <w:t>富得運（</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風險管理與企業財務績效：新興市場中企業規模之調節效果。正修科技大學工業工程與管理碩士班碩士論文。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[8] </w:t>
      </w:r>
      <w:r w:rsidRPr="00B65A93">
        <w:rPr>
          <w:rFonts w:eastAsia="標楷體"/>
          <w:sz w:val="28"/>
        </w:rPr>
        <w:t>毛祚祥（</w:t>
      </w:r>
      <w:r w:rsidRPr="00B65A93">
        <w:rPr>
          <w:rFonts w:eastAsia="標楷體"/>
          <w:sz w:val="28"/>
        </w:rPr>
        <w:t>2026</w:t>
      </w:r>
      <w:r w:rsidRPr="00B65A93">
        <w:rPr>
          <w:rFonts w:eastAsia="標楷體"/>
          <w:sz w:val="28"/>
        </w:rPr>
        <w:t>）。探</w:t>
      </w:r>
      <w:r w:rsidRPr="00B65A93">
        <w:rPr>
          <w:rFonts w:eastAsia="標楷體"/>
          <w:sz w:val="28"/>
        </w:rPr>
        <w:t>討台灣上市櫃觀光餐旅類股企業</w:t>
      </w:r>
      <w:r w:rsidRPr="00B65A93">
        <w:rPr>
          <w:rFonts w:eastAsia="標楷體"/>
          <w:sz w:val="28"/>
        </w:rPr>
        <w:t>ESG</w:t>
      </w:r>
      <w:r w:rsidRPr="00B65A93">
        <w:rPr>
          <w:rFonts w:eastAsia="標楷體"/>
          <w:sz w:val="28"/>
        </w:rPr>
        <w:t>指標、系統性風險與財務績效之關係。國立高雄科技大學觀光管理系碩士論文。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[9] </w:t>
      </w:r>
      <w:r w:rsidRPr="00B65A93">
        <w:rPr>
          <w:rFonts w:eastAsia="標楷體"/>
          <w:sz w:val="28"/>
        </w:rPr>
        <w:t>陳俊佑（</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績效與盈餘的價值攸關性之影響。國防大學管理學院財務管理學系碩士論文。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[10] </w:t>
      </w:r>
      <w:r w:rsidRPr="00B65A93">
        <w:rPr>
          <w:rFonts w:eastAsia="標楷體"/>
          <w:sz w:val="28"/>
        </w:rPr>
        <w:t>許嘉芸（</w:t>
      </w:r>
      <w:r w:rsidRPr="00B65A93">
        <w:rPr>
          <w:rFonts w:eastAsia="標楷體"/>
          <w:sz w:val="28"/>
        </w:rPr>
        <w:t>2026</w:t>
      </w:r>
      <w:r w:rsidRPr="00B65A93">
        <w:rPr>
          <w:rFonts w:eastAsia="標楷體"/>
          <w:sz w:val="28"/>
        </w:rPr>
        <w:t>）。企業資源密集度管理對財務績效與</w:t>
      </w:r>
      <w:r w:rsidRPr="00B65A93">
        <w:rPr>
          <w:rFonts w:eastAsia="標楷體"/>
          <w:sz w:val="28"/>
        </w:rPr>
        <w:t>ESG</w:t>
      </w:r>
      <w:r w:rsidRPr="00B65A93">
        <w:rPr>
          <w:rFonts w:eastAsia="標楷體"/>
          <w:sz w:val="28"/>
        </w:rPr>
        <w:t>效率的影響。國立陽明交通大學經營管理研究所碩士論文。</w:t>
      </w:r>
    </w:p>
    <w:p w:rsidR="00E613CE" w:rsidRPr="00B65A93" w:rsidRDefault="00B65A93">
      <w:pPr>
        <w:spacing w:line="360" w:lineRule="auto"/>
        <w:ind w:left="480" w:hanging="480"/>
        <w:rPr>
          <w:rFonts w:eastAsia="標楷體"/>
          <w:sz w:val="28"/>
        </w:rPr>
      </w:pPr>
      <w:r w:rsidRPr="00B65A93">
        <w:rPr>
          <w:rFonts w:eastAsia="標楷體"/>
          <w:sz w:val="28"/>
        </w:rPr>
        <w:lastRenderedPageBreak/>
        <w:t xml:space="preserve">[11] </w:t>
      </w:r>
      <w:r w:rsidRPr="00B65A93">
        <w:rPr>
          <w:rFonts w:eastAsia="標楷體"/>
          <w:sz w:val="28"/>
        </w:rPr>
        <w:t>楊博勝（</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資訊之揭露對於企業特有風險之影響：以台灣上市櫃公司為例。國立陽明交通大學經營管理研究所博士論文。</w:t>
      </w:r>
    </w:p>
    <w:p w:rsidR="00E613CE" w:rsidRPr="00B65A93" w:rsidRDefault="00B65A93">
      <w:pPr>
        <w:spacing w:line="360" w:lineRule="auto"/>
        <w:ind w:left="480" w:hanging="480"/>
        <w:rPr>
          <w:rFonts w:eastAsia="標楷體"/>
          <w:sz w:val="28"/>
        </w:rPr>
      </w:pPr>
      <w:r w:rsidRPr="00B65A93">
        <w:rPr>
          <w:rFonts w:eastAsia="標楷體"/>
          <w:sz w:val="28"/>
        </w:rPr>
        <w:t xml:space="preserve">[12] </w:t>
      </w:r>
      <w:r w:rsidRPr="00B65A93">
        <w:rPr>
          <w:rFonts w:eastAsia="標楷體"/>
          <w:sz w:val="28"/>
        </w:rPr>
        <w:t>蘇姿云（</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對盈餘管理的抑制效果：家族企業的差異分析。國立成功大學財務金融研究所碩士論文。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[13] </w:t>
      </w:r>
      <w:r w:rsidRPr="00B65A93">
        <w:rPr>
          <w:rFonts w:eastAsia="標楷體"/>
          <w:sz w:val="28"/>
        </w:rPr>
        <w:t>張岑華（</w:t>
      </w:r>
      <w:r w:rsidRPr="00B65A93">
        <w:rPr>
          <w:rFonts w:eastAsia="標楷體"/>
          <w:sz w:val="28"/>
        </w:rPr>
        <w:t>2026</w:t>
      </w:r>
      <w:r w:rsidRPr="00B65A93">
        <w:rPr>
          <w:rFonts w:eastAsia="標楷體"/>
          <w:sz w:val="28"/>
        </w:rPr>
        <w:t>）。</w:t>
      </w:r>
      <w:r w:rsidRPr="00B65A93">
        <w:rPr>
          <w:rFonts w:eastAsia="標楷體"/>
          <w:sz w:val="28"/>
        </w:rPr>
        <w:t>ESG</w:t>
      </w:r>
      <w:r w:rsidRPr="00B65A93">
        <w:rPr>
          <w:rFonts w:eastAsia="標楷體"/>
          <w:sz w:val="28"/>
        </w:rPr>
        <w:t>績效與漂綠對權益資金成本之影響：以台灣為例。世新大學財務金融學系碩士論文。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[14] </w:t>
      </w:r>
      <w:r w:rsidRPr="00B65A93">
        <w:rPr>
          <w:rFonts w:eastAsia="標楷體"/>
          <w:sz w:val="28"/>
        </w:rPr>
        <w:t>張筱婕（</w:t>
      </w:r>
      <w:r w:rsidRPr="00B65A93">
        <w:rPr>
          <w:rFonts w:eastAsia="標楷體"/>
          <w:sz w:val="28"/>
        </w:rPr>
        <w:t>2026</w:t>
      </w:r>
      <w:r w:rsidRPr="00B65A93">
        <w:rPr>
          <w:rFonts w:eastAsia="標楷體"/>
          <w:sz w:val="28"/>
        </w:rPr>
        <w:t>）。漂綠行為對企業</w:t>
      </w:r>
      <w:r w:rsidRPr="00B65A93">
        <w:rPr>
          <w:rFonts w:eastAsia="標楷體"/>
          <w:sz w:val="28"/>
        </w:rPr>
        <w:t>ESG</w:t>
      </w:r>
      <w:r w:rsidRPr="00B65A93">
        <w:rPr>
          <w:rFonts w:eastAsia="標楷體"/>
          <w:sz w:val="28"/>
        </w:rPr>
        <w:t>之影響：媒體揭露的調節效果。世新大學財務金融學系碩士論文。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[15] </w:t>
      </w:r>
      <w:r w:rsidRPr="00B65A93">
        <w:rPr>
          <w:rFonts w:eastAsia="標楷體"/>
          <w:sz w:val="28"/>
        </w:rPr>
        <w:t>張凱瑜（</w:t>
      </w:r>
      <w:r w:rsidRPr="00B65A93">
        <w:rPr>
          <w:rFonts w:eastAsia="標楷體"/>
          <w:sz w:val="28"/>
        </w:rPr>
        <w:t>2025</w:t>
      </w:r>
      <w:r w:rsidRPr="00B65A93">
        <w:rPr>
          <w:rFonts w:eastAsia="標楷體"/>
          <w:sz w:val="28"/>
        </w:rPr>
        <w:t>）。成本僵固性與企業風險關聯性之研究</w:t>
      </w:r>
      <w:r w:rsidRPr="00B65A93">
        <w:rPr>
          <w:rFonts w:eastAsia="標楷體"/>
          <w:sz w:val="28"/>
        </w:rPr>
        <w:t>——</w:t>
      </w:r>
      <w:r w:rsidRPr="00B65A93">
        <w:rPr>
          <w:rFonts w:eastAsia="標楷體"/>
          <w:sz w:val="28"/>
        </w:rPr>
        <w:t>以台灣上市櫃公司為例。朝陽科技大學會計系碩士論文。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[16] </w:t>
      </w:r>
      <w:r w:rsidRPr="00B65A93">
        <w:rPr>
          <w:rFonts w:eastAsia="標楷體"/>
          <w:sz w:val="28"/>
        </w:rPr>
        <w:t>王惠洳（</w:t>
      </w:r>
      <w:r w:rsidRPr="00B65A93">
        <w:rPr>
          <w:rFonts w:eastAsia="標楷體"/>
          <w:sz w:val="28"/>
        </w:rPr>
        <w:t>2025</w:t>
      </w:r>
      <w:r w:rsidRPr="00B65A93">
        <w:rPr>
          <w:rFonts w:eastAsia="標楷體"/>
          <w:sz w:val="28"/>
        </w:rPr>
        <w:t>）。獨立董事連結關係與成本僵固性之關聯。</w:t>
      </w:r>
      <w:r w:rsidRPr="00B65A93">
        <w:rPr>
          <w:rFonts w:eastAsia="標楷體"/>
          <w:sz w:val="28"/>
        </w:rPr>
        <w:t>國立臺中科技大學會計資訊系碩士論文。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[17] </w:t>
      </w:r>
      <w:r w:rsidRPr="00B65A93">
        <w:rPr>
          <w:rFonts w:eastAsia="標楷體"/>
          <w:sz w:val="28"/>
        </w:rPr>
        <w:t>陳思婷（</w:t>
      </w:r>
      <w:r w:rsidRPr="00B65A93">
        <w:rPr>
          <w:rFonts w:eastAsia="標楷體"/>
          <w:sz w:val="28"/>
        </w:rPr>
        <w:t>2025</w:t>
      </w:r>
      <w:r w:rsidRPr="00B65A93">
        <w:rPr>
          <w:rFonts w:eastAsia="標楷體"/>
          <w:sz w:val="28"/>
        </w:rPr>
        <w:t>）。移轉訂價操弄與成本僵固性間之關聯性。天主教輔仁大學會計學系碩士論文。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[18] </w:t>
      </w:r>
      <w:r w:rsidRPr="00B65A93">
        <w:rPr>
          <w:rFonts w:eastAsia="標楷體"/>
          <w:sz w:val="28"/>
        </w:rPr>
        <w:t>辛珏辰（</w:t>
      </w:r>
      <w:r w:rsidRPr="00B65A93">
        <w:rPr>
          <w:rFonts w:eastAsia="標楷體"/>
          <w:sz w:val="28"/>
        </w:rPr>
        <w:t>2025</w:t>
      </w:r>
      <w:r w:rsidRPr="00B65A93">
        <w:rPr>
          <w:rFonts w:eastAsia="標楷體"/>
          <w:sz w:val="28"/>
        </w:rPr>
        <w:t>）。</w:t>
      </w:r>
      <w:r w:rsidRPr="00B65A93">
        <w:rPr>
          <w:rFonts w:eastAsia="標楷體"/>
          <w:sz w:val="28"/>
        </w:rPr>
        <w:t>ESG</w:t>
      </w:r>
      <w:r w:rsidRPr="00B65A93">
        <w:rPr>
          <w:rFonts w:eastAsia="標楷體"/>
          <w:sz w:val="28"/>
        </w:rPr>
        <w:t>活動與成本僵固性</w:t>
      </w:r>
      <w:r w:rsidRPr="00B65A93">
        <w:rPr>
          <w:rFonts w:eastAsia="標楷體"/>
          <w:sz w:val="28"/>
        </w:rPr>
        <w:t>——</w:t>
      </w:r>
      <w:r w:rsidRPr="00B65A93">
        <w:rPr>
          <w:rFonts w:eastAsia="標楷體"/>
          <w:sz w:val="28"/>
        </w:rPr>
        <w:t>兼論</w:t>
      </w:r>
      <w:r w:rsidRPr="00B65A93">
        <w:rPr>
          <w:rFonts w:eastAsia="標楷體"/>
          <w:sz w:val="28"/>
        </w:rPr>
        <w:t>COVID-19</w:t>
      </w:r>
      <w:r w:rsidRPr="00B65A93">
        <w:rPr>
          <w:rFonts w:eastAsia="標楷體"/>
          <w:sz w:val="28"/>
        </w:rPr>
        <w:t>的影響。國立成功大學會計學系碩士論文。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[19] </w:t>
      </w:r>
      <w:r w:rsidRPr="00B65A93">
        <w:rPr>
          <w:rFonts w:eastAsia="標楷體"/>
          <w:sz w:val="28"/>
        </w:rPr>
        <w:t>張湘泓（</w:t>
      </w:r>
      <w:r w:rsidRPr="00B65A93">
        <w:rPr>
          <w:rFonts w:eastAsia="標楷體"/>
          <w:sz w:val="28"/>
        </w:rPr>
        <w:t>2025</w:t>
      </w:r>
      <w:r w:rsidRPr="00B65A93">
        <w:rPr>
          <w:rFonts w:eastAsia="標楷體"/>
          <w:sz w:val="28"/>
        </w:rPr>
        <w:t>）。企業併購時商定留用權之勞工權益強化</w:t>
      </w:r>
      <w:r w:rsidRPr="00B65A93">
        <w:rPr>
          <w:rFonts w:eastAsia="標楷體"/>
          <w:sz w:val="28"/>
        </w:rPr>
        <w:t>——</w:t>
      </w:r>
      <w:r w:rsidRPr="00B65A93">
        <w:rPr>
          <w:rFonts w:eastAsia="標楷體"/>
          <w:sz w:val="28"/>
        </w:rPr>
        <w:t>由</w:t>
      </w:r>
      <w:r w:rsidRPr="00B65A93">
        <w:rPr>
          <w:rFonts w:eastAsia="標楷體"/>
          <w:sz w:val="28"/>
        </w:rPr>
        <w:t>ESG</w:t>
      </w:r>
      <w:r w:rsidRPr="00B65A93">
        <w:rPr>
          <w:rFonts w:eastAsia="標楷體"/>
          <w:sz w:val="28"/>
        </w:rPr>
        <w:t>觀點出發。國立臺灣大學法律學系碩士論文。</w:t>
      </w:r>
    </w:p>
    <w:p w:rsidR="00E613CE" w:rsidRPr="00B65A93" w:rsidRDefault="00B65A93">
      <w:pPr>
        <w:spacing w:line="360" w:lineRule="auto"/>
        <w:ind w:left="480" w:hanging="480"/>
        <w:rPr>
          <w:rFonts w:eastAsia="標楷體"/>
          <w:sz w:val="28"/>
        </w:rPr>
      </w:pPr>
      <w:r w:rsidRPr="00B65A93">
        <w:rPr>
          <w:rFonts w:eastAsia="標楷體"/>
          <w:sz w:val="28"/>
        </w:rPr>
        <w:lastRenderedPageBreak/>
        <w:t xml:space="preserve">[20] </w:t>
      </w:r>
      <w:r w:rsidRPr="00B65A93">
        <w:rPr>
          <w:rFonts w:eastAsia="標楷體"/>
          <w:sz w:val="28"/>
        </w:rPr>
        <w:t>魏郁芳（</w:t>
      </w:r>
      <w:r w:rsidRPr="00B65A93">
        <w:rPr>
          <w:rFonts w:eastAsia="標楷體"/>
          <w:sz w:val="28"/>
        </w:rPr>
        <w:t>2025</w:t>
      </w:r>
      <w:r w:rsidRPr="00B65A93">
        <w:rPr>
          <w:rFonts w:eastAsia="標楷體"/>
          <w:sz w:val="28"/>
        </w:rPr>
        <w:t>）。企業內部因素與外部壓力對水資源揭露之關聯性研究：以臺灣上市櫃公司為例。國立臺灣師範大學永續管理與環境教育研究所</w:t>
      </w:r>
      <w:r w:rsidRPr="00B65A93">
        <w:rPr>
          <w:rFonts w:eastAsia="標楷體"/>
          <w:sz w:val="28"/>
        </w:rPr>
        <w:t>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[21] </w:t>
      </w:r>
      <w:r w:rsidRPr="00B65A93">
        <w:rPr>
          <w:rFonts w:eastAsia="標楷體"/>
          <w:sz w:val="28"/>
        </w:rPr>
        <w:t>鍾文淇（</w:t>
      </w:r>
      <w:r w:rsidRPr="00B65A93">
        <w:rPr>
          <w:rFonts w:eastAsia="標楷體"/>
          <w:sz w:val="28"/>
        </w:rPr>
        <w:t>2025</w:t>
      </w:r>
      <w:r w:rsidRPr="00B65A93">
        <w:rPr>
          <w:rFonts w:eastAsia="標楷體"/>
          <w:sz w:val="28"/>
        </w:rPr>
        <w:t>）。影響一般廢棄物回收率成效之研究：以直轄市為例。國立臺北大學公共行政暨政策學系碩士論文。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[22] </w:t>
      </w:r>
      <w:r w:rsidRPr="00B65A93">
        <w:rPr>
          <w:rFonts w:eastAsia="標楷體"/>
          <w:sz w:val="28"/>
        </w:rPr>
        <w:t>李依潔（</w:t>
      </w:r>
      <w:r w:rsidRPr="00B65A93">
        <w:rPr>
          <w:rFonts w:eastAsia="標楷體"/>
          <w:sz w:val="28"/>
        </w:rPr>
        <w:t>2024</w:t>
      </w:r>
      <w:r w:rsidRPr="00B65A93">
        <w:rPr>
          <w:rFonts w:eastAsia="標楷體"/>
          <w:sz w:val="28"/>
        </w:rPr>
        <w:t>）。環境構面永續發展指標、企業策略與成本僵固性。中原大學會計學系碩士論文。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[23] </w:t>
      </w:r>
      <w:r w:rsidRPr="00B65A93">
        <w:rPr>
          <w:rFonts w:eastAsia="標楷體"/>
          <w:sz w:val="28"/>
        </w:rPr>
        <w:t>陳樸（</w:t>
      </w:r>
      <w:r w:rsidRPr="00B65A93">
        <w:rPr>
          <w:rFonts w:eastAsia="標楷體"/>
          <w:sz w:val="28"/>
        </w:rPr>
        <w:t>2024</w:t>
      </w:r>
      <w:r w:rsidRPr="00B65A93">
        <w:rPr>
          <w:rFonts w:eastAsia="標楷體"/>
          <w:sz w:val="28"/>
        </w:rPr>
        <w:t>）。台灣上市食品公司水資源永續績效評量方法之研究。國立臺灣大學環境工程學研究所碩士論文。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[24] </w:t>
      </w:r>
      <w:r w:rsidRPr="00B65A93">
        <w:rPr>
          <w:rFonts w:eastAsia="標楷體"/>
          <w:sz w:val="28"/>
        </w:rPr>
        <w:t>顏宥盈（</w:t>
      </w:r>
      <w:r w:rsidRPr="00B65A93">
        <w:rPr>
          <w:rFonts w:eastAsia="標楷體"/>
          <w:sz w:val="28"/>
        </w:rPr>
        <w:t>2024</w:t>
      </w:r>
      <w:r w:rsidRPr="00B65A93">
        <w:rPr>
          <w:rFonts w:eastAsia="標楷體"/>
          <w:sz w:val="28"/>
        </w:rPr>
        <w:t>）。成本僵固性與內外部監督效果之探討。國立臺中科技大學會計資訊系碩士論文。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[25] </w:t>
      </w:r>
      <w:r w:rsidRPr="00B65A93">
        <w:rPr>
          <w:rFonts w:eastAsia="標楷體"/>
          <w:sz w:val="28"/>
        </w:rPr>
        <w:t>謝雅筑（</w:t>
      </w:r>
      <w:r w:rsidRPr="00B65A93">
        <w:rPr>
          <w:rFonts w:eastAsia="標楷體"/>
          <w:sz w:val="28"/>
        </w:rPr>
        <w:t>2024</w:t>
      </w:r>
      <w:r w:rsidRPr="00B65A93">
        <w:rPr>
          <w:rFonts w:eastAsia="標楷體"/>
          <w:sz w:val="28"/>
        </w:rPr>
        <w:t>）。飛行員</w:t>
      </w:r>
      <w:r w:rsidRPr="00B65A93">
        <w:rPr>
          <w:rFonts w:eastAsia="標楷體"/>
          <w:sz w:val="28"/>
        </w:rPr>
        <w:t>CEO</w:t>
      </w:r>
      <w:r w:rsidRPr="00B65A93">
        <w:rPr>
          <w:rFonts w:eastAsia="標楷體"/>
          <w:sz w:val="28"/>
        </w:rPr>
        <w:t>與成本僵固性。國立成功</w:t>
      </w:r>
      <w:r w:rsidRPr="00B65A93">
        <w:rPr>
          <w:rFonts w:eastAsia="標楷體"/>
          <w:sz w:val="28"/>
        </w:rPr>
        <w:t>大學財務金融研究所碩士論文。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[26] </w:t>
      </w:r>
      <w:r w:rsidRPr="00B65A93">
        <w:rPr>
          <w:rFonts w:eastAsia="標楷體"/>
          <w:sz w:val="28"/>
        </w:rPr>
        <w:t>張芳瑜（</w:t>
      </w:r>
      <w:r w:rsidRPr="00B65A93">
        <w:rPr>
          <w:rFonts w:eastAsia="標楷體"/>
          <w:sz w:val="28"/>
        </w:rPr>
        <w:t>2023</w:t>
      </w:r>
      <w:r w:rsidRPr="00B65A93">
        <w:rPr>
          <w:rFonts w:eastAsia="標楷體"/>
          <w:sz w:val="28"/>
        </w:rPr>
        <w:t>）。成本僵固性對企業績效之影響</w:t>
      </w:r>
      <w:r w:rsidRPr="00B65A93">
        <w:rPr>
          <w:rFonts w:eastAsia="標楷體"/>
          <w:sz w:val="28"/>
        </w:rPr>
        <w:t>——</w:t>
      </w:r>
      <w:r w:rsidRPr="00B65A93">
        <w:rPr>
          <w:rFonts w:eastAsia="標楷體"/>
          <w:sz w:val="28"/>
        </w:rPr>
        <w:t>以總體經濟變數為調節變數。國立中興大學企業管理學系碩士論文。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[27] </w:t>
      </w:r>
      <w:r w:rsidRPr="00B65A93">
        <w:rPr>
          <w:rFonts w:eastAsia="標楷體"/>
          <w:sz w:val="28"/>
        </w:rPr>
        <w:t>張宸杰（</w:t>
      </w:r>
      <w:r w:rsidRPr="00B65A93">
        <w:rPr>
          <w:rFonts w:eastAsia="標楷體"/>
          <w:sz w:val="28"/>
        </w:rPr>
        <w:t>2023</w:t>
      </w:r>
      <w:r w:rsidRPr="00B65A93">
        <w:rPr>
          <w:rFonts w:eastAsia="標楷體"/>
          <w:sz w:val="28"/>
        </w:rPr>
        <w:t>）。內部控制、財務危機對成本僵固性之影響。國立臺中科技大學會計資訊系碩士論文。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[28] </w:t>
      </w:r>
      <w:r w:rsidRPr="00B65A93">
        <w:rPr>
          <w:rFonts w:eastAsia="標楷體"/>
          <w:sz w:val="28"/>
        </w:rPr>
        <w:t>劉佳熒（</w:t>
      </w:r>
      <w:r w:rsidRPr="00B65A93">
        <w:rPr>
          <w:rFonts w:eastAsia="標楷體"/>
          <w:sz w:val="28"/>
        </w:rPr>
        <w:t>2022</w:t>
      </w:r>
      <w:r w:rsidRPr="00B65A93">
        <w:rPr>
          <w:rFonts w:eastAsia="標楷體"/>
          <w:sz w:val="28"/>
        </w:rPr>
        <w:t>）。供應鏈關係對供應商之成本行為的影響。亞洲大學經營管理學系博士論文。</w:t>
      </w:r>
    </w:p>
    <w:p w:rsidR="00E613CE" w:rsidRPr="00B65A93" w:rsidRDefault="00B65A93">
      <w:pPr>
        <w:spacing w:line="360" w:lineRule="auto"/>
        <w:ind w:left="480" w:hanging="480"/>
        <w:rPr>
          <w:rFonts w:eastAsia="標楷體"/>
          <w:sz w:val="28"/>
        </w:rPr>
      </w:pPr>
      <w:r w:rsidRPr="00B65A93">
        <w:rPr>
          <w:rFonts w:eastAsia="標楷體"/>
          <w:sz w:val="28"/>
        </w:rPr>
        <w:lastRenderedPageBreak/>
        <w:t xml:space="preserve">[29] </w:t>
      </w:r>
      <w:r w:rsidRPr="00B65A93">
        <w:rPr>
          <w:rFonts w:eastAsia="標楷體"/>
          <w:sz w:val="28"/>
        </w:rPr>
        <w:t>邱圓雅（</w:t>
      </w:r>
      <w:r w:rsidRPr="00B65A93">
        <w:rPr>
          <w:rFonts w:eastAsia="標楷體"/>
          <w:sz w:val="28"/>
        </w:rPr>
        <w:t>2020</w:t>
      </w:r>
      <w:r w:rsidRPr="00B65A93">
        <w:rPr>
          <w:rFonts w:eastAsia="標楷體"/>
          <w:sz w:val="28"/>
        </w:rPr>
        <w:t>）。內部債與成本僵固性之關聯性。國立臺北商業大學會計財稅碩士班碩士論文。</w:t>
      </w:r>
    </w:p>
    <w:p w:rsidR="00E613CE" w:rsidRPr="00B65A93" w:rsidRDefault="00B65A93">
      <w:pPr>
        <w:spacing w:line="360" w:lineRule="auto"/>
        <w:ind w:left="480" w:hanging="480"/>
        <w:rPr>
          <w:rFonts w:eastAsia="標楷體"/>
          <w:sz w:val="28"/>
        </w:rPr>
      </w:pPr>
      <w:r w:rsidRPr="00B65A93">
        <w:rPr>
          <w:rFonts w:eastAsia="標楷體"/>
          <w:sz w:val="28"/>
        </w:rPr>
        <w:t xml:space="preserve">[30] </w:t>
      </w:r>
      <w:r w:rsidRPr="00B65A93">
        <w:rPr>
          <w:rFonts w:eastAsia="標楷體"/>
          <w:sz w:val="28"/>
        </w:rPr>
        <w:t>鄭紹君（</w:t>
      </w:r>
      <w:r w:rsidRPr="00B65A93">
        <w:rPr>
          <w:rFonts w:eastAsia="標楷體"/>
          <w:sz w:val="28"/>
        </w:rPr>
        <w:t>2018</w:t>
      </w:r>
      <w:r w:rsidRPr="00B65A93">
        <w:rPr>
          <w:rFonts w:eastAsia="標楷體"/>
          <w:sz w:val="28"/>
        </w:rPr>
        <w:t>）。企業社會責任活動與成本僵固</w:t>
      </w:r>
      <w:r w:rsidRPr="00B65A93">
        <w:rPr>
          <w:rFonts w:eastAsia="標楷體"/>
          <w:sz w:val="28"/>
        </w:rPr>
        <w:t>性之關聯</w:t>
      </w:r>
      <w:r w:rsidRPr="00B65A93">
        <w:rPr>
          <w:rFonts w:eastAsia="標楷體"/>
          <w:sz w:val="28"/>
        </w:rPr>
        <w:t>——</w:t>
      </w:r>
      <w:r w:rsidRPr="00B65A93">
        <w:rPr>
          <w:rFonts w:eastAsia="標楷體"/>
          <w:sz w:val="28"/>
        </w:rPr>
        <w:t>以企業社會責任願景調節。國立中央大學會計研究所碩士論文。</w:t>
      </w:r>
    </w:p>
    <w:sectPr w:rsidR="00E613CE" w:rsidRPr="00B65A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65A93"/>
    <w:rsid w:val="00CB0664"/>
    <w:rsid w:val="00E61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1FF3D94-110D-4370-9CAC-2BF09A70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新細明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36D318-AD88-4FAF-BE59-8ECA47315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李政忠</cp:lastModifiedBy>
  <cp:revision>2</cp:revision>
  <dcterms:created xsi:type="dcterms:W3CDTF">2013-12-23T23:15:00Z</dcterms:created>
  <dcterms:modified xsi:type="dcterms:W3CDTF">2026-08-02T15:36:00Z</dcterms:modified>
  <cp:category/>
</cp:coreProperties>
</file>