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標楷體"/>
          <w:b/>
          <w:i w:val="0"/>
          <w:sz w:val="36"/>
        </w:rPr>
        <w:t>研究變數 Pearson 相關係數表</w:t>
      </w:r>
    </w:p>
    <w:p>
      <w:pPr>
        <w:jc w:val="center"/>
      </w:pPr>
      <w:r>
        <w:rPr>
          <w:rFonts w:ascii="Times New Roman" w:hAnsi="Times New Roman" w:eastAsia="標楷體"/>
          <w:b w:val="0"/>
          <w:i/>
          <w:sz w:val="24"/>
        </w:rPr>
        <w:t>論文實證資料分析報告（TEJ 製造業樣本，2014–2024）</w:t>
      </w:r>
    </w:p>
    <w:p>
      <w:pPr>
        <w:spacing w:before="280" w:after="120"/>
      </w:pPr>
      <w:r>
        <w:rPr>
          <w:rFonts w:ascii="Times New Roman" w:hAnsi="Times New Roman" w:eastAsia="標楷體"/>
          <w:b/>
          <w:i w:val="0"/>
          <w:sz w:val="32"/>
        </w:rPr>
        <w:t>一、研究變數定義對照表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20"/>
              </w:rPr>
              <w:t>序號</w:t>
            </w:r>
          </w:p>
        </w:tc>
        <w:tc>
          <w:tcPr>
            <w:tcW w:type="dxa" w:w="201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20"/>
              </w:rPr>
              <w:t>變數代碼</w:t>
            </w:r>
          </w:p>
        </w:tc>
        <w:tc>
          <w:tcPr>
            <w:tcW w:type="dxa" w:w="201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20"/>
              </w:rPr>
              <w:t>變數名稱</w:t>
            </w:r>
          </w:p>
        </w:tc>
        <w:tc>
          <w:tcPr>
            <w:tcW w:type="dxa" w:w="201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/>
                <w:i w:val="0"/>
                <w:sz w:val="20"/>
              </w:rPr>
              <w:t>實證衡量方式與定義</w:t>
            </w:r>
          </w:p>
        </w:tc>
        <w:tc>
          <w:tcPr>
            <w:tcW w:type="dxa" w:w="201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20"/>
              </w:rPr>
              <w:t>變數角色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(1)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Y_dLNSGA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ΔLNSGA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營業費用變動率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應變數 (Y)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(2)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dLNREV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ΔLNREV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營業收入變動率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自變數 (X)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(3)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D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D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營收下降虛擬變數(衰退=1)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自變數 (X)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(4)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Water_Intensity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用水密集度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總用水量 / 營業收入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核心環境變數 (水)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(5)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Waste_Intensity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廢棄物密集度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每百萬營收廢棄物量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核心環境變數 (廢棄物)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(6)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Water_Rate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水回收率%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水回收利用率 (%)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水績效變數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(7)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Water_Disc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水揭露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水資源揭露虛擬變數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水揭露變數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(8)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Waste_Disc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廢棄物揭露度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GRI廢棄物揭露品質得分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廢棄物揭露變數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(9)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Waste_Fine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廢棄物裁罰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事業廢棄物違規裁罰金額佔資產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環境風險變數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(10)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Size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Size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企業規模 LN(資產總額)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控制變數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(11)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AI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AI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資產密集度 (資產總額/營收)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控制變數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(12)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EI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EI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員工密集度 (員工人數/營收)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控制變數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(13)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ROA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ROA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資產報酬率 (%)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控制變數</w:t>
            </w:r>
          </w:p>
        </w:tc>
      </w:tr>
      <w:tr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(14)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Lev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Lev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財務槓桿 (負債比率 %)</w:t>
            </w:r>
          </w:p>
        </w:tc>
        <w:tc>
          <w:tcPr>
            <w:tcW w:type="dxa" w:w="201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控制變數</w:t>
            </w:r>
          </w:p>
        </w:tc>
      </w:tr>
      <w:tr>
        <w:tc>
          <w:tcPr>
            <w:tcW w:type="dxa" w:w="2016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(15)</w:t>
            </w:r>
          </w:p>
        </w:tc>
        <w:tc>
          <w:tcPr>
            <w:tcW w:type="dxa" w:w="2016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Decrease</w:t>
            </w:r>
          </w:p>
        </w:tc>
        <w:tc>
          <w:tcPr>
            <w:tcW w:type="dxa" w:w="2016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Decrease</w:t>
            </w:r>
          </w:p>
        </w:tc>
        <w:tc>
          <w:tcPr>
            <w:tcW w:type="dxa" w:w="2016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連續兩年營收下降虛擬變數</w:t>
            </w:r>
          </w:p>
        </w:tc>
        <w:tc>
          <w:tcPr>
            <w:tcW w:type="dxa" w:w="2016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9"/>
              </w:rPr>
              <w:t>控制變數</w:t>
            </w:r>
          </w:p>
        </w:tc>
      </w:tr>
    </w:tbl>
    <w:p>
      <w:pPr>
        <w:spacing w:before="280" w:after="120"/>
      </w:pPr>
      <w:r>
        <w:rPr>
          <w:rFonts w:ascii="Times New Roman" w:hAnsi="Times New Roman" w:eastAsia="標楷體"/>
          <w:b/>
          <w:i w:val="0"/>
          <w:sz w:val="32"/>
        </w:rPr>
        <w:t>二、主要變數相關係數矩陣</w:t>
      </w:r>
    </w:p>
    <w:p>
      <w:pPr>
        <w:spacing w:before="200" w:after="80"/>
      </w:pPr>
      <w:r>
        <w:rPr>
          <w:rFonts w:ascii="Times New Roman" w:hAnsi="Times New Roman" w:eastAsia="標楷體"/>
          <w:b/>
          <w:i w:val="0"/>
          <w:sz w:val="24"/>
        </w:rPr>
        <w:t>表4-2 主要變數 Pearson 相關係數矩陣（論文標準精簡版）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/>
                <w:i w:val="0"/>
                <w:sz w:val="18"/>
              </w:rPr>
              <w:t>變數</w:t>
            </w:r>
          </w:p>
        </w:tc>
        <w:tc>
          <w:tcPr>
            <w:tcW w:type="dxa" w:w="100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8"/>
              </w:rPr>
              <w:t>(1)</w:t>
            </w:r>
          </w:p>
        </w:tc>
        <w:tc>
          <w:tcPr>
            <w:tcW w:type="dxa" w:w="100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8"/>
              </w:rPr>
              <w:t>(2)</w:t>
            </w:r>
          </w:p>
        </w:tc>
        <w:tc>
          <w:tcPr>
            <w:tcW w:type="dxa" w:w="100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8"/>
              </w:rPr>
              <w:t>(3)</w:t>
            </w:r>
          </w:p>
        </w:tc>
        <w:tc>
          <w:tcPr>
            <w:tcW w:type="dxa" w:w="100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8"/>
              </w:rPr>
              <w:t>(4)</w:t>
            </w:r>
          </w:p>
        </w:tc>
        <w:tc>
          <w:tcPr>
            <w:tcW w:type="dxa" w:w="100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8"/>
              </w:rPr>
              <w:t>(5)</w:t>
            </w:r>
          </w:p>
        </w:tc>
        <w:tc>
          <w:tcPr>
            <w:tcW w:type="dxa" w:w="100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8"/>
              </w:rPr>
              <w:t>(6)</w:t>
            </w:r>
          </w:p>
        </w:tc>
        <w:tc>
          <w:tcPr>
            <w:tcW w:type="dxa" w:w="100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8"/>
              </w:rPr>
              <w:t>(7)</w:t>
            </w:r>
          </w:p>
        </w:tc>
        <w:tc>
          <w:tcPr>
            <w:tcW w:type="dxa" w:w="100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8"/>
              </w:rPr>
              <w:t>(8)</w:t>
            </w:r>
          </w:p>
        </w:tc>
        <w:tc>
          <w:tcPr>
            <w:tcW w:type="dxa" w:w="100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8"/>
              </w:rPr>
              <w:t>(9)</w:t>
            </w:r>
          </w:p>
        </w:tc>
      </w:tr>
      <w:tr>
        <w:tc>
          <w:tcPr>
            <w:tcW w:type="dxa" w:w="10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(1) ΔLNSGA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1.000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</w:tr>
      <w:tr>
        <w:tc>
          <w:tcPr>
            <w:tcW w:type="dxa" w:w="10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(2) ΔLNREV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0.534***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1.000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</w:tr>
      <w:tr>
        <w:tc>
          <w:tcPr>
            <w:tcW w:type="dxa" w:w="10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(3) 用水密集度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-0.037***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-0.024**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1.000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</w:tr>
      <w:tr>
        <w:tc>
          <w:tcPr>
            <w:tcW w:type="dxa" w:w="10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(4) 廢棄物密集度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0.035**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0.061***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0.074***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1.000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</w:tr>
      <w:tr>
        <w:tc>
          <w:tcPr>
            <w:tcW w:type="dxa" w:w="10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(5) 水回收率%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-0.040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-0.008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0.446***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0.270***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1.000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</w:tr>
      <w:tr>
        <w:tc>
          <w:tcPr>
            <w:tcW w:type="dxa" w:w="10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(6) Size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0.089***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0.075***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0.061***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0.069***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0.119***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1.000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</w:tr>
      <w:tr>
        <w:tc>
          <w:tcPr>
            <w:tcW w:type="dxa" w:w="10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(7) AI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-0.065***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-0.159***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0.040***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0.070***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-0.021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-0.032***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1.000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</w:tr>
      <w:tr>
        <w:tc>
          <w:tcPr>
            <w:tcW w:type="dxa" w:w="1008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(8) ROA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0.151***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0.253***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-0.043***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-0.001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-0.017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0.183***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-0.196***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1.000</w:t>
            </w:r>
          </w:p>
        </w:tc>
        <w:tc>
          <w:tcPr>
            <w:tcW w:type="dxa" w:w="1008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</w:r>
          </w:p>
        </w:tc>
      </w:tr>
      <w:tr>
        <w:tc>
          <w:tcPr>
            <w:tcW w:type="dxa" w:w="1008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(9) Lev</w:t>
            </w:r>
          </w:p>
        </w:tc>
        <w:tc>
          <w:tcPr>
            <w:tcW w:type="dxa" w:w="1008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0.037***</w:t>
            </w:r>
          </w:p>
        </w:tc>
        <w:tc>
          <w:tcPr>
            <w:tcW w:type="dxa" w:w="1008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0.057***</w:t>
            </w:r>
          </w:p>
        </w:tc>
        <w:tc>
          <w:tcPr>
            <w:tcW w:type="dxa" w:w="1008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-0.021**</w:t>
            </w:r>
          </w:p>
        </w:tc>
        <w:tc>
          <w:tcPr>
            <w:tcW w:type="dxa" w:w="1008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0.104***</w:t>
            </w:r>
          </w:p>
        </w:tc>
        <w:tc>
          <w:tcPr>
            <w:tcW w:type="dxa" w:w="1008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-0.084***</w:t>
            </w:r>
          </w:p>
        </w:tc>
        <w:tc>
          <w:tcPr>
            <w:tcW w:type="dxa" w:w="1008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0.309***</w:t>
            </w:r>
          </w:p>
        </w:tc>
        <w:tc>
          <w:tcPr>
            <w:tcW w:type="dxa" w:w="1008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-0.091***</w:t>
            </w:r>
          </w:p>
        </w:tc>
        <w:tc>
          <w:tcPr>
            <w:tcW w:type="dxa" w:w="1008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-0.103***</w:t>
            </w:r>
          </w:p>
        </w:tc>
        <w:tc>
          <w:tcPr>
            <w:tcW w:type="dxa" w:w="1008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7"/>
              </w:rPr>
              <w:t>1.000</w:t>
            </w:r>
          </w:p>
        </w:tc>
      </w:tr>
    </w:tbl>
    <w:p>
      <w:pPr>
        <w:spacing w:after="80" w:line="276" w:lineRule="auto"/>
      </w:pPr>
      <w:r>
        <w:rPr>
          <w:rFonts w:ascii="Times New Roman" w:hAnsi="Times New Roman" w:eastAsia="標楷體"/>
          <w:b w:val="0"/>
          <w:i w:val="0"/>
          <w:sz w:val="24"/>
        </w:rPr>
        <w:t>註：*** p &lt; 0.01, ** p &lt; 0.05, * p &lt; 0.1（雙尾檢定）。括號內數字對應欄位序號。</w:t>
      </w: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rFonts w:ascii="Times New Roman" w:hAnsi="Times New Roman" w:eastAsia="標楷體"/>
          <w:b/>
          <w:i w:val="0"/>
          <w:sz w:val="32"/>
        </w:rPr>
        <w:t>三、完整 15 個研究變數 Pearson 相關係數矩陣表</w:t>
      </w:r>
    </w:p>
    <w:p>
      <w:pPr>
        <w:spacing w:before="200" w:after="80"/>
      </w:pPr>
      <w:r>
        <w:rPr>
          <w:rFonts w:ascii="Times New Roman" w:hAnsi="Times New Roman" w:eastAsia="標楷體"/>
          <w:b/>
          <w:i w:val="0"/>
          <w:sz w:val="24"/>
        </w:rPr>
        <w:t>附表 全樣本 15 個研究變數之雙邊 Pearson 相關係數矩陣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90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/>
                <w:i w:val="0"/>
                <w:sz w:val="16"/>
              </w:rPr>
              <w:t>變數</w:t>
            </w:r>
          </w:p>
        </w:tc>
        <w:tc>
          <w:tcPr>
            <w:tcW w:type="dxa" w:w="90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6"/>
              </w:rPr>
              <w:t>(1)</w:t>
            </w:r>
          </w:p>
        </w:tc>
        <w:tc>
          <w:tcPr>
            <w:tcW w:type="dxa" w:w="90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6"/>
              </w:rPr>
              <w:t>(2)</w:t>
            </w:r>
          </w:p>
        </w:tc>
        <w:tc>
          <w:tcPr>
            <w:tcW w:type="dxa" w:w="90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6"/>
              </w:rPr>
              <w:t>(3)</w:t>
            </w:r>
          </w:p>
        </w:tc>
        <w:tc>
          <w:tcPr>
            <w:tcW w:type="dxa" w:w="90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6"/>
              </w:rPr>
              <w:t>(4)</w:t>
            </w:r>
          </w:p>
        </w:tc>
        <w:tc>
          <w:tcPr>
            <w:tcW w:type="dxa" w:w="90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6"/>
              </w:rPr>
              <w:t>(5)</w:t>
            </w:r>
          </w:p>
        </w:tc>
        <w:tc>
          <w:tcPr>
            <w:tcW w:type="dxa" w:w="90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6"/>
              </w:rPr>
              <w:t>(6)</w:t>
            </w:r>
          </w:p>
        </w:tc>
        <w:tc>
          <w:tcPr>
            <w:tcW w:type="dxa" w:w="90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6"/>
              </w:rPr>
              <w:t>(7)</w:t>
            </w:r>
          </w:p>
        </w:tc>
        <w:tc>
          <w:tcPr>
            <w:tcW w:type="dxa" w:w="90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6"/>
              </w:rPr>
              <w:t>(8)</w:t>
            </w:r>
          </w:p>
        </w:tc>
        <w:tc>
          <w:tcPr>
            <w:tcW w:type="dxa" w:w="90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6"/>
              </w:rPr>
              <w:t>(9)</w:t>
            </w:r>
          </w:p>
        </w:tc>
        <w:tc>
          <w:tcPr>
            <w:tcW w:type="dxa" w:w="90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6"/>
              </w:rPr>
              <w:t>(10)</w:t>
            </w:r>
          </w:p>
        </w:tc>
        <w:tc>
          <w:tcPr>
            <w:tcW w:type="dxa" w:w="90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6"/>
              </w:rPr>
              <w:t>(11)</w:t>
            </w:r>
          </w:p>
        </w:tc>
        <w:tc>
          <w:tcPr>
            <w:tcW w:type="dxa" w:w="90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6"/>
              </w:rPr>
              <w:t>(12)</w:t>
            </w:r>
          </w:p>
        </w:tc>
        <w:tc>
          <w:tcPr>
            <w:tcW w:type="dxa" w:w="90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6"/>
              </w:rPr>
              <w:t>(13)</w:t>
            </w:r>
          </w:p>
        </w:tc>
        <w:tc>
          <w:tcPr>
            <w:tcW w:type="dxa" w:w="90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6"/>
              </w:rPr>
              <w:t>(14)</w:t>
            </w:r>
          </w:p>
        </w:tc>
        <w:tc>
          <w:tcPr>
            <w:tcW w:type="dxa" w:w="90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/>
                <w:i w:val="0"/>
                <w:sz w:val="16"/>
              </w:rPr>
              <w:t>(15)</w:t>
            </w:r>
          </w:p>
        </w:tc>
      </w:tr>
      <w:tr>
        <w:tc>
          <w:tcPr>
            <w:tcW w:type="dxa" w:w="90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(1) ΔLNSGA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1.000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</w:tr>
      <w:tr>
        <w:tc>
          <w:tcPr>
            <w:tcW w:type="dxa" w:w="90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(2) ΔLNREV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0.534***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1.000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</w:tr>
      <w:tr>
        <w:tc>
          <w:tcPr>
            <w:tcW w:type="dxa" w:w="90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(3) D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-0.404***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-0.635***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1.000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</w:tr>
      <w:tr>
        <w:tc>
          <w:tcPr>
            <w:tcW w:type="dxa" w:w="90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(4) 用水密集度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-0.037***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-0.024**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0.021**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1.000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</w:tr>
      <w:tr>
        <w:tc>
          <w:tcPr>
            <w:tcW w:type="dxa" w:w="90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(5) 廢棄物密集度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0.035**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0.061***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-0.005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0.074***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1.000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</w:tr>
      <w:tr>
        <w:tc>
          <w:tcPr>
            <w:tcW w:type="dxa" w:w="90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(6) 水回收率%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-0.040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-0.008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0.022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0.446***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0.270***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1.000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</w:tr>
      <w:tr>
        <w:tc>
          <w:tcPr>
            <w:tcW w:type="dxa" w:w="90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(7) 水揭露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0.010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0.008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-0.012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0.179***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0.064***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nan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1.000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</w:tr>
      <w:tr>
        <w:tc>
          <w:tcPr>
            <w:tcW w:type="dxa" w:w="90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(8) 廢棄物揭露度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0.032***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0.012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-0.012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0.037***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0.061***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0.058*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0.308***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1.000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</w:tr>
      <w:tr>
        <w:tc>
          <w:tcPr>
            <w:tcW w:type="dxa" w:w="90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(9) 廢棄物裁罰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-0.021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-0.017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0.030**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0.054***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0.023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-0.037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-0.060***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-0.058***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1.000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</w:tr>
      <w:tr>
        <w:tc>
          <w:tcPr>
            <w:tcW w:type="dxa" w:w="90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(10) Size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0.089***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0.075***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-0.085***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0.061***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0.069***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0.119***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0.352***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0.365***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-0.233***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1.000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</w:tr>
      <w:tr>
        <w:tc>
          <w:tcPr>
            <w:tcW w:type="dxa" w:w="90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(11) AI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-0.065***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-0.159***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0.081***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0.040***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0.070***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-0.021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-0.056***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-0.027***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-0.043***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-0.032***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1.000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</w:tr>
      <w:tr>
        <w:tc>
          <w:tcPr>
            <w:tcW w:type="dxa" w:w="90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(12) EI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-0.105***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-0.189***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0.102***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0.065***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-0.022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-0.089***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-0.088***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-0.112***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0.111***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-0.373***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0.571***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1.000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</w:tr>
      <w:tr>
        <w:tc>
          <w:tcPr>
            <w:tcW w:type="dxa" w:w="90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(13) ROA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0.151***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0.253***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-0.234***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-0.043***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-0.001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-0.017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0.037***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0.052***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-0.071***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0.183***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-0.196***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-0.271***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1.000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</w:tr>
      <w:tr>
        <w:tc>
          <w:tcPr>
            <w:tcW w:type="dxa" w:w="90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(14) Lev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0.037***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0.057***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-0.069***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-0.021**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0.104***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-0.084***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0.038***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0.041***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-0.066***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0.309***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-0.091***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-0.203***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-0.103***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1.000</w:t>
            </w:r>
          </w:p>
        </w:tc>
        <w:tc>
          <w:tcPr>
            <w:tcW w:type="dxa" w:w="90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</w:r>
          </w:p>
        </w:tc>
      </w:tr>
      <w:tr>
        <w:tc>
          <w:tcPr>
            <w:tcW w:type="dxa" w:w="900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(15) Decrease</w:t>
            </w:r>
          </w:p>
        </w:tc>
        <w:tc>
          <w:tcPr>
            <w:tcW w:type="dxa" w:w="900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-0.271***</w:t>
            </w:r>
          </w:p>
        </w:tc>
        <w:tc>
          <w:tcPr>
            <w:tcW w:type="dxa" w:w="900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-0.395***</w:t>
            </w:r>
          </w:p>
        </w:tc>
        <w:tc>
          <w:tcPr>
            <w:tcW w:type="dxa" w:w="900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0.603***</w:t>
            </w:r>
          </w:p>
        </w:tc>
        <w:tc>
          <w:tcPr>
            <w:tcW w:type="dxa" w:w="900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0.009</w:t>
            </w:r>
          </w:p>
        </w:tc>
        <w:tc>
          <w:tcPr>
            <w:tcW w:type="dxa" w:w="900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-0.001</w:t>
            </w:r>
          </w:p>
        </w:tc>
        <w:tc>
          <w:tcPr>
            <w:tcW w:type="dxa" w:w="900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0.001</w:t>
            </w:r>
          </w:p>
        </w:tc>
        <w:tc>
          <w:tcPr>
            <w:tcW w:type="dxa" w:w="900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-0.026***</w:t>
            </w:r>
          </w:p>
        </w:tc>
        <w:tc>
          <w:tcPr>
            <w:tcW w:type="dxa" w:w="900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-0.029***</w:t>
            </w:r>
          </w:p>
        </w:tc>
        <w:tc>
          <w:tcPr>
            <w:tcW w:type="dxa" w:w="900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0.054***</w:t>
            </w:r>
          </w:p>
        </w:tc>
        <w:tc>
          <w:tcPr>
            <w:tcW w:type="dxa" w:w="900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-0.111***</w:t>
            </w:r>
          </w:p>
        </w:tc>
        <w:tc>
          <w:tcPr>
            <w:tcW w:type="dxa" w:w="900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0.088***</w:t>
            </w:r>
          </w:p>
        </w:tc>
        <w:tc>
          <w:tcPr>
            <w:tcW w:type="dxa" w:w="900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0.132***</w:t>
            </w:r>
          </w:p>
        </w:tc>
        <w:tc>
          <w:tcPr>
            <w:tcW w:type="dxa" w:w="900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-0.218***</w:t>
            </w:r>
          </w:p>
        </w:tc>
        <w:tc>
          <w:tcPr>
            <w:tcW w:type="dxa" w:w="900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-0.071***</w:t>
            </w:r>
          </w:p>
        </w:tc>
        <w:tc>
          <w:tcPr>
            <w:tcW w:type="dxa" w:w="900"/>
            <w:tcBorders>
              <w:bottom w:val="single" w:sz="12" w:space="0" w:color="000000"/>
            </w:tcBorders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15"/>
              </w:rPr>
              <w:t>1.000</w:t>
            </w:r>
          </w:p>
        </w:tc>
      </w:tr>
    </w:tbl>
    <w:p>
      <w:pPr>
        <w:spacing w:after="80" w:line="276" w:lineRule="auto"/>
      </w:pPr>
      <w:r>
        <w:rPr>
          <w:rFonts w:ascii="Times New Roman" w:hAnsi="Times New Roman" w:eastAsia="標楷體"/>
          <w:b w:val="0"/>
          <w:i w:val="0"/>
          <w:sz w:val="24"/>
        </w:rPr>
        <w:t>註：*** p &lt; 0.01, ** p &lt; 0.05, * p &lt; 0.1。水揭露在水回收率子樣本中皆為1，故無變異而不適用（以—表示）。</w:t>
      </w:r>
    </w:p>
    <w:p>
      <w:pPr>
        <w:sectPr>
          <w:pgSz w:w="15840" w:h="12240" w:orient="landscape"/>
          <w:pgMar w:top="1080" w:right="720" w:bottom="1080" w:left="72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rFonts w:ascii="Times New Roman" w:hAnsi="Times New Roman" w:eastAsia="標楷體"/>
          <w:b/>
          <w:i w:val="0"/>
          <w:sz w:val="32"/>
        </w:rPr>
        <w:t>四、相關係數分析與共線性評估說明</w:t>
      </w:r>
    </w:p>
    <w:p>
      <w:pPr>
        <w:spacing w:after="80" w:line="276" w:lineRule="auto"/>
      </w:pPr>
      <w:r>
        <w:rPr>
          <w:rFonts w:ascii="Times New Roman" w:hAnsi="Times New Roman" w:eastAsia="標楷體"/>
          <w:b w:val="0"/>
          <w:i w:val="0"/>
          <w:sz w:val="24"/>
        </w:rPr>
        <w:t>1. 成本與營收變動相關性：</w:t>
      </w:r>
    </w:p>
    <w:p>
      <w:pPr>
        <w:spacing w:after="80" w:line="276" w:lineRule="auto"/>
      </w:pPr>
      <w:r>
        <w:rPr>
          <w:rFonts w:ascii="Times New Roman" w:hAnsi="Times New Roman" w:eastAsia="標楷體"/>
          <w:b w:val="0"/>
          <w:i w:val="0"/>
          <w:sz w:val="24"/>
        </w:rPr>
        <w:t xml:space="preserve">   營業費用變動率 (ΔLNSGA) 與營業收入變動率 (ΔLNREV) 呈現極顯顯著的正相關 (r = 0.534, p &lt; 0.01)，說明營業費用高度隨營收同向變動，符合成本行為學說之基本前提。營收下降虛擬變數 (D) 與 ΔLNREV 呈極顯著負相關 (r = -0.635, p &lt; 0.01)，反映營收衰退時變動率為負之定義關聯。</w:t>
      </w:r>
    </w:p>
    <w:p>
      <w:pPr>
        <w:spacing w:after="80" w:line="276" w:lineRule="auto"/>
      </w:pPr>
      <w:r>
        <w:rPr>
          <w:rFonts w:ascii="Times New Roman" w:hAnsi="Times New Roman" w:eastAsia="標楷體"/>
          <w:b w:val="0"/>
          <w:i w:val="0"/>
          <w:sz w:val="24"/>
        </w:rPr>
        <w:t>2. 環境管理指標特徵：</w:t>
      </w:r>
    </w:p>
    <w:p>
      <w:pPr>
        <w:spacing w:after="80" w:line="276" w:lineRule="auto"/>
      </w:pPr>
      <w:r>
        <w:rPr>
          <w:rFonts w:ascii="Times New Roman" w:hAnsi="Times New Roman" w:eastAsia="標楷體"/>
          <w:b w:val="0"/>
          <w:i w:val="0"/>
          <w:sz w:val="24"/>
        </w:rPr>
        <w:t xml:space="preserve">   核心環境變數中，用水密集度與廢棄物密集度呈顯著正相關 (r = 0.074, p &lt; 0.01)，顯示高用水需求之製造業往往亦伴隨較高之廢棄物產出。企業規模 (Size) 與水揭露 (r = 0.352, p &lt; 0.01) 及廢棄物揭露度 (r = 0.365, p &lt; 0.01) 皆呈顯著正相關，印證規模較大之企業具備更充沛之資源投入 ESG 資訊揭露。</w:t>
      </w:r>
    </w:p>
    <w:p>
      <w:pPr>
        <w:spacing w:after="80" w:line="276" w:lineRule="auto"/>
      </w:pPr>
      <w:r>
        <w:rPr>
          <w:rFonts w:ascii="Times New Roman" w:hAnsi="Times New Roman" w:eastAsia="標楷體"/>
          <w:b w:val="0"/>
          <w:i w:val="0"/>
          <w:sz w:val="24"/>
        </w:rPr>
        <w:t>3. 多元共線性 (Multicollinearity) 評估：</w:t>
      </w:r>
    </w:p>
    <w:p>
      <w:pPr>
        <w:spacing w:after="80" w:line="276" w:lineRule="auto"/>
      </w:pPr>
      <w:r>
        <w:rPr>
          <w:rFonts w:ascii="Times New Roman" w:hAnsi="Times New Roman" w:eastAsia="標楷體"/>
          <w:b w:val="0"/>
          <w:i w:val="0"/>
          <w:sz w:val="24"/>
        </w:rPr>
        <w:t xml:space="preserve">   在迴歸分析中，若自變數間相關係數絕對值超過 0.70，可能引發多元共線性問題，導致迴歸係數估計不穩定。觀察表4-2與附表，除具邏輯關聯之虛擬變數外，主要自變數與控制變數間之相關係數絕大多數均低於 0.40；其中相關性最高者為資產密集度 (AI) 與員工密集度 (EI) 之 0.571，仍遠低於 0.70 之警告門檻。此結果證實本研究模型在估計 OLS 迴歸時，不存在嚴重之多元共線性問題。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