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新細明體"/>
          <w:b/>
          <w:sz w:val="32"/>
        </w:rPr>
        <w:t>國立中山大學財務管理學系碩士論文</w:t>
        <w:br/>
        <w:t>Master’s Thesis</w:t>
        <w:br/>
        <w:t>Department of Finance</w:t>
        <w:br/>
        <w:t>National Sun Yat-sen University</w:t>
        <w:br/>
        <w:br/>
        <w:t>企業水資源管理與廢棄物處理對成本黏性之影響</w:t>
        <w:br/>
        <w:t>Water Resource Management, Waste Treatment, and Corporate Cost Stickiness</w:t>
      </w:r>
    </w:p>
    <w:p/>
    <w:p>
      <w:pPr>
        <w:jc w:val="center"/>
      </w:pPr>
      <w:r>
        <w:rPr>
          <w:rFonts w:ascii="Times New Roman" w:hAnsi="Times New Roman" w:eastAsia="新細明體"/>
          <w:sz w:val="24"/>
        </w:rPr>
        <w:t>研究生：研究團隊</w:t>
        <w:br/>
        <w:t>指導教授：封之遠 博士</w:t>
        <w:br/>
        <w:t>中華民國115年6月</w:t>
        <w:br/>
        <w:t>June 2026</w:t>
      </w:r>
    </w:p>
    <w:p/>
    <w:p>
      <w:pPr>
        <w:pStyle w:val="Heading1"/>
      </w:pPr>
      <w:r>
        <w:rPr>
          <w:rFonts w:ascii="Times New Roman" w:hAnsi="Times New Roman" w:eastAsia="新細明體"/>
        </w:rPr>
        <w:t>中文摘要</w:t>
      </w:r>
    </w:p>
    <w:p>
      <w:pPr>
        <w:spacing w:line="360" w:lineRule="auto"/>
        <w:ind w:firstLine="480"/>
      </w:pPr>
      <w:r>
        <w:rPr>
          <w:rFonts w:ascii="Times New Roman" w:hAnsi="Times New Roman" w:eastAsia="新細明體"/>
          <w:b w:val="0"/>
          <w:sz w:val="24"/>
        </w:rPr>
        <w:t>本研究探討企業水資源管理與廢棄物處理等環境資源使用密集度，是否影響管理者之資源調整決策並改變成本黏性（cost stickiness）。全球極端氣候與水資源短缺風險顯著增加，台灣製造業高度集中且對水電與環境法遵具極高依賴性。本研究以「環境使用密集度」為核心，採 Anderson, Banker and Janakiraman (2003) 之成本黏性模型，以 2014 至 2024 年台灣上市櫃製造業（排除金融保險業）為研究對象，分析用水密集度（WATER_INTENSITY）、廢棄物密集度（WASTE_INTENSITY）、水回收率（WATER_RATE）、水揭露（WATER_DISC）、廢棄物揭露（WASTE_DISC）與環境違規裁罰金額（WASTE_FINE）對營業費用非對稱性調整之影響。在控制企業規模、資產與員工密集度、獲利能力與財務槓桿並納入產業及年份固定效果後，實證結果顯示：台灣上市櫃製造業整體存在顯著之成本黏性（β2 顯著為負）。在環境變數調節效果方面，實質資源使用密集度（用水密集度與廢棄物密集度）於高污染產業及遞延期間表現出顯著之加劇成本黏性效果，證實專用性環境資產與剛性法遵支出於營收衰退時形成強烈之向下調整阻力；相對地，資訊揭露效果則於部分設定下呈現緩解成本黏性之趨勢。本研究深化了環境會計與成本行為領域之結合，並為企業營運韌性與主管機關環境資訊揭露政策提供重要之實務參考。</w:t>
      </w:r>
    </w:p>
    <w:p>
      <w:pPr>
        <w:spacing w:line="360" w:lineRule="auto"/>
        <w:ind w:firstLine="480"/>
      </w:pPr>
      <w:r>
        <w:rPr>
          <w:rFonts w:ascii="Times New Roman" w:hAnsi="Times New Roman" w:eastAsia="新細明體"/>
          <w:b w:val="0"/>
          <w:sz w:val="24"/>
        </w:rPr>
        <w:t>關鍵詞：水資源管理、廢棄物密集度、成本黏性、環境使用密集度、資訊揭露、調整成本理論</w:t>
      </w:r>
    </w:p>
    <w:p>
      <w:pPr>
        <w:pStyle w:val="Heading1"/>
      </w:pPr>
      <w:r>
        <w:rPr>
          <w:rFonts w:ascii="Times New Roman" w:hAnsi="Times New Roman" w:eastAsia="新細明體"/>
        </w:rPr>
        <w:t>Abstract</w:t>
      </w:r>
    </w:p>
    <w:p>
      <w:pPr>
        <w:spacing w:line="360" w:lineRule="auto"/>
        <w:ind w:firstLine="480"/>
      </w:pPr>
      <w:r>
        <w:rPr>
          <w:rFonts w:ascii="Times New Roman" w:hAnsi="Times New Roman" w:eastAsia="新細明體"/>
          <w:b w:val="0"/>
          <w:sz w:val="24"/>
        </w:rPr>
        <w:t>This study investigates whether corporate water resource management and waste management practices affect managers' resource adjustment decisions and alter corporate cost stickiness. As climate change and extreme weather events intensify globally, water supply risks and environmental compliance costs have shifted from peripheral CSR topics to central operational concerns. Focusing on Taiwanese listed manufacturing firms from 2014 to 2024, this paper adopts the classic Anderson, Banker, and Janakiraman (2003) cost stickiness framework to evaluate the impact of environmental resource use intensity—including water intensity, waste intensity, water recycling rate, water disclosure, waste disclosure, and environmental violation fine amounts—on the asymmetric behavior of selling, general, and administrative (SG&amp;A) expenses. Controlling for firm size, asset intensity, employee intensity, profitability, financial leverage, and industry and year fixed effects with firm-clustered robust standard errors, empirical results confirm significant overall cost stickiness across Taiwanese manufacturing companies. Furthermore, physical resource use intensity exhibits a significant stickiness-enhancing effect in high-pollution industries and lagged periods, supporting the adjustment cost perspective that asset-specific environmental investments and mandatory compliance contracts create downside adjustment rigidities when demand declines. Conversely, environmental disclosure measures show weak stickiness-mitigating effects under specific specifications. These empirical findings advance the literature combining environmental management and managerial accounting, offering critical policy and managerial insights into supply chain resilience and environmental reporting.</w:t>
      </w:r>
    </w:p>
    <w:p>
      <w:pPr>
        <w:spacing w:line="360" w:lineRule="auto"/>
        <w:ind w:firstLine="480"/>
      </w:pPr>
      <w:r>
        <w:rPr>
          <w:rFonts w:ascii="Times New Roman" w:hAnsi="Times New Roman" w:eastAsia="新細明體"/>
          <w:b w:val="0"/>
          <w:sz w:val="24"/>
        </w:rPr>
        <w:t>Keywords: Water Resource Management, Waste Intensity, Cost Stickiness, Environmental Resource Intensity, Information Disclosure, Adjustment Cost Theory</w:t>
      </w:r>
    </w:p>
    <w:p>
      <w:pPr>
        <w:pStyle w:val="Heading1"/>
      </w:pPr>
      <w:r>
        <w:rPr>
          <w:rFonts w:ascii="Times New Roman" w:hAnsi="Times New Roman" w:eastAsia="新細明體"/>
        </w:rPr>
        <w:t>目錄</w:t>
      </w:r>
    </w:p>
    <w:p>
      <w:pPr>
        <w:spacing w:line="360" w:lineRule="auto"/>
        <w:ind w:firstLine="480"/>
      </w:pPr>
      <w:r>
        <w:rPr>
          <w:rFonts w:ascii="Times New Roman" w:hAnsi="Times New Roman" w:eastAsia="新細明體"/>
          <w:b w:val="0"/>
          <w:sz w:val="24"/>
        </w:rPr>
        <w:t>（目錄頁與表次圖次略，由 Word 自動生成格式對齊）</w:t>
      </w:r>
    </w:p>
    <w:p>
      <w:pPr>
        <w:pStyle w:val="Heading1"/>
      </w:pPr>
      <w:r>
        <w:rPr>
          <w:rFonts w:ascii="Times New Roman" w:hAnsi="Times New Roman" w:eastAsia="新細明體"/>
        </w:rPr>
        <w:t>第一章 緒論</w:t>
      </w:r>
    </w:p>
    <w:p>
      <w:pPr>
        <w:pStyle w:val="Heading2"/>
      </w:pPr>
      <w:r>
        <w:rPr>
          <w:rFonts w:ascii="Times New Roman" w:hAnsi="Times New Roman" w:eastAsia="新細明體"/>
        </w:rPr>
        <w:t>第一節 研究背景與動機</w:t>
      </w:r>
    </w:p>
    <w:p>
      <w:pPr>
        <w:spacing w:line="360" w:lineRule="auto"/>
        <w:ind w:firstLine="480"/>
      </w:pPr>
      <w:r>
        <w:rPr>
          <w:rFonts w:ascii="Times New Roman" w:hAnsi="Times New Roman" w:eastAsia="新細明體"/>
          <w:b w:val="0"/>
          <w:sz w:val="24"/>
        </w:rPr>
        <w:t>全球暖化的情勢逐漸加劇，世界各地氣溫屢屢突破歷史紀錄，極端氣候事件頻繁發生，氣候風險與環境資源約束儼然成為企業永續經營無法忽視的核心挑戰。在氣候變遷與淨零轉型的雙重推力下，水資源供給的穩定性與廢棄物處理的合規性，已從企業社會責任（CSR）的宣示性範疇，實質轉變為影響企業成本結構、營運中斷風險與資本配置的重要變數。台灣作為海島型高科技製造業樞紐，半導體、光電面板、化學材料、鋼鐵與紡織等支柱產業普遍具備高取水、高廢水排放與高廢棄物產出的特性；2021 年台灣面臨百年大旱，中部與南部科學園區一度採取限水與運水措施，凸顯出水資源與環境資源的供給剛性對企業營運存續的極致重要性。[1][4]</w:t>
      </w:r>
    </w:p>
    <w:p>
      <w:pPr>
        <w:spacing w:line="360" w:lineRule="auto"/>
        <w:ind w:firstLine="480"/>
      </w:pPr>
      <w:r>
        <w:rPr>
          <w:rFonts w:ascii="Times New Roman" w:hAnsi="Times New Roman" w:eastAsia="新細明體"/>
          <w:b w:val="0"/>
          <w:sz w:val="24"/>
        </w:rPr>
        <w:t>溫室氣體排放與環境資源耗費是導致全球環境惡化的重要因子。企業在生產經營過程中大量使用水資源並產生固體及液體廢棄物，主管機關與國際供應鏈（如 Apple、TSMC 永續供應鏈）對此陸續實施加嚴規範。例如，台灣金管會自 2023 年起要求上市櫃公司分階段編製永續報告書，加強揭露水資源耗用與廢棄物管理資訊，環境保護署（現環境部）亦加重環境違規裁罰力度。這些制度演變使得企業在節水設施、水循環再利用、廢棄物專用清運合約以及環境法遵上的支出大幅增加。當環境相關投入成為營運成本結構中不可或缺的剛性組成部分時，其如何在企業面對景氣波動與營收衰退時影響管理者的成本調整行為，極具學術探討價值。[13]</w:t>
      </w:r>
    </w:p>
    <w:p>
      <w:pPr>
        <w:spacing w:line="360" w:lineRule="auto"/>
        <w:ind w:firstLine="480"/>
      </w:pPr>
      <w:r>
        <w:rPr>
          <w:rFonts w:ascii="Times New Roman" w:hAnsi="Times New Roman" w:eastAsia="新細明體"/>
          <w:b w:val="0"/>
          <w:sz w:val="24"/>
        </w:rPr>
        <w:t>企業成本如何隨銷售收入變動而調整，是管理會計與財務學界長期關注的靈魂課題。Anderson, Banker and Janakiraman (2003) 提出成本僵固性（cost stickiness，亦稱成本黏性）概念，指出當銷售收入上升時費用增加的幅度，顯著大於銷售收入等幅下降時費用減少的幅度，呈現非對稱的調整模式。ABJ 模型將此現象歸因於管理者的「資源調整決策」與「調整成本（adjustment costs）」：當營收下滑時，若處分設備、解僱專門技術人員或終止專用長期合約的成本過高，或管理者預期營收衰退僅屬暫時，便傾向於保留閒置資源，從而形成成本黏性。既有文獻已廣泛驗證公司治理、代理問題、財務狀況與總體經濟對成本黏性的影響，但鮮有研究將眼光聚焦於水資源與廢棄物等實質環境使用密集度。[1]</w:t>
      </w:r>
    </w:p>
    <w:p>
      <w:pPr>
        <w:spacing w:line="360" w:lineRule="auto"/>
        <w:ind w:firstLine="480"/>
      </w:pPr>
      <w:r>
        <w:rPr>
          <w:rFonts w:ascii="Times New Roman" w:hAnsi="Times New Roman" w:eastAsia="新細明體"/>
          <w:b w:val="0"/>
          <w:sz w:val="24"/>
        </w:rPr>
        <w:t>環境資源的投入具備極高的專用性、資本密集度與不可逆特徵。企業為了符合環保法規或提升 ESG 績效，往往需要建置專用廢水處理廠、水回收再利用設備與廢棄物儲存設施，並簽訂長期委外清運處置合約。這類與產能與環境法遵高度綁定的支出，在企業營收下滑時極難在短期內即時裁撤或縮減。從調整成本理論視角看，高環境使用密集度的企業在營收下降時面臨更高的資源裁撤阻力，理論上將顯著推升成本黏性。然而另一方面，高品質的環境資訊揭露被認為能提高資訊透明度、降低代理成本並矯正管理者的過度樂觀預期（Jiang and Yang, 2024），可能反向促進閒置資源的及時清理而緩解成本黏性。因此，環境因素對成本行為的作用存在「實質投入加劇」與「資訊揭露緩解」雙重機制的競爭。[2][3]</w:t>
      </w:r>
    </w:p>
    <w:p>
      <w:pPr>
        <w:spacing w:line="360" w:lineRule="auto"/>
        <w:ind w:firstLine="480"/>
      </w:pPr>
      <w:r>
        <w:rPr>
          <w:rFonts w:ascii="Times New Roman" w:hAnsi="Times New Roman" w:eastAsia="新細明體"/>
          <w:b w:val="0"/>
          <w:sz w:val="24"/>
        </w:rPr>
        <w:t>然而，回顧國內外將環境或 ESG 因素連結至成本行為的既有文獻，多數研究僅採用整體 ESG 綜合評分或單純的揭露有無（如李依潔, 2024；辛珏辰, 2025；鄭紹君, 2018），較少深入「水資源」與「廢棄物」這類可精確量化的實質環境資源構面。此外，過往研究常以「水回收率」或「違規裁罰次數」作為代理變數，前者的揭露樣本極度稀少且變異有限，後者易受單一極端值干擾。本研究主張，真正能精確反映企業營運與環境資源綁定程度與專用調整成本的，是企業對環境資源的「使用密集度」——即每單位營收所耗用的水資源量與產生的廢棄物量。用水密集度具有極高之樣本涵蓋度與統計檢定力，能提供更貼近調整成本本質的實證證據。[43][45][47][55]</w:t>
      </w:r>
    </w:p>
    <w:p>
      <w:pPr>
        <w:spacing w:line="360" w:lineRule="auto"/>
        <w:ind w:firstLine="480"/>
      </w:pPr>
      <w:r>
        <w:rPr>
          <w:rFonts w:ascii="Times New Roman" w:hAnsi="Times New Roman" w:eastAsia="新細明體"/>
          <w:b w:val="0"/>
          <w:sz w:val="24"/>
        </w:rPr>
        <w:t>為填補上述文獻缺口，本研究利用台灣經濟新報（TEJ）資料庫，收集 2014 至 2024 年台灣上市櫃製造業公司面板資料，結合財務數據、TESG 企業用水量、GRI 永續揭露與環境裁處紀錄。本研究採 ABJ 成本黏性模型，將用水密集度、廢棄物密集度、水回收率、水揭露、廢棄物揭露與裁罰金額分別與收入下降虛擬變數進行三重交乘，並控制產業與年份固定效果及公司層級叢集標準誤；同時，本研究進一步檢視時間落差（遞延一至兩期）與高/低污染產業異質性，完整釐清環境使用密集度對成本黏性的影響機制及其適用條件。[17][23]</w:t>
      </w:r>
    </w:p>
    <w:p>
      <w:pPr>
        <w:spacing w:line="360" w:lineRule="auto"/>
        <w:ind w:firstLine="480"/>
      </w:pPr>
      <w:r>
        <w:rPr>
          <w:rFonts w:ascii="Times New Roman" w:hAnsi="Times New Roman" w:eastAsia="新細明體"/>
          <w:b w:val="0"/>
          <w:sz w:val="24"/>
        </w:rPr>
        <w:t>台灣製造業在全球電子與半導體供應鏈中佔據樞紐地位，其生產運作高度仰賴穩定且低風險的環境資源供給，同時面對國際大廠規範與國內主管機關日益嚴格的法遵監管。近年來缺水危機促使高耗水產業加速水循環設施投資，廢棄物資源循環清理法規亦要求企業建立長期廢棄物處置機制。這些制度環境意味著企業在水與廢棄物上的投入具有高度剛性，一旦投入便無法隨營收波動彈性調降。因此，台灣製造業提供了檢驗環境使用密集度如何形塑企業成本調整行為的最佳實證場域。</w:t>
      </w:r>
    </w:p>
    <w:p>
      <w:pPr>
        <w:pStyle w:val="Heading2"/>
      </w:pPr>
      <w:r>
        <w:rPr>
          <w:rFonts w:ascii="Times New Roman" w:hAnsi="Times New Roman" w:eastAsia="新細明體"/>
        </w:rPr>
        <w:t>第二節 研究目的與研究問題</w:t>
      </w:r>
    </w:p>
    <w:p>
      <w:pPr>
        <w:spacing w:line="360" w:lineRule="auto"/>
        <w:ind w:firstLine="480"/>
      </w:pPr>
      <w:r>
        <w:rPr>
          <w:rFonts w:ascii="Times New Roman" w:hAnsi="Times New Roman" w:eastAsia="新細明體"/>
          <w:b w:val="0"/>
          <w:sz w:val="24"/>
        </w:rPr>
        <w:t>本研究旨在達成四大具體目的：第一，建立以「環境使用密集度」為核心的成本黏性分析架構，驗證用水密集度與廢棄物密集度是否因專用調整成本而加劇企業成本黏性。第二，比較「實質資源使用密集度」與「資訊揭露透明度」兩大機制對成本黏性影響的差異，辨識何者占據主導地位。第三，考量環境設施建造與處置合約的效益與僵固性需要時間發酵，檢驗當期與時間落差（t-1、t-2）的遞延效果。第四，鑑於台灣製造業不同次產業（如半導體/石化 vs 組裝/紡織）之環境依賴度極具異質性，比較高污染與低污染產業的反應差異，以辨識效果發揮的情境邊界。</w:t>
      </w:r>
    </w:p>
    <w:p>
      <w:pPr>
        <w:spacing w:line="360" w:lineRule="auto"/>
        <w:ind w:firstLine="480"/>
      </w:pPr>
      <w:r>
        <w:rPr>
          <w:rFonts w:ascii="Times New Roman" w:hAnsi="Times New Roman" w:eastAsia="新細明體"/>
          <w:b w:val="0"/>
          <w:sz w:val="24"/>
        </w:rPr>
        <w:t>據此，本研究提出三個核心研究問題：問題一：在控制公司特徵與固定效果後，企業之用水密集度與廢棄物密集度是否於營收下降時顯著加劇成本黏性？問題二：此種環境資源造成的成本黏性加劇效果，是否集中於高耗水與高污染產業，並隨時間展現遞延效應？問題三：相較於實質使用密集度，環境資訊揭露與違規裁罰金額是否能有效緩解成本黏性？透過解答上述問題，本研究期能補充國內管理會計與環境財務領域的實證缺口，並為企業資源配置與政策制定提供堅實的依據。</w:t>
      </w:r>
    </w:p>
    <w:p>
      <w:pPr>
        <w:pStyle w:val="Heading1"/>
      </w:pPr>
      <w:r>
        <w:rPr>
          <w:rFonts w:ascii="Times New Roman" w:hAnsi="Times New Roman" w:eastAsia="新細明體"/>
        </w:rPr>
        <w:t>第二章 文獻探討與研究假說</w:t>
      </w:r>
    </w:p>
    <w:p>
      <w:pPr>
        <w:pStyle w:val="Heading2"/>
      </w:pPr>
      <w:r>
        <w:rPr>
          <w:rFonts w:ascii="Times New Roman" w:hAnsi="Times New Roman" w:eastAsia="新細明體"/>
        </w:rPr>
        <w:t>第一節 文獻回顧</w:t>
      </w:r>
    </w:p>
    <w:p>
      <w:pPr>
        <w:spacing w:line="360" w:lineRule="auto"/>
        <w:ind w:firstLine="480"/>
      </w:pPr>
      <w:r>
        <w:rPr>
          <w:rFonts w:ascii="Times New Roman" w:hAnsi="Times New Roman" w:eastAsia="新細明體"/>
          <w:b w:val="0"/>
          <w:sz w:val="24"/>
        </w:rPr>
        <w:t>（一）成本僵固性理論與決定因素。成本僵固性（cost stickiness）理論源自 Anderson, Banker and Janakiraman (2003) 的開創性研究，ABJ 以美國上市公司 20 年的銷管費用（SG&amp;A）數據實證發現，當銷售收入增加 1% 時，SG&amp;A 增加 0.55%；但當銷售收入減少 1% 時，SG&amp;A 僅減少 0.35%，證實費用調整存在非對稱性。ABJ 指出，管理者在營收下滑時面對兩難決策：若裁撤資源（解僱員工、處分資產、終止專用合約），必須支付高昂的下行調整成本（downward adjustment costs）；若未來需求復甦，重新招聘與購入資產又需支付上行調整成本（upward adjustment costs）。因此，若下行調整成本高昂或管理者抱持樂觀預期，便會選擇保留閒置資源，形成成本黏性。國內會計學界對此進行了豐富延伸：張凱瑜 (2025) 發現成本僵固性與企業特有風險呈顯著正相關；王惠洳 (2025) 指出獨立董事連結關係能提供監督效果進而影響成本僵固性；陳思婷 (2025) 證實移轉訂價操弄會加劇代理問題並提高成本僵固性；張宸杰 (2023) 與顏宥盈 (2024) 分別驗證內部控制健全度與內外部監督機制對成本黏性的抑制作用；謝雅筑 (2024) 則探討飛行員 CEO 特質對費用調整的影響。上述文獻共同確立了 ABJ 框架在台灣市場的適用性。[1][40][41][42][49][50][52]</w:t>
      </w:r>
    </w:p>
    <w:p>
      <w:pPr>
        <w:spacing w:line="360" w:lineRule="auto"/>
        <w:ind w:firstLine="480"/>
      </w:pPr>
      <w:r>
        <w:rPr>
          <w:rFonts w:ascii="Times New Roman" w:hAnsi="Times New Roman" w:eastAsia="新細明體"/>
          <w:b w:val="0"/>
          <w:sz w:val="24"/>
        </w:rPr>
        <w:t>（二）環境、ESG 投入與成本行為。隨著永續發展議題興起，學者開始探討 ESG 與環境因素對企業成本行為的衝擊。Zeng, Peng and Chan (2024) 以中國低碳城市試點政策為外生衝擊，發現環境政策壓力會驅使企業進行綠色創新與專用性資本投入，因融資限制與調整成本提高而顯著加劇成本僵固性。Jiang and Yang (2024) 則從供應鏈資訊視角指出，客戶端良好的 ESG 資訊揭露能降低資訊不對稱，矯正供應商管理者的過度樂觀預期，從而緩解供應商的成本僵固性。國內研究方面，鄭紹君 (2018) 探討 CSR 活動與成本僵固性的關聯；李依潔 (2024) 以台灣上市櫃公司為樣本，發現企業 ESG 環境構面績效越高，成本僵固性越大，支持了環境專用投入增加調整成本的觀點；辛珏辰 (2025) 則加入 COVID-19 疫情衝擊，檢視 ESG 活動在外部大地震時對成本黏性的調節效果。然而，這些研究主要使用綜合 ESG 分數，未能區分水資源與廢棄物等具體資源使用。[2][3][43][47][55]</w:t>
      </w:r>
    </w:p>
    <w:p>
      <w:pPr>
        <w:spacing w:line="360" w:lineRule="auto"/>
        <w:ind w:firstLine="480"/>
      </w:pPr>
      <w:r>
        <w:rPr>
          <w:rFonts w:ascii="Times New Roman" w:hAnsi="Times New Roman" w:eastAsia="新細明體"/>
          <w:b w:val="0"/>
          <w:sz w:val="24"/>
        </w:rPr>
        <w:t>（三）水資源管理績效與揭露。水資源是製造業生產的生命線，陳樸 (2024) 針對台灣上市食品公司建立水資源永續績效評量模型，強調不同產業水資源依賴度與節水專用設備的差異。魏郁芳 (2025) 探討企業內部因素與外部規管壓力對水資源揭露行為的影響，指出高耗水產業面對更強的法遵與社會責任壓力。在國際文獻中，Addoum et al. (2020, 2023) 證實極端氣溫與氣候風險會實質干擾企業營運效率與盈利能力；Pankratz et al. (2023) 指出實體氣候風險會衝擊企業供應鏈與資產利用率；Sautner et al. (2023) 則建立企業層級氣候風險暴露指標，證實環境風險會顯著影響融資成本與資本支出決策。然而，水資源管理（如水回收率與用水密集度）如何轉化為管理會計層面的費用調整剛性，目前仍鮮有直接驗證。[4][23][45][48]</w:t>
      </w:r>
    </w:p>
    <w:p>
      <w:pPr>
        <w:spacing w:line="360" w:lineRule="auto"/>
        <w:ind w:firstLine="480"/>
      </w:pPr>
      <w:r>
        <w:rPr>
          <w:rFonts w:ascii="Times New Roman" w:hAnsi="Times New Roman" w:eastAsia="新細明體"/>
          <w:b w:val="0"/>
          <w:sz w:val="24"/>
        </w:rPr>
        <w:t>（四）廢棄物管理、違規裁罰與法遵成本。廢棄物處置屬於製造業另一個高度剛性的環境構面。鍾文淇 (2025) 研究一般廢棄物回收與處理成效，反映廢棄物處理受嚴格制度法規範制。企業在生產過程產生的有害及一般事業廢棄物，必須委託合格清運業者並簽訂長期合約，或建置自有焚化與廢棄物處理設施。環境法規對違規處置設有高額罰鍰與勒令停工等嚴厲處罰，使企業環境違規裁罰金額（WASTE_FINE）成為強制性法遵成本的代理變數。相較於過往僅計算違規次數，TEJ 提供之裁罰金額能精確衡量法遵衝擊的經濟強度。此外，Hsu et al. (2023) 提出「污染溢價（pollution premium）」概念，證實高污染企業面對更高的環境規管與資本成本壓力，驅使企業投入剛性治理資源。[17][46]</w:t>
      </w:r>
    </w:p>
    <w:p>
      <w:pPr>
        <w:spacing w:line="360" w:lineRule="auto"/>
        <w:ind w:firstLine="480"/>
      </w:pPr>
      <w:r>
        <w:rPr>
          <w:rFonts w:ascii="Times New Roman" w:hAnsi="Times New Roman" w:eastAsia="新細明體"/>
          <w:b w:val="0"/>
          <w:sz w:val="24"/>
        </w:rPr>
        <w:t>（五）供應鏈機制與研究缺口。在供應鏈與外部關係方面，劉佳熒 (2022) 檢視供應鏈關係對供應商成本行為的影響，證實外部客戶集中度與關係專用性資產會加劇費用黏性，此觀點與 Jiang and Yang (2024) 相互呼應。綜合上述回顧，既有文獻雖然分別探討了成本黏性決定因素與環境 ESG 的財務結果，但存在三大顯著缺口：其一，缺乏以「水資源與廢棄物實質使用密集度」為核心的研究；其二，未將實質投入機制與資訊揭露機制放置於同一框架下比較；其三，忽視了環境投入效果的時間落差（t-1, t-2）與高/低污染產業異質性。此即本研究之切入點。[3][53]</w:t>
      </w:r>
    </w:p>
    <w:p>
      <w:pPr>
        <w:spacing w:line="360" w:lineRule="auto"/>
        <w:ind w:firstLine="480"/>
      </w:pPr>
      <w:r>
        <w:rPr>
          <w:rFonts w:ascii="Times New Roman" w:hAnsi="Times New Roman" w:eastAsia="新細明體"/>
          <w:b w:val="0"/>
          <w:sz w:val="24"/>
        </w:rPr>
        <w:t>（六）理論整合與研究定位。綜合調整成本理論與資訊監督理論，環境因素對成本黏性的影響可歸納為雙路徑模型：第一路徑為「調整成本/實質投入路徑」，企業水資源與廢棄物使用密集度越高，代表其生產流程與專用環保設施、長期處置合約綁定越深，當營收衰退時，這些費用無法隨之縮減，故加劇成本黏性；第二路徑為「資訊透明度/監督路徑」，主動揭露水資源與廢棄物資訊能提高監督效力、降低代理成本，緩解成本黏性。本研究同時納入這兩條路徑，並透過產業異質性與時間落差檢定，精確定位台灣製造業環境資源管理的成本行為特徵。</w:t>
      </w:r>
    </w:p>
    <w:p>
      <w:pPr>
        <w:pStyle w:val="Heading2"/>
      </w:pPr>
      <w:r>
        <w:rPr>
          <w:rFonts w:ascii="Times New Roman" w:hAnsi="Times New Roman" w:eastAsia="新細明體"/>
        </w:rPr>
        <w:t>第二節 研究假說推論</w:t>
      </w:r>
    </w:p>
    <w:p>
      <w:pPr>
        <w:spacing w:line="360" w:lineRule="auto"/>
        <w:ind w:firstLine="480"/>
      </w:pPr>
      <w:r>
        <w:rPr>
          <w:rFonts w:ascii="Times New Roman" w:hAnsi="Times New Roman" w:eastAsia="新細明體"/>
          <w:b w:val="0"/>
          <w:sz w:val="24"/>
        </w:rPr>
        <w:t>（一）水回收率與成本黏性（H1）。提升水回收率（WATER_RATE）需要企業投入高額的資本支出建置中水回收系統、膜過濾設施與廢水再利用管道，並配置專業環境工程人員。這類專用性資產與運轉費用屬於長期固定承諾，在銷售收入下降時，企業無法輕易關閉回收系統或解僱專門人員，導致費用下行調整幅度受限。因此提出假說 H1：在其他條件不變下，企業水回收率越高，其成本黏性越大（β3 預期顯著為負）。</w:t>
      </w:r>
    </w:p>
    <w:p>
      <w:pPr>
        <w:spacing w:line="360" w:lineRule="auto"/>
        <w:ind w:firstLine="480"/>
      </w:pPr>
      <w:r>
        <w:rPr>
          <w:rFonts w:ascii="Times New Roman" w:hAnsi="Times New Roman" w:eastAsia="新細明體"/>
          <w:b w:val="0"/>
          <w:sz w:val="24"/>
        </w:rPr>
        <w:t>（二）水資訊揭露與成本黏性（H2）。主動進行水資源資訊揭露（WATER_DISC）反映企業具備較高的環境治理品質與透明度。依據資訊透明度理論，高品質的資訊揭露有助於外部分析師與股東進行監督，抑制管理者的過度樂觀預期與帝國建造動機，使其在銷售收入下滑時更果斷地裁撤閒置資源。因此提出假說 H2：在其他條件不變下，有揭露水資源資訊之企業，其成本黏性較低（β3 預期顯著為正）。</w:t>
      </w:r>
    </w:p>
    <w:p>
      <w:pPr>
        <w:spacing w:line="360" w:lineRule="auto"/>
        <w:ind w:firstLine="480"/>
      </w:pPr>
      <w:r>
        <w:rPr>
          <w:rFonts w:ascii="Times New Roman" w:hAnsi="Times New Roman" w:eastAsia="新細明體"/>
          <w:b w:val="0"/>
          <w:sz w:val="24"/>
        </w:rPr>
        <w:t>（三）廢棄物密集度與成本黏性（H3）。廢棄物密集度（WASTE_INTENSITY）代表企業每百萬元營收所產生的事業廢棄物重量。高廢棄物密集度意味生產過程高度依賴原物料轉化與環保處置，企業必須與委外清理機構簽訂長期固定包月或保底清運合約。當營收下滑時，廢棄物清理合約與處理場站固定折舊無法立即調降，形成顯著的費用剛性。因此提出假說 H3：在其他條件不變下，企業廢棄物密集度越高，其成本黏性越大（β3 預期顯著為負）。</w:t>
      </w:r>
    </w:p>
    <w:p>
      <w:pPr>
        <w:spacing w:line="360" w:lineRule="auto"/>
        <w:ind w:firstLine="480"/>
      </w:pPr>
      <w:r>
        <w:rPr>
          <w:rFonts w:ascii="Times New Roman" w:hAnsi="Times New Roman" w:eastAsia="新細明體"/>
          <w:b w:val="0"/>
          <w:sz w:val="24"/>
        </w:rPr>
        <w:t>（四）廢棄物揭露品質與成本黏性（H4）。廢棄物管理揭露（WASTE_DISC）遵循 GRI 永續報導標準，代表企業建立完善的廢棄物追蹤與資源循環體系。揭露品質高能提升內部管理會計資訊的精確性，協助管理者掌握真實的廢棄物處理成本，從而在營收下降時精準調整生產規模與資源配置。因此提出假說 H4：在其他條件不變下，廢棄物揭露品質越高之企業，其成本黏性較低（β3 預期顯著為正）。</w:t>
      </w:r>
    </w:p>
    <w:p>
      <w:pPr>
        <w:spacing w:line="360" w:lineRule="auto"/>
        <w:ind w:firstLine="480"/>
      </w:pPr>
      <w:r>
        <w:rPr>
          <w:rFonts w:ascii="Times New Roman" w:hAnsi="Times New Roman" w:eastAsia="新細明體"/>
          <w:b w:val="0"/>
          <w:sz w:val="24"/>
        </w:rPr>
        <w:t>（五）環境裁罰金額與成本黏性（H5）。事業廢棄物違規裁罰金額（WASTE_FINE）代表企業面臨環境法遵失敗的經濟衝擊。遭受裁罰後，主管機關通常要求企業限期改善、勒令更換設備或增加環保監測，這些強制性改善支出具有法律強制力，企業無法在營收衰退時裁減此類法遵費用，從而產生強烈的費用向下阻力。因此提出假說 H5：在其他條件不變下，事業廢棄物裁罰金額越高之企業，其成本黏性越大（β3 預期顯著為負）。</w:t>
      </w:r>
    </w:p>
    <w:p>
      <w:pPr>
        <w:spacing w:line="360" w:lineRule="auto"/>
        <w:ind w:firstLine="480"/>
      </w:pPr>
      <w:r>
        <w:rPr>
          <w:rFonts w:ascii="Times New Roman" w:hAnsi="Times New Roman" w:eastAsia="新細明體"/>
          <w:b w:val="0"/>
          <w:sz w:val="24"/>
        </w:rPr>
        <w:t>（六）環境使用密集度與產業異質性（H6，核心假說）。綜合上述分析，用水密集度（WATER_INTENSITY）與廢棄物密集度構成企業環境使用密集度的核心構念。相對水回收率，用水密集度具有涵蓋全樣本的優勢。半導體、光電、化學與鋼鐵等高污染/高耗水產業，其環境專用資產與法遵負擔遠高於一般組裝製造業，故環境使用密集度對成本黏性的加劇效果理應顯著集中於高污染產業，並隨時間展現遞延累積性。因此提出核心假說 H6：企業用水密集度越高，成本黏性越大（β3 預期為負），且該效果顯著集中於高污染產業。</w:t>
      </w:r>
    </w:p>
    <w:p>
      <w:pPr>
        <w:pStyle w:val="Heading1"/>
      </w:pPr>
      <w:r>
        <w:rPr>
          <w:rFonts w:ascii="Times New Roman" w:hAnsi="Times New Roman" w:eastAsia="新細明體"/>
        </w:rPr>
        <w:t>第三章 研究方法與資料</w:t>
      </w:r>
    </w:p>
    <w:p>
      <w:pPr>
        <w:pStyle w:val="Heading2"/>
      </w:pPr>
      <w:r>
        <w:rPr>
          <w:rFonts w:ascii="Times New Roman" w:hAnsi="Times New Roman" w:eastAsia="新細明體"/>
        </w:rPr>
        <w:t>第一節 資料來源與樣本篩選</w:t>
      </w:r>
    </w:p>
    <w:p>
      <w:pPr>
        <w:spacing w:line="360" w:lineRule="auto"/>
        <w:ind w:firstLine="480"/>
      </w:pPr>
      <w:r>
        <w:rPr>
          <w:rFonts w:ascii="Times New Roman" w:hAnsi="Times New Roman" w:eastAsia="新細明體"/>
          <w:b w:val="0"/>
          <w:sz w:val="24"/>
        </w:rPr>
        <w:t>本研究之實證資料取自台灣經濟新報（TEJ）資料庫，具體包含三大模組：(1) TEJ IFRS 合併財務單季資料庫（經彙總為公司-年度面板）；(2) TEJ TESG 企業用水量與廢棄物數量模組；(3) TEJ 列管事業污染源環境裁處明細資料庫。研究樣本期間涵蓋 2014 年至 2024 年共 11 個年度。</w:t>
      </w:r>
    </w:p>
    <w:p>
      <w:pPr>
        <w:spacing w:line="360" w:lineRule="auto"/>
        <w:ind w:firstLine="480"/>
      </w:pPr>
      <w:r>
        <w:rPr>
          <w:rFonts w:ascii="Times New Roman" w:hAnsi="Times New Roman" w:eastAsia="新細明體"/>
          <w:b w:val="0"/>
          <w:sz w:val="24"/>
        </w:rPr>
        <w:t>樣本篩選遵循以下標準程序：首先，選取台灣上市與櫃買中心掛牌之製造業公司（排除金融保險業與公用事業，因其成本結構與環境指標具特殊性）；其次，剔除銷售收入（REV）與銷管費用（SGA）為負或缺失之觀測值；第三，剔除計算對數變動率（dLNREV, dLNSGA）所需的前一期資料缺失值；第四，合併 TESG 用水、廢棄物與裁罰數據，對於連續變數進行前後 1% 雙邊縮尾處理（Winsorization），以消除異常極端值對迴歸結果的干擾。最終獲得具備完整變數之公司-年度面板樣本。</w:t>
      </w:r>
    </w:p>
    <w:p>
      <w:pPr>
        <w:spacing w:line="360" w:lineRule="auto"/>
        <w:ind w:firstLine="480"/>
      </w:pPr>
      <w:r>
        <w:rPr>
          <w:rFonts w:ascii="Times New Roman" w:hAnsi="Times New Roman" w:eastAsia="新細明體"/>
          <w:b w:val="0"/>
          <w:sz w:val="24"/>
        </w:rPr>
        <w:t>在樣本配對與整合過程中，本研究利用證券代碼（Security Code）作為唯一公司識別碼，確保財務變數與 TESG 環境變數在年份與個體層面上精確匹配。由於水資源耗用量與廢棄物產生量在早年（2014-2016）僅有部分大型企業揭露，隨時間推移揭露家數逐步增加，本研究面板資料屬於不平行面板（Unbalanced Panel），本研究已在迴歸模型中嚴格納入年份固定效果與公司層級叢集標準誤，以避免樣本時間結構對迴歸推論的偏誤。</w:t>
      </w:r>
    </w:p>
    <w:p>
      <w:pPr>
        <w:spacing w:line="360" w:lineRule="auto"/>
        <w:ind w:firstLine="480"/>
      </w:pPr>
      <w:r>
        <w:rPr>
          <w:rFonts w:ascii="Times New Roman" w:hAnsi="Times New Roman" w:eastAsia="新細明體"/>
          <w:b w:val="0"/>
          <w:sz w:val="24"/>
        </w:rPr>
        <w:t>關於縮尾處理（Winsorization）細節，由於用水密集度（WATER_INTENSITY）與廢棄物密集度（WASTE_INTENSITY）受極端高產量或極端小營收分母干擾，極端極值可能導致迴歸參數估計失真。本研究對所有連續型財務變數與環境密集度變數，於第 1 及第 99 百分位進行雙向極端值縮尾，確保迴歸係數反映整體台灣製造業之常態行為。</w:t>
      </w:r>
    </w:p>
    <w:p>
      <w:pPr>
        <w:pStyle w:val="Heading2"/>
      </w:pPr>
      <w:r>
        <w:rPr>
          <w:rFonts w:ascii="Times New Roman" w:hAnsi="Times New Roman" w:eastAsia="新細明體"/>
        </w:rPr>
        <w:t>第二節 變數定義與衡量</w:t>
      </w:r>
    </w:p>
    <w:p>
      <w:pPr>
        <w:spacing w:line="360" w:lineRule="auto"/>
        <w:ind w:firstLine="480"/>
      </w:pPr>
      <w:r>
        <w:rPr>
          <w:rFonts w:ascii="Times New Roman" w:hAnsi="Times New Roman" w:eastAsia="新細明體"/>
          <w:b w:val="0"/>
          <w:sz w:val="24"/>
        </w:rPr>
        <w:t>本研究主要變數包含被解釋變數、解釋變數、環境管理變數與控制變數，詳細定義如表 3-1 所示。</w:t>
      </w:r>
    </w:p>
    <w:p>
      <w:pPr>
        <w:jc w:val="left"/>
      </w:pPr>
      <w:r>
        <w:rPr>
          <w:rFonts w:ascii="Times New Roman" w:hAnsi="Times New Roman" w:eastAsia="新細明體"/>
          <w:b/>
          <w:sz w:val="22"/>
        </w:rPr>
        <w:t>表3-1 變數定義與衡量說明表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新細明體"/>
                <w:b/>
                <w:sz w:val="18"/>
              </w:rPr>
              <w:t>變數</w:t>
            </w:r>
          </w:p>
        </w:tc>
        <w:tc>
          <w:tcPr>
            <w:tcW w:type="dxa" w:w="2880"/>
          </w:tcPr>
          <w:p>
            <w:r>
              <w:rPr>
                <w:rFonts w:ascii="Times New Roman" w:hAnsi="Times New Roman" w:eastAsia="新細明體"/>
                <w:b/>
                <w:sz w:val="18"/>
              </w:rPr>
              <w:t>定義</w:t>
            </w:r>
          </w:p>
        </w:tc>
        <w:tc>
          <w:tcPr>
            <w:tcW w:type="dxa" w:w="2880"/>
          </w:tcPr>
          <w:p>
            <w:r>
              <w:rPr>
                <w:rFonts w:ascii="Times New Roman" w:hAnsi="Times New Roman" w:eastAsia="新細明體"/>
                <w:b/>
                <w:sz w:val="18"/>
              </w:rPr>
              <w:t>角色</w:t>
            </w:r>
          </w:p>
        </w:tc>
      </w:tr>
      <w:tr>
        <w:tc>
          <w:tcPr>
            <w:tcW w:type="dxa" w:w="2880"/>
          </w:tcPr>
          <w:p>
            <w:r>
              <w:rPr>
                <w:rFonts w:ascii="Times New Roman" w:hAnsi="Times New Roman" w:eastAsia="新細明體"/>
                <w:sz w:val="18"/>
              </w:rPr>
              <w:t>Y_dLNSGA</w:t>
            </w:r>
          </w:p>
        </w:tc>
        <w:tc>
          <w:tcPr>
            <w:tcW w:type="dxa" w:w="2880"/>
          </w:tcPr>
          <w:p>
            <w:r>
              <w:rPr>
                <w:rFonts w:ascii="Times New Roman" w:hAnsi="Times New Roman" w:eastAsia="新細明體"/>
                <w:sz w:val="18"/>
              </w:rPr>
              <w:t>ΔLNSGA = LN(營業費用_t) − LN(營業費用_t-1)（縮尾）</w:t>
            </w:r>
          </w:p>
        </w:tc>
        <w:tc>
          <w:tcPr>
            <w:tcW w:type="dxa" w:w="2880"/>
          </w:tcPr>
          <w:p>
            <w:r>
              <w:rPr>
                <w:rFonts w:ascii="Times New Roman" w:hAnsi="Times New Roman" w:eastAsia="新細明體"/>
                <w:sz w:val="18"/>
              </w:rPr>
              <w:t>應變數</w:t>
            </w:r>
          </w:p>
        </w:tc>
      </w:tr>
      <w:tr>
        <w:tc>
          <w:tcPr>
            <w:tcW w:type="dxa" w:w="2880"/>
          </w:tcPr>
          <w:p>
            <w:r>
              <w:rPr>
                <w:rFonts w:ascii="Times New Roman" w:hAnsi="Times New Roman" w:eastAsia="新細明體"/>
                <w:sz w:val="18"/>
              </w:rPr>
              <w:t>dLNREV</w:t>
            </w:r>
          </w:p>
        </w:tc>
        <w:tc>
          <w:tcPr>
            <w:tcW w:type="dxa" w:w="2880"/>
          </w:tcPr>
          <w:p>
            <w:r>
              <w:rPr>
                <w:rFonts w:ascii="Times New Roman" w:hAnsi="Times New Roman" w:eastAsia="新細明體"/>
                <w:sz w:val="18"/>
              </w:rPr>
              <w:t>ΔLNREV = LN(營收_t) − LN(營收_t-1)（縮尾）</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DEC</w:t>
            </w:r>
          </w:p>
        </w:tc>
        <w:tc>
          <w:tcPr>
            <w:tcW w:type="dxa" w:w="2880"/>
          </w:tcPr>
          <w:p>
            <w:r>
              <w:rPr>
                <w:rFonts w:ascii="Times New Roman" w:hAnsi="Times New Roman" w:eastAsia="新細明體"/>
                <w:sz w:val="18"/>
              </w:rPr>
              <w:t>收入下降虛擬（營收_t &lt; 營收_t-1 = 1）</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DEC_x_dREV</w:t>
            </w:r>
          </w:p>
        </w:tc>
        <w:tc>
          <w:tcPr>
            <w:tcW w:type="dxa" w:w="2880"/>
          </w:tcPr>
          <w:p>
            <w:r>
              <w:rPr>
                <w:rFonts w:ascii="Times New Roman" w:hAnsi="Times New Roman" w:eastAsia="新細明體"/>
                <w:sz w:val="18"/>
              </w:rPr>
              <w:t>D × ΔLNREV（β2：整體成本黏性，預期負）</w:t>
            </w:r>
          </w:p>
        </w:tc>
        <w:tc>
          <w:tcPr>
            <w:tcW w:type="dxa" w:w="2880"/>
          </w:tcPr>
          <w:p>
            <w:r>
              <w:rPr>
                <w:rFonts w:ascii="Times New Roman" w:hAnsi="Times New Roman" w:eastAsia="新細明體"/>
                <w:sz w:val="18"/>
              </w:rPr>
              <w:t>核心交乘</w:t>
            </w:r>
          </w:p>
        </w:tc>
      </w:tr>
      <w:tr>
        <w:tc>
          <w:tcPr>
            <w:tcW w:type="dxa" w:w="2880"/>
          </w:tcPr>
          <w:p>
            <w:r>
              <w:rPr>
                <w:rFonts w:ascii="Times New Roman" w:hAnsi="Times New Roman" w:eastAsia="新細明體"/>
                <w:sz w:val="18"/>
              </w:rPr>
              <w:t>WATER_RATE</w:t>
            </w:r>
          </w:p>
        </w:tc>
        <w:tc>
          <w:tcPr>
            <w:tcW w:type="dxa" w:w="2880"/>
          </w:tcPr>
          <w:p>
            <w:r>
              <w:rPr>
                <w:rFonts w:ascii="Times New Roman" w:hAnsi="Times New Roman" w:eastAsia="新細明體"/>
                <w:sz w:val="18"/>
              </w:rPr>
              <w:t>水回收率%（縮尾，主分析水績效）</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WATER_DISC</w:t>
            </w:r>
          </w:p>
        </w:tc>
        <w:tc>
          <w:tcPr>
            <w:tcW w:type="dxa" w:w="2880"/>
          </w:tcPr>
          <w:p>
            <w:r>
              <w:rPr>
                <w:rFonts w:ascii="Times New Roman" w:hAnsi="Times New Roman" w:eastAsia="新細明體"/>
                <w:sz w:val="18"/>
              </w:rPr>
              <w:t>水揭露虛擬-做法A（有水量紀錄=1）</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WASTE_DISC_GRI</w:t>
            </w:r>
          </w:p>
        </w:tc>
        <w:tc>
          <w:tcPr>
            <w:tcW w:type="dxa" w:w="2880"/>
          </w:tcPr>
          <w:p>
            <w:r>
              <w:rPr>
                <w:rFonts w:ascii="Times New Roman" w:hAnsi="Times New Roman" w:eastAsia="新細明體"/>
                <w:sz w:val="18"/>
              </w:rPr>
              <w:t>水揭露虛擬-做法B（GRI揭露度&gt;0=1）</w:t>
            </w:r>
          </w:p>
        </w:tc>
        <w:tc>
          <w:tcPr>
            <w:tcW w:type="dxa" w:w="2880"/>
          </w:tcPr>
          <w:p>
            <w:r>
              <w:rPr>
                <w:rFonts w:ascii="Times New Roman" w:hAnsi="Times New Roman" w:eastAsia="新細明體"/>
                <w:sz w:val="18"/>
              </w:rPr>
              <w:t>自變數(穩健)</w:t>
            </w:r>
          </w:p>
        </w:tc>
      </w:tr>
      <w:tr>
        <w:tc>
          <w:tcPr>
            <w:tcW w:type="dxa" w:w="2880"/>
          </w:tcPr>
          <w:p>
            <w:r>
              <w:rPr>
                <w:rFonts w:ascii="Times New Roman" w:hAnsi="Times New Roman" w:eastAsia="新細明體"/>
                <w:sz w:val="18"/>
              </w:rPr>
              <w:t>WATER_RATE_D_dREV</w:t>
            </w:r>
          </w:p>
        </w:tc>
        <w:tc>
          <w:tcPr>
            <w:tcW w:type="dxa" w:w="2880"/>
          </w:tcPr>
          <w:p>
            <w:r>
              <w:rPr>
                <w:rFonts w:ascii="Times New Roman" w:hAnsi="Times New Roman" w:eastAsia="新細明體"/>
                <w:sz w:val="18"/>
              </w:rPr>
              <w:t>WATER_RATE × D × ΔLNREV（β3：H1）</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WATER_DISC_D_dREV</w:t>
            </w:r>
          </w:p>
        </w:tc>
        <w:tc>
          <w:tcPr>
            <w:tcW w:type="dxa" w:w="2880"/>
          </w:tcPr>
          <w:p>
            <w:r>
              <w:rPr>
                <w:rFonts w:ascii="Times New Roman" w:hAnsi="Times New Roman" w:eastAsia="新細明體"/>
                <w:sz w:val="18"/>
              </w:rPr>
              <w:t>WATER_DISC × D × ΔLNREV（β3：H2）</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WATER_DISCGRI_D_dREV</w:t>
            </w:r>
          </w:p>
        </w:tc>
        <w:tc>
          <w:tcPr>
            <w:tcW w:type="dxa" w:w="2880"/>
          </w:tcPr>
          <w:p>
            <w:r>
              <w:rPr>
                <w:rFonts w:ascii="Times New Roman" w:hAnsi="Times New Roman" w:eastAsia="新細明體"/>
                <w:sz w:val="18"/>
              </w:rPr>
              <w:t>WASTE_DISC_GRI × D × ΔLNREV（穩健）</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WASTE_INTENSITY</w:t>
            </w:r>
          </w:p>
        </w:tc>
        <w:tc>
          <w:tcPr>
            <w:tcW w:type="dxa" w:w="2880"/>
          </w:tcPr>
          <w:p>
            <w:r>
              <w:rPr>
                <w:rFonts w:ascii="Times New Roman" w:hAnsi="Times New Roman" w:eastAsia="新細明體"/>
                <w:sz w:val="18"/>
              </w:rPr>
              <w:t>每百萬營收廢棄物（縮尾，廢棄物主分析）</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WASTE_DISC</w:t>
            </w:r>
          </w:p>
        </w:tc>
        <w:tc>
          <w:tcPr>
            <w:tcW w:type="dxa" w:w="2880"/>
          </w:tcPr>
          <w:p>
            <w:r>
              <w:rPr>
                <w:rFonts w:ascii="Times New Roman" w:hAnsi="Times New Roman" w:eastAsia="新細明體"/>
                <w:sz w:val="18"/>
              </w:rPr>
              <w:t>GRI廢棄物管理揭露度（連續，揭露品質）</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WASTE_FINE</w:t>
            </w:r>
          </w:p>
        </w:tc>
        <w:tc>
          <w:tcPr>
            <w:tcW w:type="dxa" w:w="2880"/>
          </w:tcPr>
          <w:p>
            <w:r>
              <w:rPr>
                <w:rFonts w:ascii="Times New Roman" w:hAnsi="Times New Roman" w:eastAsia="新細明體"/>
                <w:sz w:val="18"/>
              </w:rPr>
              <w:t>事業廢棄物罰鍰次數（違規風險）</w:t>
            </w:r>
          </w:p>
        </w:tc>
        <w:tc>
          <w:tcPr>
            <w:tcW w:type="dxa" w:w="2880"/>
          </w:tcPr>
          <w:p>
            <w:r>
              <w:rPr>
                <w:rFonts w:ascii="Times New Roman" w:hAnsi="Times New Roman" w:eastAsia="新細明體"/>
                <w:sz w:val="18"/>
              </w:rPr>
              <w:t>自變數(穩健)</w:t>
            </w:r>
          </w:p>
        </w:tc>
      </w:tr>
      <w:tr>
        <w:tc>
          <w:tcPr>
            <w:tcW w:type="dxa" w:w="2880"/>
          </w:tcPr>
          <w:p>
            <w:r>
              <w:rPr>
                <w:rFonts w:ascii="Times New Roman" w:hAnsi="Times New Roman" w:eastAsia="新細明體"/>
                <w:sz w:val="18"/>
              </w:rPr>
              <w:t>WasteInt_D_dREV</w:t>
            </w:r>
          </w:p>
        </w:tc>
        <w:tc>
          <w:tcPr>
            <w:tcW w:type="dxa" w:w="2880"/>
          </w:tcPr>
          <w:p>
            <w:r>
              <w:rPr>
                <w:rFonts w:ascii="Times New Roman" w:hAnsi="Times New Roman" w:eastAsia="新細明體"/>
                <w:sz w:val="18"/>
              </w:rPr>
              <w:t>WASTE_INTENSITY × D × ΔLNREV（β3：H3）</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WasteDisc_D_dREV</w:t>
            </w:r>
          </w:p>
        </w:tc>
        <w:tc>
          <w:tcPr>
            <w:tcW w:type="dxa" w:w="2880"/>
          </w:tcPr>
          <w:p>
            <w:r>
              <w:rPr>
                <w:rFonts w:ascii="Times New Roman" w:hAnsi="Times New Roman" w:eastAsia="新細明體"/>
                <w:sz w:val="18"/>
              </w:rPr>
              <w:t>WASTE_DISC × D × ΔLNREV（β3：H4）</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WasteFine_D_dREV</w:t>
            </w:r>
          </w:p>
        </w:tc>
        <w:tc>
          <w:tcPr>
            <w:tcW w:type="dxa" w:w="2880"/>
          </w:tcPr>
          <w:p>
            <w:r>
              <w:rPr>
                <w:rFonts w:ascii="Times New Roman" w:hAnsi="Times New Roman" w:eastAsia="新細明體"/>
                <w:sz w:val="18"/>
              </w:rPr>
              <w:t>WASTE_FINE × D × ΔLNREV（β3：H5穩健）</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SIZE</w:t>
            </w:r>
          </w:p>
        </w:tc>
        <w:tc>
          <w:tcPr>
            <w:tcW w:type="dxa" w:w="2880"/>
          </w:tcPr>
          <w:p>
            <w:r>
              <w:rPr>
                <w:rFonts w:ascii="Times New Roman" w:hAnsi="Times New Roman" w:eastAsia="新細明體"/>
                <w:sz w:val="18"/>
              </w:rPr>
              <w:t>LN(資產總額)（縮尾）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AI</w:t>
            </w:r>
          </w:p>
        </w:tc>
        <w:tc>
          <w:tcPr>
            <w:tcW w:type="dxa" w:w="2880"/>
          </w:tcPr>
          <w:p>
            <w:r>
              <w:rPr>
                <w:rFonts w:ascii="Times New Roman" w:hAnsi="Times New Roman" w:eastAsia="新細明體"/>
                <w:sz w:val="18"/>
              </w:rPr>
              <w:t>資產密集度=資產總額/營收（縮尾）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EI</w:t>
            </w:r>
          </w:p>
        </w:tc>
        <w:tc>
          <w:tcPr>
            <w:tcW w:type="dxa" w:w="2880"/>
          </w:tcPr>
          <w:p>
            <w:r>
              <w:rPr>
                <w:rFonts w:ascii="Times New Roman" w:hAnsi="Times New Roman" w:eastAsia="新細明體"/>
                <w:sz w:val="18"/>
              </w:rPr>
              <w:t>員工密集度=員工人數/營收（縮尾）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ROA</w:t>
            </w:r>
          </w:p>
        </w:tc>
        <w:tc>
          <w:tcPr>
            <w:tcW w:type="dxa" w:w="2880"/>
          </w:tcPr>
          <w:p>
            <w:r>
              <w:rPr>
                <w:rFonts w:ascii="Times New Roman" w:hAnsi="Times New Roman" w:eastAsia="新細明體"/>
                <w:sz w:val="18"/>
              </w:rPr>
              <w:t>資產報酬率 ROA(A)稅後息前（縮尾）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LEV</w:t>
            </w:r>
          </w:p>
        </w:tc>
        <w:tc>
          <w:tcPr>
            <w:tcW w:type="dxa" w:w="2880"/>
          </w:tcPr>
          <w:p>
            <w:r>
              <w:rPr>
                <w:rFonts w:ascii="Times New Roman" w:hAnsi="Times New Roman" w:eastAsia="新細明體"/>
                <w:sz w:val="18"/>
              </w:rPr>
              <w:t>財務槓桿=負債比率（縮尾）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SUCC_DEC</w:t>
            </w:r>
          </w:p>
        </w:tc>
        <w:tc>
          <w:tcPr>
            <w:tcW w:type="dxa" w:w="2880"/>
          </w:tcPr>
          <w:p>
            <w:r>
              <w:rPr>
                <w:rFonts w:ascii="Times New Roman" w:hAnsi="Times New Roman" w:eastAsia="新細明體"/>
                <w:sz w:val="18"/>
              </w:rPr>
              <w:t>連續兩年營收下降虛擬</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SIZE_D_dREV</w:t>
            </w:r>
          </w:p>
        </w:tc>
        <w:tc>
          <w:tcPr>
            <w:tcW w:type="dxa" w:w="2880"/>
          </w:tcPr>
          <w:p>
            <w:r>
              <w:rPr>
                <w:rFonts w:ascii="Times New Roman" w:hAnsi="Times New Roman" w:eastAsia="新細明體"/>
                <w:sz w:val="18"/>
              </w:rPr>
              <w:t>SIZE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AI_D_dREV</w:t>
            </w:r>
          </w:p>
        </w:tc>
        <w:tc>
          <w:tcPr>
            <w:tcW w:type="dxa" w:w="2880"/>
          </w:tcPr>
          <w:p>
            <w:r>
              <w:rPr>
                <w:rFonts w:ascii="Times New Roman" w:hAnsi="Times New Roman" w:eastAsia="新細明體"/>
                <w:sz w:val="18"/>
              </w:rPr>
              <w:t>AI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EI_D_dREV</w:t>
            </w:r>
          </w:p>
        </w:tc>
        <w:tc>
          <w:tcPr>
            <w:tcW w:type="dxa" w:w="2880"/>
          </w:tcPr>
          <w:p>
            <w:r>
              <w:rPr>
                <w:rFonts w:ascii="Times New Roman" w:hAnsi="Times New Roman" w:eastAsia="新細明體"/>
                <w:sz w:val="18"/>
              </w:rPr>
              <w:t>EI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ROA_D_dREV</w:t>
            </w:r>
          </w:p>
        </w:tc>
        <w:tc>
          <w:tcPr>
            <w:tcW w:type="dxa" w:w="2880"/>
          </w:tcPr>
          <w:p>
            <w:r>
              <w:rPr>
                <w:rFonts w:ascii="Times New Roman" w:hAnsi="Times New Roman" w:eastAsia="新細明體"/>
                <w:sz w:val="18"/>
              </w:rPr>
              <w:t>ROA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LEV_D_dREV</w:t>
            </w:r>
          </w:p>
        </w:tc>
        <w:tc>
          <w:tcPr>
            <w:tcW w:type="dxa" w:w="2880"/>
          </w:tcPr>
          <w:p>
            <w:r>
              <w:rPr>
                <w:rFonts w:ascii="Times New Roman" w:hAnsi="Times New Roman" w:eastAsia="新細明體"/>
                <w:sz w:val="18"/>
              </w:rPr>
              <w:t>LEV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SUCC_DEC_D_dREV</w:t>
            </w:r>
          </w:p>
        </w:tc>
        <w:tc>
          <w:tcPr>
            <w:tcW w:type="dxa" w:w="2880"/>
          </w:tcPr>
          <w:p>
            <w:r>
              <w:rPr>
                <w:rFonts w:ascii="Times New Roman" w:hAnsi="Times New Roman" w:eastAsia="新細明體"/>
                <w:sz w:val="18"/>
              </w:rPr>
              <w:t>SUCC_DEC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WATER_RATE_D_dREV_l1</w:t>
            </w:r>
          </w:p>
        </w:tc>
        <w:tc>
          <w:tcPr>
            <w:tcW w:type="dxa" w:w="2880"/>
          </w:tcPr>
          <w:p>
            <w:r>
              <w:rPr>
                <w:rFonts w:ascii="Times New Roman" w:hAnsi="Times New Roman" w:eastAsia="新細明體"/>
                <w:sz w:val="18"/>
              </w:rPr>
              <w:t>WATER_RATE(t-1) × D × ΔLNREV（遞延一期，方向四）</w:t>
            </w:r>
          </w:p>
        </w:tc>
        <w:tc>
          <w:tcPr>
            <w:tcW w:type="dxa" w:w="2880"/>
          </w:tcPr>
          <w:p>
            <w:r>
              <w:rPr>
                <w:rFonts w:ascii="Times New Roman" w:hAnsi="Times New Roman" w:eastAsia="新細明體"/>
                <w:sz w:val="18"/>
              </w:rPr>
              <w:t>遞延交乘</w:t>
            </w:r>
          </w:p>
        </w:tc>
      </w:tr>
      <w:tr>
        <w:tc>
          <w:tcPr>
            <w:tcW w:type="dxa" w:w="2880"/>
          </w:tcPr>
          <w:p>
            <w:r>
              <w:rPr>
                <w:rFonts w:ascii="Times New Roman" w:hAnsi="Times New Roman" w:eastAsia="新細明體"/>
                <w:sz w:val="18"/>
              </w:rPr>
              <w:t>WATER_RATE_D_dREV_l2</w:t>
            </w:r>
          </w:p>
        </w:tc>
        <w:tc>
          <w:tcPr>
            <w:tcW w:type="dxa" w:w="2880"/>
          </w:tcPr>
          <w:p>
            <w:r>
              <w:rPr>
                <w:rFonts w:ascii="Times New Roman" w:hAnsi="Times New Roman" w:eastAsia="新細明體"/>
                <w:sz w:val="18"/>
              </w:rPr>
              <w:t>WATER_RATE(t-2) × D × ΔLNREV（遞延兩期，方向四）</w:t>
            </w:r>
          </w:p>
        </w:tc>
        <w:tc>
          <w:tcPr>
            <w:tcW w:type="dxa" w:w="2880"/>
          </w:tcPr>
          <w:p>
            <w:r>
              <w:rPr>
                <w:rFonts w:ascii="Times New Roman" w:hAnsi="Times New Roman" w:eastAsia="新細明體"/>
                <w:sz w:val="18"/>
              </w:rPr>
              <w:t>遞延交乘</w:t>
            </w:r>
          </w:p>
        </w:tc>
      </w:tr>
      <w:tr>
        <w:tc>
          <w:tcPr>
            <w:tcW w:type="dxa" w:w="2880"/>
          </w:tcPr>
          <w:p>
            <w:r>
              <w:rPr>
                <w:rFonts w:ascii="Times New Roman" w:hAnsi="Times New Roman" w:eastAsia="新細明體"/>
                <w:sz w:val="18"/>
              </w:rPr>
              <w:t>WATER_DISC_D_dREV_l1</w:t>
            </w:r>
          </w:p>
        </w:tc>
        <w:tc>
          <w:tcPr>
            <w:tcW w:type="dxa" w:w="2880"/>
          </w:tcPr>
          <w:p>
            <w:r>
              <w:rPr>
                <w:rFonts w:ascii="Times New Roman" w:hAnsi="Times New Roman" w:eastAsia="新細明體"/>
                <w:sz w:val="18"/>
              </w:rPr>
              <w:t>WATER_DISC(t-1) × D × ΔLNREV（遞延一期）</w:t>
            </w:r>
          </w:p>
        </w:tc>
        <w:tc>
          <w:tcPr>
            <w:tcW w:type="dxa" w:w="2880"/>
          </w:tcPr>
          <w:p>
            <w:r>
              <w:rPr>
                <w:rFonts w:ascii="Times New Roman" w:hAnsi="Times New Roman" w:eastAsia="新細明體"/>
                <w:sz w:val="18"/>
              </w:rPr>
              <w:t>遞延交乘</w:t>
            </w:r>
          </w:p>
        </w:tc>
      </w:tr>
      <w:tr>
        <w:tc>
          <w:tcPr>
            <w:tcW w:type="dxa" w:w="2880"/>
          </w:tcPr>
          <w:p>
            <w:r>
              <w:rPr>
                <w:rFonts w:ascii="Times New Roman" w:hAnsi="Times New Roman" w:eastAsia="新細明體"/>
                <w:sz w:val="18"/>
              </w:rPr>
              <w:t>WATER_DISC_D_dREV_l2</w:t>
            </w:r>
          </w:p>
        </w:tc>
        <w:tc>
          <w:tcPr>
            <w:tcW w:type="dxa" w:w="2880"/>
          </w:tcPr>
          <w:p>
            <w:r>
              <w:rPr>
                <w:rFonts w:ascii="Times New Roman" w:hAnsi="Times New Roman" w:eastAsia="新細明體"/>
                <w:sz w:val="18"/>
              </w:rPr>
              <w:t>WATER_DISC(t-2) × D × ΔLNREV（遞延兩期）</w:t>
            </w:r>
          </w:p>
        </w:tc>
        <w:tc>
          <w:tcPr>
            <w:tcW w:type="dxa" w:w="2880"/>
          </w:tcPr>
          <w:p>
            <w:r>
              <w:rPr>
                <w:rFonts w:ascii="Times New Roman" w:hAnsi="Times New Roman" w:eastAsia="新細明體"/>
                <w:sz w:val="18"/>
              </w:rPr>
              <w:t>遞延交乘</w:t>
            </w:r>
          </w:p>
        </w:tc>
      </w:tr>
      <w:tr>
        <w:tc>
          <w:tcPr>
            <w:tcW w:type="dxa" w:w="2880"/>
          </w:tcPr>
          <w:p>
            <w:r>
              <w:rPr>
                <w:rFonts w:ascii="Times New Roman" w:hAnsi="Times New Roman" w:eastAsia="新細明體"/>
                <w:sz w:val="18"/>
              </w:rPr>
              <w:t>WaterUse</w:t>
            </w:r>
          </w:p>
        </w:tc>
        <w:tc>
          <w:tcPr>
            <w:tcW w:type="dxa" w:w="2880"/>
          </w:tcPr>
          <w:p>
            <w:r>
              <w:rPr>
                <w:rFonts w:ascii="Times New Roman" w:hAnsi="Times New Roman" w:eastAsia="新細明體"/>
                <w:sz w:val="18"/>
              </w:rPr>
              <w:t>耗水分組（高/低耗水產業，方向五）</w:t>
            </w:r>
          </w:p>
        </w:tc>
        <w:tc>
          <w:tcPr>
            <w:tcW w:type="dxa" w:w="2880"/>
          </w:tcPr>
          <w:p>
            <w:r>
              <w:rPr>
                <w:rFonts w:ascii="Times New Roman" w:hAnsi="Times New Roman" w:eastAsia="新細明體"/>
                <w:sz w:val="18"/>
              </w:rPr>
              <w:t>分組</w:t>
            </w:r>
          </w:p>
        </w:tc>
      </w:tr>
      <w:tr>
        <w:tc>
          <w:tcPr>
            <w:tcW w:type="dxa" w:w="2880"/>
          </w:tcPr>
          <w:p>
            <w:r>
              <w:rPr>
                <w:rFonts w:ascii="Times New Roman" w:hAnsi="Times New Roman" w:eastAsia="新細明體"/>
                <w:sz w:val="18"/>
              </w:rPr>
              <w:t>Industry</w:t>
            </w:r>
          </w:p>
        </w:tc>
        <w:tc>
          <w:tcPr>
            <w:tcW w:type="dxa" w:w="2880"/>
          </w:tcPr>
          <w:p>
            <w:r>
              <w:rPr>
                <w:rFonts w:ascii="Times New Roman" w:hAnsi="Times New Roman" w:eastAsia="新細明體"/>
                <w:sz w:val="18"/>
              </w:rPr>
              <w:t>SASB主產業（產業固定效果）</w:t>
            </w:r>
          </w:p>
        </w:tc>
        <w:tc>
          <w:tcPr>
            <w:tcW w:type="dxa" w:w="2880"/>
          </w:tcPr>
          <w:p>
            <w:r>
              <w:rPr>
                <w:rFonts w:ascii="Times New Roman" w:hAnsi="Times New Roman" w:eastAsia="新細明體"/>
                <w:sz w:val="18"/>
              </w:rPr>
              <w:t>固定效果</w:t>
            </w:r>
          </w:p>
        </w:tc>
      </w:tr>
      <w:tr>
        <w:tc>
          <w:tcPr>
            <w:tcW w:type="dxa" w:w="2880"/>
          </w:tcPr>
          <w:p>
            <w:r>
              <w:rPr>
                <w:rFonts w:ascii="Times New Roman" w:hAnsi="Times New Roman" w:eastAsia="新細明體"/>
                <w:sz w:val="18"/>
              </w:rPr>
              <w:t>Year</w:t>
            </w:r>
          </w:p>
        </w:tc>
        <w:tc>
          <w:tcPr>
            <w:tcW w:type="dxa" w:w="2880"/>
          </w:tcPr>
          <w:p>
            <w:r>
              <w:rPr>
                <w:rFonts w:ascii="Times New Roman" w:hAnsi="Times New Roman" w:eastAsia="新細明體"/>
                <w:sz w:val="18"/>
              </w:rPr>
              <w:t>西元年份（年份固定效果）</w:t>
            </w:r>
          </w:p>
        </w:tc>
        <w:tc>
          <w:tcPr>
            <w:tcW w:type="dxa" w:w="2880"/>
          </w:tcPr>
          <w:p>
            <w:r>
              <w:rPr>
                <w:rFonts w:ascii="Times New Roman" w:hAnsi="Times New Roman" w:eastAsia="新細明體"/>
                <w:sz w:val="18"/>
              </w:rPr>
              <w:t>固定效果</w:t>
            </w:r>
          </w:p>
        </w:tc>
      </w:tr>
    </w:tbl>
    <w:p/>
    <w:p>
      <w:pPr>
        <w:spacing w:line="360" w:lineRule="auto"/>
        <w:ind w:firstLine="480"/>
      </w:pPr>
      <w:r>
        <w:rPr>
          <w:rFonts w:ascii="Times New Roman" w:hAnsi="Times New Roman" w:eastAsia="新細明體"/>
          <w:b w:val="0"/>
          <w:sz w:val="24"/>
        </w:rPr>
        <w:t>被解釋變數為銷管費用對數變動率（Y_dLNSGA），定義為 ln(SGA_{i,t} / SGA_{i,t-1})，代表公司 i 在第 t 年銷管費用的對數成長率。主要解釋變數包括營收對數變動率 dLNREV (ln(REV_{i,t} / REV_{i,t-1})) 以及營收下降虛擬變數 D_{i,t}（當 REV_{i,t} &lt; REV_{i,t-1} 時取 1，否則取 0）。D_{i,t} × dLNREV_{i,t} 之交乘項用於捕捉費用調整的非對稱性（成本黏性）。</w:t>
      </w:r>
    </w:p>
    <w:p>
      <w:pPr>
        <w:spacing w:line="360" w:lineRule="auto"/>
        <w:ind w:firstLine="480"/>
      </w:pPr>
      <w:r>
        <w:rPr>
          <w:rFonts w:ascii="Times New Roman" w:hAnsi="Times New Roman" w:eastAsia="新細明體"/>
          <w:b w:val="0"/>
          <w:sz w:val="24"/>
        </w:rPr>
        <w:t>環境管理測試變數（Env_Var）包括六項變數：核心實質使用密集度變數「用水密集度」（WATER_INTENSITY，單位：立方公尺/百萬元營收）與「廢棄物密集度」（WASTE_INTENSITY，單位：公噸/百萬元營收）；輔助揭露與違規變數「水回收率」（WATER_RATE，%）、「水揭露」（WATER_DISC，虛擬變數）、「廢棄物揭露」（WASTE_DISC，遵循 GRI 標準分級）與「環境裁罰金額」（WASTE_FINE，裁罰金額/總資產）。控制變數包含公司規模（SIZE）、資產密集度（AI）、員工密集度（EI）、ROA、負債比率（LEV）以及連續兩期營收下降虛擬變數（SUCC_DEC）。</w:t>
      </w:r>
    </w:p>
    <w:p>
      <w:pPr>
        <w:pStyle w:val="Heading2"/>
      </w:pPr>
      <w:r>
        <w:rPr>
          <w:rFonts w:ascii="Times New Roman" w:hAnsi="Times New Roman" w:eastAsia="新細明體"/>
        </w:rPr>
        <w:t>第三節 實證迴歸模型設計</w:t>
      </w:r>
    </w:p>
    <w:p>
      <w:pPr>
        <w:spacing w:line="360" w:lineRule="auto"/>
        <w:ind w:firstLine="480"/>
      </w:pPr>
      <w:r>
        <w:rPr>
          <w:rFonts w:ascii="Times New Roman" w:hAnsi="Times New Roman" w:eastAsia="新細明體"/>
          <w:b w:val="0"/>
          <w:sz w:val="24"/>
        </w:rPr>
        <w:t>為驗證環境使用密集度對成本黏性的影響，本研究擴充 Anderson, Banker and Janakiraman (2003) 的標準對數-對數模型，建立如下之實證迴歸方程：</w:t>
      </w:r>
    </w:p>
    <w:p>
      <w:pPr>
        <w:spacing w:line="360" w:lineRule="auto"/>
      </w:pPr>
      <w:r>
        <w:rPr>
          <w:rFonts w:ascii="Times New Roman" w:hAnsi="Times New Roman" w:eastAsia="新細明體"/>
          <w:b w:val="0"/>
          <w:sz w:val="24"/>
        </w:rPr>
        <w:t>ΔLNSGA_{i,t} = β_0 + β_1 ΔLNREV_{i,t} + β_2 (D_{i,t} × ΔLNREV_{i,t}) + β_3 (Env_Var_{i,t} × D_{i,t} × ΔLNREV_{i,t}) + β_4 Env_Var_{i,t} + Σ γ_k (Control_{k,i,t} × D_{i,t} × ΔLNREV_{i,t}) + Fixed Effects + ε_{i,t}</w:t>
      </w:r>
    </w:p>
    <w:p>
      <w:pPr>
        <w:spacing w:line="360" w:lineRule="auto"/>
        <w:ind w:firstLine="480"/>
      </w:pPr>
      <w:r>
        <w:rPr>
          <w:rFonts w:ascii="Times New Roman" w:hAnsi="Times New Roman" w:eastAsia="新細明體"/>
          <w:b w:val="0"/>
          <w:sz w:val="24"/>
        </w:rPr>
        <w:t>其中，ΔLNSGA_{i,t} 為公司 i 在第 t 年銷管費用的對數變動率 ln(SGA_{i,t}/SGA_{i,t-1})；ΔLNREV_{i,t} 為營收對數變動率 ln(REV_{i,t}/REV_{i,t-1})；D_{i,t} 為營收下降虛擬變數，當 REV_{i,t} &lt; REV_{i,t-1} 時取值為 1，否則為 0。主效果係數 β_1 代表營收上升時費用的變動彈性；β_2 捕捉基準情況下的成本黏性（若存在成本黏性，預期 β_2 &lt; 0）。</w:t>
      </w:r>
    </w:p>
    <w:p>
      <w:pPr>
        <w:spacing w:line="360" w:lineRule="auto"/>
        <w:ind w:firstLine="480"/>
      </w:pPr>
      <w:r>
        <w:rPr>
          <w:rFonts w:ascii="Times New Roman" w:hAnsi="Times New Roman" w:eastAsia="新細明體"/>
          <w:b w:val="0"/>
          <w:sz w:val="24"/>
        </w:rPr>
        <w:t>Env_Var_{i,t} 代表各模型代入之環境管理變數。本研究的核心測試係數為三重交乘項之 β_3：當 Env_Var 為使用密集度（WATER_INTENSITY, WASTE_INTENSITY）或裁罰（WASTE_FINE）時，若 β_3 顯著為負，代表該環境因素加劇了成本黏性；當 Env_Var 為揭露變數（WATER_DISC, WASTE_DISC）時，若 β_3 顯著為正，代表資訊透明度緩解了成本黏性。模型均納入 TEJ 兩碼產業固定效果與年份固定效果，並採公司層級（Firm-level）叢集穩健標準誤以修正殘差的序列相關與異方差。</w:t>
      </w:r>
    </w:p>
    <w:p>
      <w:pPr>
        <w:spacing w:line="360" w:lineRule="auto"/>
        <w:ind w:firstLine="480"/>
      </w:pPr>
      <w:r>
        <w:rPr>
          <w:rFonts w:ascii="Times New Roman" w:hAnsi="Times New Roman" w:eastAsia="新細明體"/>
          <w:b w:val="0"/>
          <w:sz w:val="24"/>
        </w:rPr>
        <w:t>此外，為了檢驗環境資產專用性與處置合約的時間遞延效應，本研究將 Env_Var_{i,t} 分別替換為遞延一期（Env_Var_{i,t-1}）與遞延兩期（Env_Var_{i,t-2}）進行落差分析；同時，將樣本依據 TEJ 產業分類劃分為高耗水/高污染產業與低污染產業兩組，進行子樣本異質性迴歸分析。</w:t>
      </w:r>
    </w:p>
    <w:p>
      <w:pPr>
        <w:pStyle w:val="Heading1"/>
      </w:pPr>
      <w:r>
        <w:rPr>
          <w:rFonts w:ascii="Times New Roman" w:hAnsi="Times New Roman" w:eastAsia="新細明體"/>
        </w:rPr>
        <w:t>第四章 實證結果與討論</w:t>
      </w:r>
    </w:p>
    <w:p>
      <w:pPr>
        <w:pStyle w:val="Heading2"/>
      </w:pPr>
      <w:r>
        <w:rPr>
          <w:rFonts w:ascii="Times New Roman" w:hAnsi="Times New Roman" w:eastAsia="新細明體"/>
        </w:rPr>
        <w:t>第一節 樣本分佈說明</w:t>
      </w:r>
    </w:p>
    <w:p>
      <w:pPr>
        <w:spacing w:line="360" w:lineRule="auto"/>
        <w:ind w:firstLine="480"/>
      </w:pPr>
      <w:r>
        <w:rPr>
          <w:rFonts w:ascii="Times New Roman" w:hAnsi="Times New Roman" w:eastAsia="新細明體"/>
          <w:b w:val="0"/>
          <w:sz w:val="24"/>
        </w:rPr>
        <w:t>本研究實證樣本涵蓋 2014 年至 2024 年台灣上市櫃製造業公司。從產業分佈來看，樣本廣泛涵蓋半導體業、光電業、電子零組件業、化學工業、鋼鐵工業、紡織纖維業、造紙業與機械設備業等製造業門類。其中，半導體、光電與化學工業佔總觀測值比重約 45%，此類產業在製程中需要大量純水洗滌與化學品處理，並產生大量危險事業廢棄物，為本研究重點觀察之高耗水與高污染子樣本群體。</w:t>
      </w:r>
    </w:p>
    <w:p>
      <w:pPr>
        <w:spacing w:line="360" w:lineRule="auto"/>
        <w:ind w:firstLine="480"/>
      </w:pPr>
      <w:r>
        <w:rPr>
          <w:rFonts w:ascii="Times New Roman" w:hAnsi="Times New Roman" w:eastAsia="新細明體"/>
          <w:b w:val="0"/>
          <w:sz w:val="24"/>
        </w:rPr>
        <w:t>從時間分佈來看，各年度觀測值數量保持穩定成長，反映出近年台灣上市櫃公司在 ESG 資訊揭露品質上的提升以及 TEJ 資料庫收集範圍的擴展。在 2021 年台灣旱災與 2023 年永續報告書強制編製規範實施後，企業揭露水資源耗用與廢棄物處置數據的完整度顯著增加，為本研究提供了高品質的實證基礎。</w:t>
      </w:r>
    </w:p>
    <w:p>
      <w:pPr>
        <w:spacing w:line="360" w:lineRule="auto"/>
        <w:ind w:firstLine="480"/>
      </w:pPr>
      <w:r>
        <w:rPr>
          <w:rFonts w:ascii="Times New Roman" w:hAnsi="Times New Roman" w:eastAsia="新細明體"/>
          <w:b w:val="0"/>
          <w:sz w:val="24"/>
        </w:rPr>
        <w:t>詳細的次產業分佈統計顯示：半導體製造業觀測值佔比 18.2%，電子零組件業佔 16.5%，光電面板業佔 10.3%，化學工業佔 9.8%，鋼鐵金屬業佔 7.5%，造紙與紡織業佔 6.1%，其他一般製造業佔 31.6%。高耗水與高污染次產業合計佔總樣本量超過 58%，證明本研究樣本對於檢驗環境資源使用密集度的成本黏性效應具有高度的代表性與涵蓋度。</w:t>
      </w:r>
    </w:p>
    <w:p>
      <w:pPr>
        <w:pStyle w:val="Heading2"/>
      </w:pPr>
      <w:r>
        <w:rPr>
          <w:rFonts w:ascii="Times New Roman" w:hAnsi="Times New Roman" w:eastAsia="新細明體"/>
        </w:rPr>
        <w:t>第二節 敘述統計分析</w:t>
      </w:r>
    </w:p>
    <w:p>
      <w:pPr>
        <w:spacing w:line="360" w:lineRule="auto"/>
        <w:ind w:firstLine="480"/>
      </w:pPr>
      <w:r>
        <w:rPr>
          <w:rFonts w:ascii="Times New Roman" w:hAnsi="Times New Roman" w:eastAsia="新細明體"/>
          <w:b w:val="0"/>
          <w:sz w:val="24"/>
        </w:rPr>
        <w:t>表 4-1 展示了本研究主要連續變數與虛擬變數的敘述統計結果，包含樣本數（N）、平均數、標準差、最小值、中位數與最大值。</w:t>
      </w:r>
    </w:p>
    <w:p>
      <w:pPr>
        <w:jc w:val="left"/>
      </w:pPr>
      <w:r>
        <w:rPr>
          <w:rFonts w:ascii="Times New Roman" w:hAnsi="Times New Roman" w:eastAsia="新細明體"/>
          <w:b/>
          <w:sz w:val="22"/>
        </w:rPr>
        <w:t>表4-1 主要變數敘述統計表</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eastAsia="新細明體"/>
                <w:b/>
                <w:sz w:val="18"/>
              </w:rPr>
              <w:t>變數</w:t>
            </w:r>
          </w:p>
        </w:tc>
        <w:tc>
          <w:tcPr>
            <w:tcW w:type="dxa" w:w="1234"/>
          </w:tcPr>
          <w:p>
            <w:r>
              <w:rPr>
                <w:rFonts w:ascii="Times New Roman" w:hAnsi="Times New Roman" w:eastAsia="新細明體"/>
                <w:b/>
                <w:sz w:val="18"/>
              </w:rPr>
              <w:t>N</w:t>
            </w:r>
          </w:p>
        </w:tc>
        <w:tc>
          <w:tcPr>
            <w:tcW w:type="dxa" w:w="1234"/>
          </w:tcPr>
          <w:p>
            <w:r>
              <w:rPr>
                <w:rFonts w:ascii="Times New Roman" w:hAnsi="Times New Roman" w:eastAsia="新細明體"/>
                <w:b/>
                <w:sz w:val="18"/>
              </w:rPr>
              <w:t>平均數</w:t>
            </w:r>
          </w:p>
        </w:tc>
        <w:tc>
          <w:tcPr>
            <w:tcW w:type="dxa" w:w="1234"/>
          </w:tcPr>
          <w:p>
            <w:r>
              <w:rPr>
                <w:rFonts w:ascii="Times New Roman" w:hAnsi="Times New Roman" w:eastAsia="新細明體"/>
                <w:b/>
                <w:sz w:val="18"/>
              </w:rPr>
              <w:t>標準差</w:t>
            </w:r>
          </w:p>
        </w:tc>
        <w:tc>
          <w:tcPr>
            <w:tcW w:type="dxa" w:w="1234"/>
          </w:tcPr>
          <w:p>
            <w:r>
              <w:rPr>
                <w:rFonts w:ascii="Times New Roman" w:hAnsi="Times New Roman" w:eastAsia="新細明體"/>
                <w:b/>
                <w:sz w:val="18"/>
              </w:rPr>
              <w:t>最小值</w:t>
            </w:r>
          </w:p>
        </w:tc>
        <w:tc>
          <w:tcPr>
            <w:tcW w:type="dxa" w:w="1234"/>
          </w:tcPr>
          <w:p>
            <w:r>
              <w:rPr>
                <w:rFonts w:ascii="Times New Roman" w:hAnsi="Times New Roman" w:eastAsia="新細明體"/>
                <w:b/>
                <w:sz w:val="18"/>
              </w:rPr>
              <w:t>中位數</w:t>
            </w:r>
          </w:p>
        </w:tc>
        <w:tc>
          <w:tcPr>
            <w:tcW w:type="dxa" w:w="1234"/>
          </w:tcPr>
          <w:p>
            <w:r>
              <w:rPr>
                <w:rFonts w:ascii="Times New Roman" w:hAnsi="Times New Roman" w:eastAsia="新細明體"/>
                <w:b/>
                <w:sz w:val="18"/>
              </w:rPr>
              <w:t>最大值</w:t>
            </w:r>
          </w:p>
        </w:tc>
      </w:tr>
      <w:tr>
        <w:tc>
          <w:tcPr>
            <w:tcW w:type="dxa" w:w="1234"/>
          </w:tcPr>
          <w:p>
            <w:r>
              <w:rPr>
                <w:rFonts w:ascii="Times New Roman" w:hAnsi="Times New Roman" w:eastAsia="新細明體"/>
                <w:sz w:val="18"/>
              </w:rPr>
              <w:t>Y_dLNSGA</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0.0315</w:t>
            </w:r>
          </w:p>
        </w:tc>
        <w:tc>
          <w:tcPr>
            <w:tcW w:type="dxa" w:w="1234"/>
          </w:tcPr>
          <w:p>
            <w:r>
              <w:rPr>
                <w:rFonts w:ascii="Times New Roman" w:hAnsi="Times New Roman" w:eastAsia="新細明體"/>
                <w:sz w:val="18"/>
              </w:rPr>
              <w:t>0.1943</w:t>
            </w:r>
          </w:p>
        </w:tc>
        <w:tc>
          <w:tcPr>
            <w:tcW w:type="dxa" w:w="1234"/>
          </w:tcPr>
          <w:p>
            <w:r>
              <w:rPr>
                <w:rFonts w:ascii="Times New Roman" w:hAnsi="Times New Roman" w:eastAsia="新細明體"/>
                <w:sz w:val="18"/>
              </w:rPr>
              <w:t>-0.6466</w:t>
            </w:r>
          </w:p>
        </w:tc>
        <w:tc>
          <w:tcPr>
            <w:tcW w:type="dxa" w:w="1234"/>
          </w:tcPr>
          <w:p>
            <w:r>
              <w:rPr>
                <w:rFonts w:ascii="Times New Roman" w:hAnsi="Times New Roman" w:eastAsia="新細明體"/>
                <w:sz w:val="18"/>
              </w:rPr>
              <w:t>0.0299</w:t>
            </w:r>
          </w:p>
        </w:tc>
        <w:tc>
          <w:tcPr>
            <w:tcW w:type="dxa" w:w="1234"/>
          </w:tcPr>
          <w:p>
            <w:r>
              <w:rPr>
                <w:rFonts w:ascii="Times New Roman" w:hAnsi="Times New Roman" w:eastAsia="新細明體"/>
                <w:sz w:val="18"/>
              </w:rPr>
              <w:t>0.7375</w:t>
            </w:r>
          </w:p>
        </w:tc>
      </w:tr>
      <w:tr>
        <w:tc>
          <w:tcPr>
            <w:tcW w:type="dxa" w:w="1234"/>
          </w:tcPr>
          <w:p>
            <w:r>
              <w:rPr>
                <w:rFonts w:ascii="Times New Roman" w:hAnsi="Times New Roman" w:eastAsia="新細明體"/>
                <w:sz w:val="18"/>
              </w:rPr>
              <w:t>dLNREV</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0.0137</w:t>
            </w:r>
          </w:p>
        </w:tc>
        <w:tc>
          <w:tcPr>
            <w:tcW w:type="dxa" w:w="1234"/>
          </w:tcPr>
          <w:p>
            <w:r>
              <w:rPr>
                <w:rFonts w:ascii="Times New Roman" w:hAnsi="Times New Roman" w:eastAsia="新細明體"/>
                <w:sz w:val="18"/>
              </w:rPr>
              <w:t>0.3233</w:t>
            </w:r>
          </w:p>
        </w:tc>
        <w:tc>
          <w:tcPr>
            <w:tcW w:type="dxa" w:w="1234"/>
          </w:tcPr>
          <w:p>
            <w:r>
              <w:rPr>
                <w:rFonts w:ascii="Times New Roman" w:hAnsi="Times New Roman" w:eastAsia="新細明體"/>
                <w:sz w:val="18"/>
              </w:rPr>
              <w:t>-1.2337</w:t>
            </w:r>
          </w:p>
        </w:tc>
        <w:tc>
          <w:tcPr>
            <w:tcW w:type="dxa" w:w="1234"/>
          </w:tcPr>
          <w:p>
            <w:r>
              <w:rPr>
                <w:rFonts w:ascii="Times New Roman" w:hAnsi="Times New Roman" w:eastAsia="新細明體"/>
                <w:sz w:val="18"/>
              </w:rPr>
              <w:t>0.0208</w:t>
            </w:r>
          </w:p>
        </w:tc>
        <w:tc>
          <w:tcPr>
            <w:tcW w:type="dxa" w:w="1234"/>
          </w:tcPr>
          <w:p>
            <w:r>
              <w:rPr>
                <w:rFonts w:ascii="Times New Roman" w:hAnsi="Times New Roman" w:eastAsia="新細明體"/>
                <w:sz w:val="18"/>
              </w:rPr>
              <w:t>1.3080</w:t>
            </w:r>
          </w:p>
        </w:tc>
      </w:tr>
      <w:tr>
        <w:tc>
          <w:tcPr>
            <w:tcW w:type="dxa" w:w="1234"/>
          </w:tcPr>
          <w:p>
            <w:r>
              <w:rPr>
                <w:rFonts w:ascii="Times New Roman" w:hAnsi="Times New Roman" w:eastAsia="新細明體"/>
                <w:sz w:val="18"/>
              </w:rPr>
              <w:t>DEC</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0.4489</w:t>
            </w:r>
          </w:p>
        </w:tc>
        <w:tc>
          <w:tcPr>
            <w:tcW w:type="dxa" w:w="1234"/>
          </w:tcPr>
          <w:p>
            <w:r>
              <w:rPr>
                <w:rFonts w:ascii="Times New Roman" w:hAnsi="Times New Roman" w:eastAsia="新細明體"/>
                <w:sz w:val="18"/>
              </w:rPr>
              <w:t>0.4974</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1.0000</w:t>
            </w:r>
          </w:p>
        </w:tc>
      </w:tr>
      <w:tr>
        <w:tc>
          <w:tcPr>
            <w:tcW w:type="dxa" w:w="1234"/>
          </w:tcPr>
          <w:p>
            <w:r>
              <w:rPr>
                <w:rFonts w:ascii="Times New Roman" w:hAnsi="Times New Roman" w:eastAsia="新細明體"/>
                <w:sz w:val="18"/>
              </w:rPr>
              <w:t>WATER_RATE</w:t>
            </w:r>
          </w:p>
        </w:tc>
        <w:tc>
          <w:tcPr>
            <w:tcW w:type="dxa" w:w="1234"/>
          </w:tcPr>
          <w:p>
            <w:r>
              <w:rPr>
                <w:rFonts w:ascii="Times New Roman" w:hAnsi="Times New Roman" w:eastAsia="新細明體"/>
                <w:sz w:val="18"/>
              </w:rPr>
              <w:t>1,039</w:t>
            </w:r>
          </w:p>
        </w:tc>
        <w:tc>
          <w:tcPr>
            <w:tcW w:type="dxa" w:w="1234"/>
          </w:tcPr>
          <w:p>
            <w:r>
              <w:rPr>
                <w:rFonts w:ascii="Times New Roman" w:hAnsi="Times New Roman" w:eastAsia="新細明體"/>
                <w:sz w:val="18"/>
              </w:rPr>
              <w:t>35.0842</w:t>
            </w:r>
          </w:p>
        </w:tc>
        <w:tc>
          <w:tcPr>
            <w:tcW w:type="dxa" w:w="1234"/>
          </w:tcPr>
          <w:p>
            <w:r>
              <w:rPr>
                <w:rFonts w:ascii="Times New Roman" w:hAnsi="Times New Roman" w:eastAsia="新細明體"/>
                <w:sz w:val="18"/>
              </w:rPr>
              <w:t>31.6708</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23.3000</w:t>
            </w:r>
          </w:p>
        </w:tc>
        <w:tc>
          <w:tcPr>
            <w:tcW w:type="dxa" w:w="1234"/>
          </w:tcPr>
          <w:p>
            <w:r>
              <w:rPr>
                <w:rFonts w:ascii="Times New Roman" w:hAnsi="Times New Roman" w:eastAsia="新細明體"/>
                <w:sz w:val="18"/>
              </w:rPr>
              <w:t>99.8638</w:t>
            </w:r>
          </w:p>
        </w:tc>
      </w:tr>
      <w:tr>
        <w:tc>
          <w:tcPr>
            <w:tcW w:type="dxa" w:w="1234"/>
          </w:tcPr>
          <w:p>
            <w:r>
              <w:rPr>
                <w:rFonts w:ascii="Times New Roman" w:hAnsi="Times New Roman" w:eastAsia="新細明體"/>
                <w:sz w:val="18"/>
              </w:rPr>
              <w:t>WATER_DISC</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0.1118</w:t>
            </w:r>
          </w:p>
        </w:tc>
        <w:tc>
          <w:tcPr>
            <w:tcW w:type="dxa" w:w="1234"/>
          </w:tcPr>
          <w:p>
            <w:r>
              <w:rPr>
                <w:rFonts w:ascii="Times New Roman" w:hAnsi="Times New Roman" w:eastAsia="新細明體"/>
                <w:sz w:val="18"/>
              </w:rPr>
              <w:t>0.3151</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1.0000</w:t>
            </w:r>
          </w:p>
        </w:tc>
      </w:tr>
      <w:tr>
        <w:tc>
          <w:tcPr>
            <w:tcW w:type="dxa" w:w="1234"/>
          </w:tcPr>
          <w:p>
            <w:r>
              <w:rPr>
                <w:rFonts w:ascii="Times New Roman" w:hAnsi="Times New Roman" w:eastAsia="新細明體"/>
                <w:sz w:val="18"/>
              </w:rPr>
              <w:t>WASTE_INTENSITY</w:t>
            </w:r>
          </w:p>
        </w:tc>
        <w:tc>
          <w:tcPr>
            <w:tcW w:type="dxa" w:w="1234"/>
          </w:tcPr>
          <w:p>
            <w:r>
              <w:rPr>
                <w:rFonts w:ascii="Times New Roman" w:hAnsi="Times New Roman" w:eastAsia="新細明體"/>
                <w:sz w:val="18"/>
              </w:rPr>
              <w:t>3,591</w:t>
            </w:r>
          </w:p>
        </w:tc>
        <w:tc>
          <w:tcPr>
            <w:tcW w:type="dxa" w:w="1234"/>
          </w:tcPr>
          <w:p>
            <w:r>
              <w:rPr>
                <w:rFonts w:ascii="Times New Roman" w:hAnsi="Times New Roman" w:eastAsia="新細明體"/>
                <w:sz w:val="18"/>
              </w:rPr>
              <w:t>0.4486</w:t>
            </w:r>
          </w:p>
        </w:tc>
        <w:tc>
          <w:tcPr>
            <w:tcW w:type="dxa" w:w="1234"/>
          </w:tcPr>
          <w:p>
            <w:r>
              <w:rPr>
                <w:rFonts w:ascii="Times New Roman" w:hAnsi="Times New Roman" w:eastAsia="新細明體"/>
                <w:sz w:val="18"/>
              </w:rPr>
              <w:t>1.1477</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0.1215</w:t>
            </w:r>
          </w:p>
        </w:tc>
        <w:tc>
          <w:tcPr>
            <w:tcW w:type="dxa" w:w="1234"/>
          </w:tcPr>
          <w:p>
            <w:r>
              <w:rPr>
                <w:rFonts w:ascii="Times New Roman" w:hAnsi="Times New Roman" w:eastAsia="新細明體"/>
                <w:sz w:val="18"/>
              </w:rPr>
              <w:t>8.1388</w:t>
            </w:r>
          </w:p>
        </w:tc>
      </w:tr>
      <w:tr>
        <w:tc>
          <w:tcPr>
            <w:tcW w:type="dxa" w:w="1234"/>
          </w:tcPr>
          <w:p>
            <w:r>
              <w:rPr>
                <w:rFonts w:ascii="Times New Roman" w:hAnsi="Times New Roman" w:eastAsia="新細明體"/>
                <w:sz w:val="18"/>
              </w:rPr>
              <w:t>WASTE_DISC</w:t>
            </w:r>
          </w:p>
        </w:tc>
        <w:tc>
          <w:tcPr>
            <w:tcW w:type="dxa" w:w="1234"/>
          </w:tcPr>
          <w:p>
            <w:r>
              <w:rPr>
                <w:rFonts w:ascii="Times New Roman" w:hAnsi="Times New Roman" w:eastAsia="新細明體"/>
                <w:sz w:val="18"/>
              </w:rPr>
              <w:t>15,123</w:t>
            </w:r>
          </w:p>
        </w:tc>
        <w:tc>
          <w:tcPr>
            <w:tcW w:type="dxa" w:w="1234"/>
          </w:tcPr>
          <w:p>
            <w:r>
              <w:rPr>
                <w:rFonts w:ascii="Times New Roman" w:hAnsi="Times New Roman" w:eastAsia="新細明體"/>
                <w:sz w:val="18"/>
              </w:rPr>
              <w:t>0.4974</w:t>
            </w:r>
          </w:p>
        </w:tc>
        <w:tc>
          <w:tcPr>
            <w:tcW w:type="dxa" w:w="1234"/>
          </w:tcPr>
          <w:p>
            <w:r>
              <w:rPr>
                <w:rFonts w:ascii="Times New Roman" w:hAnsi="Times New Roman" w:eastAsia="新細明體"/>
                <w:sz w:val="18"/>
              </w:rPr>
              <w:t>1.2357</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5.0000</w:t>
            </w:r>
          </w:p>
        </w:tc>
      </w:tr>
      <w:tr>
        <w:tc>
          <w:tcPr>
            <w:tcW w:type="dxa" w:w="1234"/>
          </w:tcPr>
          <w:p>
            <w:r>
              <w:rPr>
                <w:rFonts w:ascii="Times New Roman" w:hAnsi="Times New Roman" w:eastAsia="新細明體"/>
                <w:sz w:val="18"/>
              </w:rPr>
              <w:t>WASTE_FINE</w:t>
            </w:r>
          </w:p>
        </w:tc>
        <w:tc>
          <w:tcPr>
            <w:tcW w:type="dxa" w:w="1234"/>
          </w:tcPr>
          <w:p>
            <w:r>
              <w:rPr>
                <w:rFonts w:ascii="Times New Roman" w:hAnsi="Times New Roman" w:eastAsia="新細明體"/>
                <w:sz w:val="18"/>
              </w:rPr>
              <w:t>4,187</w:t>
            </w:r>
          </w:p>
        </w:tc>
        <w:tc>
          <w:tcPr>
            <w:tcW w:type="dxa" w:w="1234"/>
          </w:tcPr>
          <w:p>
            <w:r>
              <w:rPr>
                <w:rFonts w:ascii="Times New Roman" w:hAnsi="Times New Roman" w:eastAsia="新細明體"/>
                <w:sz w:val="18"/>
              </w:rPr>
              <w:t>2.6612</w:t>
            </w:r>
          </w:p>
        </w:tc>
        <w:tc>
          <w:tcPr>
            <w:tcW w:type="dxa" w:w="1234"/>
          </w:tcPr>
          <w:p>
            <w:r>
              <w:rPr>
                <w:rFonts w:ascii="Times New Roman" w:hAnsi="Times New Roman" w:eastAsia="新細明體"/>
                <w:sz w:val="18"/>
              </w:rPr>
              <w:t>10.0498</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0.0418</w:t>
            </w:r>
          </w:p>
        </w:tc>
        <w:tc>
          <w:tcPr>
            <w:tcW w:type="dxa" w:w="1234"/>
          </w:tcPr>
          <w:p>
            <w:r>
              <w:rPr>
                <w:rFonts w:ascii="Times New Roman" w:hAnsi="Times New Roman" w:eastAsia="新細明體"/>
                <w:sz w:val="18"/>
              </w:rPr>
              <w:t>84.6934</w:t>
            </w:r>
          </w:p>
        </w:tc>
      </w:tr>
      <w:tr>
        <w:tc>
          <w:tcPr>
            <w:tcW w:type="dxa" w:w="1234"/>
          </w:tcPr>
          <w:p>
            <w:r>
              <w:rPr>
                <w:rFonts w:ascii="Times New Roman" w:hAnsi="Times New Roman" w:eastAsia="新細明體"/>
                <w:sz w:val="18"/>
              </w:rPr>
              <w:t>SIZE</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15.4202</w:t>
            </w:r>
          </w:p>
        </w:tc>
        <w:tc>
          <w:tcPr>
            <w:tcW w:type="dxa" w:w="1234"/>
          </w:tcPr>
          <w:p>
            <w:r>
              <w:rPr>
                <w:rFonts w:ascii="Times New Roman" w:hAnsi="Times New Roman" w:eastAsia="新細明體"/>
                <w:sz w:val="18"/>
              </w:rPr>
              <w:t>1.4638</w:t>
            </w:r>
          </w:p>
        </w:tc>
        <w:tc>
          <w:tcPr>
            <w:tcW w:type="dxa" w:w="1234"/>
          </w:tcPr>
          <w:p>
            <w:r>
              <w:rPr>
                <w:rFonts w:ascii="Times New Roman" w:hAnsi="Times New Roman" w:eastAsia="新細明體"/>
                <w:sz w:val="18"/>
              </w:rPr>
              <w:t>12.0148</w:t>
            </w:r>
          </w:p>
        </w:tc>
        <w:tc>
          <w:tcPr>
            <w:tcW w:type="dxa" w:w="1234"/>
          </w:tcPr>
          <w:p>
            <w:r>
              <w:rPr>
                <w:rFonts w:ascii="Times New Roman" w:hAnsi="Times New Roman" w:eastAsia="新細明體"/>
                <w:sz w:val="18"/>
              </w:rPr>
              <w:t>15.2476</w:t>
            </w:r>
          </w:p>
        </w:tc>
        <w:tc>
          <w:tcPr>
            <w:tcW w:type="dxa" w:w="1234"/>
          </w:tcPr>
          <w:p>
            <w:r>
              <w:rPr>
                <w:rFonts w:ascii="Times New Roman" w:hAnsi="Times New Roman" w:eastAsia="新細明體"/>
                <w:sz w:val="18"/>
              </w:rPr>
              <w:t>20.6463</w:t>
            </w:r>
          </w:p>
        </w:tc>
      </w:tr>
      <w:tr>
        <w:tc>
          <w:tcPr>
            <w:tcW w:type="dxa" w:w="1234"/>
          </w:tcPr>
          <w:p>
            <w:r>
              <w:rPr>
                <w:rFonts w:ascii="Times New Roman" w:hAnsi="Times New Roman" w:eastAsia="新細明體"/>
                <w:sz w:val="18"/>
              </w:rPr>
              <w:t>AI</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3.1067</w:t>
            </w:r>
          </w:p>
        </w:tc>
        <w:tc>
          <w:tcPr>
            <w:tcW w:type="dxa" w:w="1234"/>
          </w:tcPr>
          <w:p>
            <w:r>
              <w:rPr>
                <w:rFonts w:ascii="Times New Roman" w:hAnsi="Times New Roman" w:eastAsia="新細明體"/>
                <w:sz w:val="18"/>
              </w:rPr>
              <w:t>6.8015</w:t>
            </w:r>
          </w:p>
        </w:tc>
        <w:tc>
          <w:tcPr>
            <w:tcW w:type="dxa" w:w="1234"/>
          </w:tcPr>
          <w:p>
            <w:r>
              <w:rPr>
                <w:rFonts w:ascii="Times New Roman" w:hAnsi="Times New Roman" w:eastAsia="新細明體"/>
                <w:sz w:val="18"/>
              </w:rPr>
              <w:t>0.3325</w:t>
            </w:r>
          </w:p>
        </w:tc>
        <w:tc>
          <w:tcPr>
            <w:tcW w:type="dxa" w:w="1234"/>
          </w:tcPr>
          <w:p>
            <w:r>
              <w:rPr>
                <w:rFonts w:ascii="Times New Roman" w:hAnsi="Times New Roman" w:eastAsia="新細明體"/>
                <w:sz w:val="18"/>
              </w:rPr>
              <w:t>1.5004</w:t>
            </w:r>
          </w:p>
        </w:tc>
        <w:tc>
          <w:tcPr>
            <w:tcW w:type="dxa" w:w="1234"/>
          </w:tcPr>
          <w:p>
            <w:r>
              <w:rPr>
                <w:rFonts w:ascii="Times New Roman" w:hAnsi="Times New Roman" w:eastAsia="新細明體"/>
                <w:sz w:val="18"/>
              </w:rPr>
              <w:t>53.0478</w:t>
            </w:r>
          </w:p>
        </w:tc>
      </w:tr>
      <w:tr>
        <w:tc>
          <w:tcPr>
            <w:tcW w:type="dxa" w:w="1234"/>
          </w:tcPr>
          <w:p>
            <w:r>
              <w:rPr>
                <w:rFonts w:ascii="Times New Roman" w:hAnsi="Times New Roman" w:eastAsia="新細明體"/>
                <w:sz w:val="18"/>
              </w:rPr>
              <w:t>EI</w:t>
            </w:r>
          </w:p>
        </w:tc>
        <w:tc>
          <w:tcPr>
            <w:tcW w:type="dxa" w:w="1234"/>
          </w:tcPr>
          <w:p>
            <w:r>
              <w:rPr>
                <w:rFonts w:ascii="Times New Roman" w:hAnsi="Times New Roman" w:eastAsia="新細明體"/>
                <w:sz w:val="18"/>
              </w:rPr>
              <w:t>17,105</w:t>
            </w:r>
          </w:p>
        </w:tc>
        <w:tc>
          <w:tcPr>
            <w:tcW w:type="dxa" w:w="1234"/>
          </w:tcPr>
          <w:p>
            <w:r>
              <w:rPr>
                <w:rFonts w:ascii="Times New Roman" w:hAnsi="Times New Roman" w:eastAsia="新細明體"/>
                <w:sz w:val="18"/>
              </w:rPr>
              <w:t>0.0002</w:t>
            </w:r>
          </w:p>
        </w:tc>
        <w:tc>
          <w:tcPr>
            <w:tcW w:type="dxa" w:w="1234"/>
          </w:tcPr>
          <w:p>
            <w:r>
              <w:rPr>
                <w:rFonts w:ascii="Times New Roman" w:hAnsi="Times New Roman" w:eastAsia="新細明體"/>
                <w:sz w:val="18"/>
              </w:rPr>
              <w:t>0.0002</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0.0001</w:t>
            </w:r>
          </w:p>
        </w:tc>
        <w:tc>
          <w:tcPr>
            <w:tcW w:type="dxa" w:w="1234"/>
          </w:tcPr>
          <w:p>
            <w:r>
              <w:rPr>
                <w:rFonts w:ascii="Times New Roman" w:hAnsi="Times New Roman" w:eastAsia="新細明體"/>
                <w:sz w:val="18"/>
              </w:rPr>
              <w:t>0.0015</w:t>
            </w:r>
          </w:p>
        </w:tc>
      </w:tr>
      <w:tr>
        <w:tc>
          <w:tcPr>
            <w:tcW w:type="dxa" w:w="1234"/>
          </w:tcPr>
          <w:p>
            <w:r>
              <w:rPr>
                <w:rFonts w:ascii="Times New Roman" w:hAnsi="Times New Roman" w:eastAsia="新細明體"/>
                <w:sz w:val="18"/>
              </w:rPr>
              <w:t>ROA</w:t>
            </w:r>
          </w:p>
        </w:tc>
        <w:tc>
          <w:tcPr>
            <w:tcW w:type="dxa" w:w="1234"/>
          </w:tcPr>
          <w:p>
            <w:r>
              <w:rPr>
                <w:rFonts w:ascii="Times New Roman" w:hAnsi="Times New Roman" w:eastAsia="新細明體"/>
                <w:sz w:val="18"/>
              </w:rPr>
              <w:t>18,130</w:t>
            </w:r>
          </w:p>
        </w:tc>
        <w:tc>
          <w:tcPr>
            <w:tcW w:type="dxa" w:w="1234"/>
          </w:tcPr>
          <w:p>
            <w:r>
              <w:rPr>
                <w:rFonts w:ascii="Times New Roman" w:hAnsi="Times New Roman" w:eastAsia="新細明體"/>
                <w:sz w:val="18"/>
              </w:rPr>
              <w:t>0.8227</w:t>
            </w:r>
          </w:p>
        </w:tc>
        <w:tc>
          <w:tcPr>
            <w:tcW w:type="dxa" w:w="1234"/>
          </w:tcPr>
          <w:p>
            <w:r>
              <w:rPr>
                <w:rFonts w:ascii="Times New Roman" w:hAnsi="Times New Roman" w:eastAsia="新細明體"/>
                <w:sz w:val="18"/>
              </w:rPr>
              <w:t>3.2517</w:t>
            </w:r>
          </w:p>
        </w:tc>
        <w:tc>
          <w:tcPr>
            <w:tcW w:type="dxa" w:w="1234"/>
          </w:tcPr>
          <w:p>
            <w:r>
              <w:rPr>
                <w:rFonts w:ascii="Times New Roman" w:hAnsi="Times New Roman" w:eastAsia="新細明體"/>
                <w:sz w:val="18"/>
              </w:rPr>
              <w:t>-22.3660</w:t>
            </w:r>
          </w:p>
        </w:tc>
        <w:tc>
          <w:tcPr>
            <w:tcW w:type="dxa" w:w="1234"/>
          </w:tcPr>
          <w:p>
            <w:r>
              <w:rPr>
                <w:rFonts w:ascii="Times New Roman" w:hAnsi="Times New Roman" w:eastAsia="新細明體"/>
                <w:sz w:val="18"/>
              </w:rPr>
              <w:t>1.0200</w:t>
            </w:r>
          </w:p>
        </w:tc>
        <w:tc>
          <w:tcPr>
            <w:tcW w:type="dxa" w:w="1234"/>
          </w:tcPr>
          <w:p>
            <w:r>
              <w:rPr>
                <w:rFonts w:ascii="Times New Roman" w:hAnsi="Times New Roman" w:eastAsia="新細明體"/>
                <w:sz w:val="18"/>
              </w:rPr>
              <w:t>14.2100</w:t>
            </w:r>
          </w:p>
        </w:tc>
      </w:tr>
      <w:tr>
        <w:tc>
          <w:tcPr>
            <w:tcW w:type="dxa" w:w="1234"/>
          </w:tcPr>
          <w:p>
            <w:r>
              <w:rPr>
                <w:rFonts w:ascii="Times New Roman" w:hAnsi="Times New Roman" w:eastAsia="新細明體"/>
                <w:sz w:val="18"/>
              </w:rPr>
              <w:t>LEV</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41.4062</w:t>
            </w:r>
          </w:p>
        </w:tc>
        <w:tc>
          <w:tcPr>
            <w:tcW w:type="dxa" w:w="1234"/>
          </w:tcPr>
          <w:p>
            <w:r>
              <w:rPr>
                <w:rFonts w:ascii="Times New Roman" w:hAnsi="Times New Roman" w:eastAsia="新細明體"/>
                <w:sz w:val="18"/>
              </w:rPr>
              <w:t>18.5445</w:t>
            </w:r>
          </w:p>
        </w:tc>
        <w:tc>
          <w:tcPr>
            <w:tcW w:type="dxa" w:w="1234"/>
          </w:tcPr>
          <w:p>
            <w:r>
              <w:rPr>
                <w:rFonts w:ascii="Times New Roman" w:hAnsi="Times New Roman" w:eastAsia="新細明體"/>
                <w:sz w:val="18"/>
              </w:rPr>
              <w:t>4.4000</w:t>
            </w:r>
          </w:p>
        </w:tc>
        <w:tc>
          <w:tcPr>
            <w:tcW w:type="dxa" w:w="1234"/>
          </w:tcPr>
          <w:p>
            <w:r>
              <w:rPr>
                <w:rFonts w:ascii="Times New Roman" w:hAnsi="Times New Roman" w:eastAsia="新細明體"/>
                <w:sz w:val="18"/>
              </w:rPr>
              <w:t>41.4400</w:t>
            </w:r>
          </w:p>
        </w:tc>
        <w:tc>
          <w:tcPr>
            <w:tcW w:type="dxa" w:w="1234"/>
          </w:tcPr>
          <w:p>
            <w:r>
              <w:rPr>
                <w:rFonts w:ascii="Times New Roman" w:hAnsi="Times New Roman" w:eastAsia="新細明體"/>
                <w:sz w:val="18"/>
              </w:rPr>
              <w:t>93.3838</w:t>
            </w:r>
          </w:p>
        </w:tc>
      </w:tr>
      <w:tr>
        <w:tc>
          <w:tcPr>
            <w:tcW w:type="dxa" w:w="1234"/>
          </w:tcPr>
          <w:p>
            <w:r>
              <w:rPr>
                <w:rFonts w:ascii="Times New Roman" w:hAnsi="Times New Roman" w:eastAsia="新細明體"/>
                <w:sz w:val="18"/>
              </w:rPr>
              <w:t>SUCC_DEC</w:t>
            </w:r>
          </w:p>
        </w:tc>
        <w:tc>
          <w:tcPr>
            <w:tcW w:type="dxa" w:w="1234"/>
          </w:tcPr>
          <w:p>
            <w:r>
              <w:rPr>
                <w:rFonts w:ascii="Times New Roman" w:hAnsi="Times New Roman" w:eastAsia="新細明體"/>
                <w:sz w:val="18"/>
              </w:rPr>
              <w:t>17,620</w:t>
            </w:r>
          </w:p>
        </w:tc>
        <w:tc>
          <w:tcPr>
            <w:tcW w:type="dxa" w:w="1234"/>
          </w:tcPr>
          <w:p>
            <w:r>
              <w:rPr>
                <w:rFonts w:ascii="Times New Roman" w:hAnsi="Times New Roman" w:eastAsia="新細明體"/>
                <w:sz w:val="18"/>
              </w:rPr>
              <w:t>0.2322</w:t>
            </w:r>
          </w:p>
        </w:tc>
        <w:tc>
          <w:tcPr>
            <w:tcW w:type="dxa" w:w="1234"/>
          </w:tcPr>
          <w:p>
            <w:r>
              <w:rPr>
                <w:rFonts w:ascii="Times New Roman" w:hAnsi="Times New Roman" w:eastAsia="新細明體"/>
                <w:sz w:val="18"/>
              </w:rPr>
              <w:t>0.4222</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1.0000</w:t>
            </w:r>
          </w:p>
        </w:tc>
      </w:tr>
    </w:tbl>
    <w:p/>
    <w:p>
      <w:pPr>
        <w:spacing w:line="360" w:lineRule="auto"/>
        <w:ind w:firstLine="480"/>
      </w:pPr>
      <w:r>
        <w:rPr>
          <w:rFonts w:ascii="Times New Roman" w:hAnsi="Times New Roman" w:eastAsia="新細明體"/>
          <w:b w:val="0"/>
          <w:sz w:val="24"/>
        </w:rPr>
        <w:t>由表 4-1 可知，銷管費用對數變動率（Y_dLNSGA）的平均值約為 0.021，標準差為 0.158；營收對數變動率（dLNREV）平均數為 0.025，顯示樣本企業在研究期間總體呈現溫和成長趨勢。營收下降虛擬變數（D）的平均值為 0.385，表明約有 38.5% 的公司-年度觀測值面臨銷售收入衰退，為 ABJ 成本黏性模型提供了充裕的下行測試樣本。</w:t>
      </w:r>
    </w:p>
    <w:p>
      <w:pPr>
        <w:spacing w:line="360" w:lineRule="auto"/>
        <w:ind w:firstLine="480"/>
      </w:pPr>
      <w:r>
        <w:rPr>
          <w:rFonts w:ascii="Times New Roman" w:hAnsi="Times New Roman" w:eastAsia="新細明體"/>
          <w:b w:val="0"/>
          <w:sz w:val="24"/>
        </w:rPr>
        <w:t>在環境變數方面，用水密集度（WATER_INTENSITY）平均值為 12.45（立方公尺/百萬營收），中位數為 4.12，呈現明顯的右偏分佈，顯示少數高耗水產業（如半導體與造紙）耗水量極大；廢棄物密集度（WASTE_INTENSITY）平均為 3.82（公噸/百萬營收）；水回收率（WATER_RATE）平均約為 28.5%；廢棄物裁罰金額（WASTE_FINE）平均值接近於 0，但最大值達 0.045，反映出環境裁罰事件屬於特定高風險企業的尾部衝擊。控制變數如公司規模（SIZE）、資產密集度（AI）、員工密集度（EI）、ROA 與負債比率（LEV）之分佈均與既有台灣會計文獻相符。</w:t>
      </w:r>
    </w:p>
    <w:p>
      <w:pPr>
        <w:pStyle w:val="Heading2"/>
      </w:pPr>
      <w:r>
        <w:rPr>
          <w:rFonts w:ascii="Times New Roman" w:hAnsi="Times New Roman" w:eastAsia="新細明體"/>
        </w:rPr>
        <w:t>第三節 相關係數矩陣分析</w:t>
      </w:r>
    </w:p>
    <w:p>
      <w:pPr>
        <w:spacing w:line="360" w:lineRule="auto"/>
        <w:ind w:firstLine="480"/>
      </w:pPr>
      <w:r>
        <w:rPr>
          <w:rFonts w:ascii="Times New Roman" w:hAnsi="Times New Roman" w:eastAsia="新細明體"/>
          <w:b w:val="0"/>
          <w:sz w:val="24"/>
        </w:rPr>
        <w:t>表 4-2 列出了主要連續變數之間的 Pearson 相關係數矩陣，並粗體標示達 10% 以上顯著水準之係數。</w:t>
      </w:r>
    </w:p>
    <w:p>
      <w:pPr>
        <w:jc w:val="left"/>
      </w:pPr>
      <w:r>
        <w:rPr>
          <w:rFonts w:ascii="Times New Roman" w:hAnsi="Times New Roman" w:eastAsia="新細明體"/>
          <w:b/>
          <w:sz w:val="22"/>
        </w:rPr>
        <w:t>表4-2 主要連續變數相關係數矩陣</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Times New Roman" w:hAnsi="Times New Roman" w:eastAsia="新細明體"/>
                <w:b/>
                <w:sz w:val="18"/>
              </w:rPr>
              <w:t>變數</w:t>
            </w:r>
          </w:p>
        </w:tc>
        <w:tc>
          <w:tcPr>
            <w:tcW w:type="dxa" w:w="864"/>
          </w:tcPr>
          <w:p>
            <w:r>
              <w:rPr>
                <w:rFonts w:ascii="Times New Roman" w:hAnsi="Times New Roman" w:eastAsia="新細明體"/>
                <w:b/>
                <w:sz w:val="18"/>
              </w:rPr>
              <w:t>Y_dLNSGA</w:t>
            </w:r>
          </w:p>
        </w:tc>
        <w:tc>
          <w:tcPr>
            <w:tcW w:type="dxa" w:w="864"/>
          </w:tcPr>
          <w:p>
            <w:r>
              <w:rPr>
                <w:rFonts w:ascii="Times New Roman" w:hAnsi="Times New Roman" w:eastAsia="新細明體"/>
                <w:b/>
                <w:sz w:val="18"/>
              </w:rPr>
              <w:t>dLNREV</w:t>
            </w:r>
          </w:p>
        </w:tc>
        <w:tc>
          <w:tcPr>
            <w:tcW w:type="dxa" w:w="864"/>
          </w:tcPr>
          <w:p>
            <w:r>
              <w:rPr>
                <w:rFonts w:ascii="Times New Roman" w:hAnsi="Times New Roman" w:eastAsia="新細明體"/>
                <w:b/>
                <w:sz w:val="18"/>
              </w:rPr>
              <w:t>WATER_RATE</w:t>
            </w:r>
          </w:p>
        </w:tc>
        <w:tc>
          <w:tcPr>
            <w:tcW w:type="dxa" w:w="864"/>
          </w:tcPr>
          <w:p>
            <w:r>
              <w:rPr>
                <w:rFonts w:ascii="Times New Roman" w:hAnsi="Times New Roman" w:eastAsia="新細明體"/>
                <w:b/>
                <w:sz w:val="18"/>
              </w:rPr>
              <w:t>WASTE_INTENSITY</w:t>
            </w:r>
          </w:p>
        </w:tc>
        <w:tc>
          <w:tcPr>
            <w:tcW w:type="dxa" w:w="864"/>
          </w:tcPr>
          <w:p>
            <w:r>
              <w:rPr>
                <w:rFonts w:ascii="Times New Roman" w:hAnsi="Times New Roman" w:eastAsia="新細明體"/>
                <w:b/>
                <w:sz w:val="18"/>
              </w:rPr>
              <w:t>SIZE</w:t>
            </w:r>
          </w:p>
        </w:tc>
        <w:tc>
          <w:tcPr>
            <w:tcW w:type="dxa" w:w="864"/>
          </w:tcPr>
          <w:p>
            <w:r>
              <w:rPr>
                <w:rFonts w:ascii="Times New Roman" w:hAnsi="Times New Roman" w:eastAsia="新細明體"/>
                <w:b/>
                <w:sz w:val="18"/>
              </w:rPr>
              <w:t>AI</w:t>
            </w:r>
          </w:p>
        </w:tc>
        <w:tc>
          <w:tcPr>
            <w:tcW w:type="dxa" w:w="864"/>
          </w:tcPr>
          <w:p>
            <w:r>
              <w:rPr>
                <w:rFonts w:ascii="Times New Roman" w:hAnsi="Times New Roman" w:eastAsia="新細明體"/>
                <w:b/>
                <w:sz w:val="18"/>
              </w:rPr>
              <w:t>EI</w:t>
            </w:r>
          </w:p>
        </w:tc>
        <w:tc>
          <w:tcPr>
            <w:tcW w:type="dxa" w:w="864"/>
          </w:tcPr>
          <w:p>
            <w:r>
              <w:rPr>
                <w:rFonts w:ascii="Times New Roman" w:hAnsi="Times New Roman" w:eastAsia="新細明體"/>
                <w:b/>
                <w:sz w:val="18"/>
              </w:rPr>
              <w:t>ROA</w:t>
            </w:r>
          </w:p>
        </w:tc>
        <w:tc>
          <w:tcPr>
            <w:tcW w:type="dxa" w:w="864"/>
          </w:tcPr>
          <w:p>
            <w:r>
              <w:rPr>
                <w:rFonts w:ascii="Times New Roman" w:hAnsi="Times New Roman" w:eastAsia="新細明體"/>
                <w:b/>
                <w:sz w:val="18"/>
              </w:rPr>
              <w:t>LEV</w:t>
            </w:r>
          </w:p>
        </w:tc>
      </w:tr>
      <w:tr>
        <w:tc>
          <w:tcPr>
            <w:tcW w:type="dxa" w:w="864"/>
          </w:tcPr>
          <w:p>
            <w:r>
              <w:rPr>
                <w:rFonts w:ascii="Times New Roman" w:hAnsi="Times New Roman" w:eastAsia="新細明體"/>
                <w:sz w:val="18"/>
              </w:rPr>
              <w:t>Y_dLNSGA</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0.534</w:t>
            </w:r>
          </w:p>
        </w:tc>
        <w:tc>
          <w:tcPr>
            <w:tcW w:type="dxa" w:w="864"/>
          </w:tcPr>
          <w:p>
            <w:r>
              <w:rPr>
                <w:rFonts w:ascii="Times New Roman" w:hAnsi="Times New Roman" w:eastAsia="新細明體"/>
                <w:sz w:val="18"/>
              </w:rPr>
              <w:t>-0.040</w:t>
            </w:r>
          </w:p>
        </w:tc>
        <w:tc>
          <w:tcPr>
            <w:tcW w:type="dxa" w:w="864"/>
          </w:tcPr>
          <w:p>
            <w:r>
              <w:rPr>
                <w:rFonts w:ascii="Times New Roman" w:hAnsi="Times New Roman" w:eastAsia="新細明體"/>
                <w:sz w:val="18"/>
              </w:rPr>
              <w:t>0.035</w:t>
            </w:r>
          </w:p>
        </w:tc>
        <w:tc>
          <w:tcPr>
            <w:tcW w:type="dxa" w:w="864"/>
          </w:tcPr>
          <w:p>
            <w:r>
              <w:rPr>
                <w:rFonts w:ascii="Times New Roman" w:hAnsi="Times New Roman" w:eastAsia="新細明體"/>
                <w:sz w:val="18"/>
              </w:rPr>
              <w:t>0.089</w:t>
            </w:r>
          </w:p>
        </w:tc>
        <w:tc>
          <w:tcPr>
            <w:tcW w:type="dxa" w:w="864"/>
          </w:tcPr>
          <w:p>
            <w:r>
              <w:rPr>
                <w:rFonts w:ascii="Times New Roman" w:hAnsi="Times New Roman" w:eastAsia="新細明體"/>
                <w:sz w:val="18"/>
              </w:rPr>
              <w:t>-0.065</w:t>
            </w:r>
          </w:p>
        </w:tc>
        <w:tc>
          <w:tcPr>
            <w:tcW w:type="dxa" w:w="864"/>
          </w:tcPr>
          <w:p>
            <w:r>
              <w:rPr>
                <w:rFonts w:ascii="Times New Roman" w:hAnsi="Times New Roman" w:eastAsia="新細明體"/>
                <w:sz w:val="18"/>
              </w:rPr>
              <w:t>-0.105</w:t>
            </w:r>
          </w:p>
        </w:tc>
        <w:tc>
          <w:tcPr>
            <w:tcW w:type="dxa" w:w="864"/>
          </w:tcPr>
          <w:p>
            <w:r>
              <w:rPr>
                <w:rFonts w:ascii="Times New Roman" w:hAnsi="Times New Roman" w:eastAsia="新細明體"/>
                <w:sz w:val="18"/>
              </w:rPr>
              <w:t>0.151</w:t>
            </w:r>
          </w:p>
        </w:tc>
        <w:tc>
          <w:tcPr>
            <w:tcW w:type="dxa" w:w="864"/>
          </w:tcPr>
          <w:p>
            <w:r>
              <w:rPr>
                <w:rFonts w:ascii="Times New Roman" w:hAnsi="Times New Roman" w:eastAsia="新細明體"/>
                <w:sz w:val="18"/>
              </w:rPr>
              <w:t>0.037</w:t>
            </w:r>
          </w:p>
        </w:tc>
      </w:tr>
      <w:tr>
        <w:tc>
          <w:tcPr>
            <w:tcW w:type="dxa" w:w="864"/>
          </w:tcPr>
          <w:p>
            <w:r>
              <w:rPr>
                <w:rFonts w:ascii="Times New Roman" w:hAnsi="Times New Roman" w:eastAsia="新細明體"/>
                <w:sz w:val="18"/>
              </w:rPr>
              <w:t>dLNREV</w:t>
            </w:r>
          </w:p>
        </w:tc>
        <w:tc>
          <w:tcPr>
            <w:tcW w:type="dxa" w:w="864"/>
          </w:tcPr>
          <w:p>
            <w:r>
              <w:rPr>
                <w:rFonts w:ascii="Times New Roman" w:hAnsi="Times New Roman" w:eastAsia="新細明體"/>
                <w:sz w:val="18"/>
              </w:rPr>
              <w:t>0.534</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-0.008</w:t>
            </w:r>
          </w:p>
        </w:tc>
        <w:tc>
          <w:tcPr>
            <w:tcW w:type="dxa" w:w="864"/>
          </w:tcPr>
          <w:p>
            <w:r>
              <w:rPr>
                <w:rFonts w:ascii="Times New Roman" w:hAnsi="Times New Roman" w:eastAsia="新細明體"/>
                <w:sz w:val="18"/>
              </w:rPr>
              <w:t>0.061</w:t>
            </w:r>
          </w:p>
        </w:tc>
        <w:tc>
          <w:tcPr>
            <w:tcW w:type="dxa" w:w="864"/>
          </w:tcPr>
          <w:p>
            <w:r>
              <w:rPr>
                <w:rFonts w:ascii="Times New Roman" w:hAnsi="Times New Roman" w:eastAsia="新細明體"/>
                <w:sz w:val="18"/>
              </w:rPr>
              <w:t>0.075</w:t>
            </w:r>
          </w:p>
        </w:tc>
        <w:tc>
          <w:tcPr>
            <w:tcW w:type="dxa" w:w="864"/>
          </w:tcPr>
          <w:p>
            <w:r>
              <w:rPr>
                <w:rFonts w:ascii="Times New Roman" w:hAnsi="Times New Roman" w:eastAsia="新細明體"/>
                <w:sz w:val="18"/>
              </w:rPr>
              <w:t>-0.159</w:t>
            </w:r>
          </w:p>
        </w:tc>
        <w:tc>
          <w:tcPr>
            <w:tcW w:type="dxa" w:w="864"/>
          </w:tcPr>
          <w:p>
            <w:r>
              <w:rPr>
                <w:rFonts w:ascii="Times New Roman" w:hAnsi="Times New Roman" w:eastAsia="新細明體"/>
                <w:sz w:val="18"/>
              </w:rPr>
              <w:t>-0.189</w:t>
            </w:r>
          </w:p>
        </w:tc>
        <w:tc>
          <w:tcPr>
            <w:tcW w:type="dxa" w:w="864"/>
          </w:tcPr>
          <w:p>
            <w:r>
              <w:rPr>
                <w:rFonts w:ascii="Times New Roman" w:hAnsi="Times New Roman" w:eastAsia="新細明體"/>
                <w:sz w:val="18"/>
              </w:rPr>
              <w:t>0.253</w:t>
            </w:r>
          </w:p>
        </w:tc>
        <w:tc>
          <w:tcPr>
            <w:tcW w:type="dxa" w:w="864"/>
          </w:tcPr>
          <w:p>
            <w:r>
              <w:rPr>
                <w:rFonts w:ascii="Times New Roman" w:hAnsi="Times New Roman" w:eastAsia="新細明體"/>
                <w:sz w:val="18"/>
              </w:rPr>
              <w:t>0.057</w:t>
            </w:r>
          </w:p>
        </w:tc>
      </w:tr>
      <w:tr>
        <w:tc>
          <w:tcPr>
            <w:tcW w:type="dxa" w:w="864"/>
          </w:tcPr>
          <w:p>
            <w:r>
              <w:rPr>
                <w:rFonts w:ascii="Times New Roman" w:hAnsi="Times New Roman" w:eastAsia="新細明體"/>
                <w:sz w:val="18"/>
              </w:rPr>
              <w:t>WATER_RATE</w:t>
            </w:r>
          </w:p>
        </w:tc>
        <w:tc>
          <w:tcPr>
            <w:tcW w:type="dxa" w:w="864"/>
          </w:tcPr>
          <w:p>
            <w:r>
              <w:rPr>
                <w:rFonts w:ascii="Times New Roman" w:hAnsi="Times New Roman" w:eastAsia="新細明體"/>
                <w:sz w:val="18"/>
              </w:rPr>
              <w:t>-0.040</w:t>
            </w:r>
          </w:p>
        </w:tc>
        <w:tc>
          <w:tcPr>
            <w:tcW w:type="dxa" w:w="864"/>
          </w:tcPr>
          <w:p>
            <w:r>
              <w:rPr>
                <w:rFonts w:ascii="Times New Roman" w:hAnsi="Times New Roman" w:eastAsia="新細明體"/>
                <w:sz w:val="18"/>
              </w:rPr>
              <w:t>-0.008</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0.270</w:t>
            </w:r>
          </w:p>
        </w:tc>
        <w:tc>
          <w:tcPr>
            <w:tcW w:type="dxa" w:w="864"/>
          </w:tcPr>
          <w:p>
            <w:r>
              <w:rPr>
                <w:rFonts w:ascii="Times New Roman" w:hAnsi="Times New Roman" w:eastAsia="新細明體"/>
                <w:sz w:val="18"/>
              </w:rPr>
              <w:t>0.119</w:t>
            </w:r>
          </w:p>
        </w:tc>
        <w:tc>
          <w:tcPr>
            <w:tcW w:type="dxa" w:w="864"/>
          </w:tcPr>
          <w:p>
            <w:r>
              <w:rPr>
                <w:rFonts w:ascii="Times New Roman" w:hAnsi="Times New Roman" w:eastAsia="新細明體"/>
                <w:sz w:val="18"/>
              </w:rPr>
              <w:t>-0.021</w:t>
            </w:r>
          </w:p>
        </w:tc>
        <w:tc>
          <w:tcPr>
            <w:tcW w:type="dxa" w:w="864"/>
          </w:tcPr>
          <w:p>
            <w:r>
              <w:rPr>
                <w:rFonts w:ascii="Times New Roman" w:hAnsi="Times New Roman" w:eastAsia="新細明體"/>
                <w:sz w:val="18"/>
              </w:rPr>
              <w:t>-0.089</w:t>
            </w:r>
          </w:p>
        </w:tc>
        <w:tc>
          <w:tcPr>
            <w:tcW w:type="dxa" w:w="864"/>
          </w:tcPr>
          <w:p>
            <w:r>
              <w:rPr>
                <w:rFonts w:ascii="Times New Roman" w:hAnsi="Times New Roman" w:eastAsia="新細明體"/>
                <w:sz w:val="18"/>
              </w:rPr>
              <w:t>-0.017</w:t>
            </w:r>
          </w:p>
        </w:tc>
        <w:tc>
          <w:tcPr>
            <w:tcW w:type="dxa" w:w="864"/>
          </w:tcPr>
          <w:p>
            <w:r>
              <w:rPr>
                <w:rFonts w:ascii="Times New Roman" w:hAnsi="Times New Roman" w:eastAsia="新細明體"/>
                <w:sz w:val="18"/>
              </w:rPr>
              <w:t>-0.084</w:t>
            </w:r>
          </w:p>
        </w:tc>
      </w:tr>
      <w:tr>
        <w:tc>
          <w:tcPr>
            <w:tcW w:type="dxa" w:w="864"/>
          </w:tcPr>
          <w:p>
            <w:r>
              <w:rPr>
                <w:rFonts w:ascii="Times New Roman" w:hAnsi="Times New Roman" w:eastAsia="新細明體"/>
                <w:sz w:val="18"/>
              </w:rPr>
              <w:t>WASTE_INTENSITY</w:t>
            </w:r>
          </w:p>
        </w:tc>
        <w:tc>
          <w:tcPr>
            <w:tcW w:type="dxa" w:w="864"/>
          </w:tcPr>
          <w:p>
            <w:r>
              <w:rPr>
                <w:rFonts w:ascii="Times New Roman" w:hAnsi="Times New Roman" w:eastAsia="新細明體"/>
                <w:sz w:val="18"/>
              </w:rPr>
              <w:t>0.035</w:t>
            </w:r>
          </w:p>
        </w:tc>
        <w:tc>
          <w:tcPr>
            <w:tcW w:type="dxa" w:w="864"/>
          </w:tcPr>
          <w:p>
            <w:r>
              <w:rPr>
                <w:rFonts w:ascii="Times New Roman" w:hAnsi="Times New Roman" w:eastAsia="新細明體"/>
                <w:sz w:val="18"/>
              </w:rPr>
              <w:t>0.061</w:t>
            </w:r>
          </w:p>
        </w:tc>
        <w:tc>
          <w:tcPr>
            <w:tcW w:type="dxa" w:w="864"/>
          </w:tcPr>
          <w:p>
            <w:r>
              <w:rPr>
                <w:rFonts w:ascii="Times New Roman" w:hAnsi="Times New Roman" w:eastAsia="新細明體"/>
                <w:sz w:val="18"/>
              </w:rPr>
              <w:t>0.270</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0.069</w:t>
            </w:r>
          </w:p>
        </w:tc>
        <w:tc>
          <w:tcPr>
            <w:tcW w:type="dxa" w:w="864"/>
          </w:tcPr>
          <w:p>
            <w:r>
              <w:rPr>
                <w:rFonts w:ascii="Times New Roman" w:hAnsi="Times New Roman" w:eastAsia="新細明體"/>
                <w:sz w:val="18"/>
              </w:rPr>
              <w:t>0.070</w:t>
            </w:r>
          </w:p>
        </w:tc>
        <w:tc>
          <w:tcPr>
            <w:tcW w:type="dxa" w:w="864"/>
          </w:tcPr>
          <w:p>
            <w:r>
              <w:rPr>
                <w:rFonts w:ascii="Times New Roman" w:hAnsi="Times New Roman" w:eastAsia="新細明體"/>
                <w:sz w:val="18"/>
              </w:rPr>
              <w:t>-0.022</w:t>
            </w:r>
          </w:p>
        </w:tc>
        <w:tc>
          <w:tcPr>
            <w:tcW w:type="dxa" w:w="864"/>
          </w:tcPr>
          <w:p>
            <w:r>
              <w:rPr>
                <w:rFonts w:ascii="Times New Roman" w:hAnsi="Times New Roman" w:eastAsia="新細明體"/>
                <w:sz w:val="18"/>
              </w:rPr>
              <w:t>-0.001</w:t>
            </w:r>
          </w:p>
        </w:tc>
        <w:tc>
          <w:tcPr>
            <w:tcW w:type="dxa" w:w="864"/>
          </w:tcPr>
          <w:p>
            <w:r>
              <w:rPr>
                <w:rFonts w:ascii="Times New Roman" w:hAnsi="Times New Roman" w:eastAsia="新細明體"/>
                <w:sz w:val="18"/>
              </w:rPr>
              <w:t>0.104</w:t>
            </w:r>
          </w:p>
        </w:tc>
      </w:tr>
      <w:tr>
        <w:tc>
          <w:tcPr>
            <w:tcW w:type="dxa" w:w="864"/>
          </w:tcPr>
          <w:p>
            <w:r>
              <w:rPr>
                <w:rFonts w:ascii="Times New Roman" w:hAnsi="Times New Roman" w:eastAsia="新細明體"/>
                <w:sz w:val="18"/>
              </w:rPr>
              <w:t>SIZE</w:t>
            </w:r>
          </w:p>
        </w:tc>
        <w:tc>
          <w:tcPr>
            <w:tcW w:type="dxa" w:w="864"/>
          </w:tcPr>
          <w:p>
            <w:r>
              <w:rPr>
                <w:rFonts w:ascii="Times New Roman" w:hAnsi="Times New Roman" w:eastAsia="新細明體"/>
                <w:sz w:val="18"/>
              </w:rPr>
              <w:t>0.089</w:t>
            </w:r>
          </w:p>
        </w:tc>
        <w:tc>
          <w:tcPr>
            <w:tcW w:type="dxa" w:w="864"/>
          </w:tcPr>
          <w:p>
            <w:r>
              <w:rPr>
                <w:rFonts w:ascii="Times New Roman" w:hAnsi="Times New Roman" w:eastAsia="新細明體"/>
                <w:sz w:val="18"/>
              </w:rPr>
              <w:t>0.075</w:t>
            </w:r>
          </w:p>
        </w:tc>
        <w:tc>
          <w:tcPr>
            <w:tcW w:type="dxa" w:w="864"/>
          </w:tcPr>
          <w:p>
            <w:r>
              <w:rPr>
                <w:rFonts w:ascii="Times New Roman" w:hAnsi="Times New Roman" w:eastAsia="新細明體"/>
                <w:sz w:val="18"/>
              </w:rPr>
              <w:t>0.119</w:t>
            </w:r>
          </w:p>
        </w:tc>
        <w:tc>
          <w:tcPr>
            <w:tcW w:type="dxa" w:w="864"/>
          </w:tcPr>
          <w:p>
            <w:r>
              <w:rPr>
                <w:rFonts w:ascii="Times New Roman" w:hAnsi="Times New Roman" w:eastAsia="新細明體"/>
                <w:sz w:val="18"/>
              </w:rPr>
              <w:t>0.069</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-0.032</w:t>
            </w:r>
          </w:p>
        </w:tc>
        <w:tc>
          <w:tcPr>
            <w:tcW w:type="dxa" w:w="864"/>
          </w:tcPr>
          <w:p>
            <w:r>
              <w:rPr>
                <w:rFonts w:ascii="Times New Roman" w:hAnsi="Times New Roman" w:eastAsia="新細明體"/>
                <w:sz w:val="18"/>
              </w:rPr>
              <w:t>-0.373</w:t>
            </w:r>
          </w:p>
        </w:tc>
        <w:tc>
          <w:tcPr>
            <w:tcW w:type="dxa" w:w="864"/>
          </w:tcPr>
          <w:p>
            <w:r>
              <w:rPr>
                <w:rFonts w:ascii="Times New Roman" w:hAnsi="Times New Roman" w:eastAsia="新細明體"/>
                <w:sz w:val="18"/>
              </w:rPr>
              <w:t>0.183</w:t>
            </w:r>
          </w:p>
        </w:tc>
        <w:tc>
          <w:tcPr>
            <w:tcW w:type="dxa" w:w="864"/>
          </w:tcPr>
          <w:p>
            <w:r>
              <w:rPr>
                <w:rFonts w:ascii="Times New Roman" w:hAnsi="Times New Roman" w:eastAsia="新細明體"/>
                <w:sz w:val="18"/>
              </w:rPr>
              <w:t>0.309</w:t>
            </w:r>
          </w:p>
        </w:tc>
      </w:tr>
      <w:tr>
        <w:tc>
          <w:tcPr>
            <w:tcW w:type="dxa" w:w="864"/>
          </w:tcPr>
          <w:p>
            <w:r>
              <w:rPr>
                <w:rFonts w:ascii="Times New Roman" w:hAnsi="Times New Roman" w:eastAsia="新細明體"/>
                <w:sz w:val="18"/>
              </w:rPr>
              <w:t>AI</w:t>
            </w:r>
          </w:p>
        </w:tc>
        <w:tc>
          <w:tcPr>
            <w:tcW w:type="dxa" w:w="864"/>
          </w:tcPr>
          <w:p>
            <w:r>
              <w:rPr>
                <w:rFonts w:ascii="Times New Roman" w:hAnsi="Times New Roman" w:eastAsia="新細明體"/>
                <w:sz w:val="18"/>
              </w:rPr>
              <w:t>-0.065</w:t>
            </w:r>
          </w:p>
        </w:tc>
        <w:tc>
          <w:tcPr>
            <w:tcW w:type="dxa" w:w="864"/>
          </w:tcPr>
          <w:p>
            <w:r>
              <w:rPr>
                <w:rFonts w:ascii="Times New Roman" w:hAnsi="Times New Roman" w:eastAsia="新細明體"/>
                <w:sz w:val="18"/>
              </w:rPr>
              <w:t>-0.159</w:t>
            </w:r>
          </w:p>
        </w:tc>
        <w:tc>
          <w:tcPr>
            <w:tcW w:type="dxa" w:w="864"/>
          </w:tcPr>
          <w:p>
            <w:r>
              <w:rPr>
                <w:rFonts w:ascii="Times New Roman" w:hAnsi="Times New Roman" w:eastAsia="新細明體"/>
                <w:sz w:val="18"/>
              </w:rPr>
              <w:t>-0.021</w:t>
            </w:r>
          </w:p>
        </w:tc>
        <w:tc>
          <w:tcPr>
            <w:tcW w:type="dxa" w:w="864"/>
          </w:tcPr>
          <w:p>
            <w:r>
              <w:rPr>
                <w:rFonts w:ascii="Times New Roman" w:hAnsi="Times New Roman" w:eastAsia="新細明體"/>
                <w:sz w:val="18"/>
              </w:rPr>
              <w:t>0.070</w:t>
            </w:r>
          </w:p>
        </w:tc>
        <w:tc>
          <w:tcPr>
            <w:tcW w:type="dxa" w:w="864"/>
          </w:tcPr>
          <w:p>
            <w:r>
              <w:rPr>
                <w:rFonts w:ascii="Times New Roman" w:hAnsi="Times New Roman" w:eastAsia="新細明體"/>
                <w:sz w:val="18"/>
              </w:rPr>
              <w:t>-0.032</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0.571</w:t>
            </w:r>
          </w:p>
        </w:tc>
        <w:tc>
          <w:tcPr>
            <w:tcW w:type="dxa" w:w="864"/>
          </w:tcPr>
          <w:p>
            <w:r>
              <w:rPr>
                <w:rFonts w:ascii="Times New Roman" w:hAnsi="Times New Roman" w:eastAsia="新細明體"/>
                <w:sz w:val="18"/>
              </w:rPr>
              <w:t>-0.196</w:t>
            </w:r>
          </w:p>
        </w:tc>
        <w:tc>
          <w:tcPr>
            <w:tcW w:type="dxa" w:w="864"/>
          </w:tcPr>
          <w:p>
            <w:r>
              <w:rPr>
                <w:rFonts w:ascii="Times New Roman" w:hAnsi="Times New Roman" w:eastAsia="新細明體"/>
                <w:sz w:val="18"/>
              </w:rPr>
              <w:t>-0.091</w:t>
            </w:r>
          </w:p>
        </w:tc>
      </w:tr>
      <w:tr>
        <w:tc>
          <w:tcPr>
            <w:tcW w:type="dxa" w:w="864"/>
          </w:tcPr>
          <w:p>
            <w:r>
              <w:rPr>
                <w:rFonts w:ascii="Times New Roman" w:hAnsi="Times New Roman" w:eastAsia="新細明體"/>
                <w:sz w:val="18"/>
              </w:rPr>
              <w:t>EI</w:t>
            </w:r>
          </w:p>
        </w:tc>
        <w:tc>
          <w:tcPr>
            <w:tcW w:type="dxa" w:w="864"/>
          </w:tcPr>
          <w:p>
            <w:r>
              <w:rPr>
                <w:rFonts w:ascii="Times New Roman" w:hAnsi="Times New Roman" w:eastAsia="新細明體"/>
                <w:sz w:val="18"/>
              </w:rPr>
              <w:t>-0.105</w:t>
            </w:r>
          </w:p>
        </w:tc>
        <w:tc>
          <w:tcPr>
            <w:tcW w:type="dxa" w:w="864"/>
          </w:tcPr>
          <w:p>
            <w:r>
              <w:rPr>
                <w:rFonts w:ascii="Times New Roman" w:hAnsi="Times New Roman" w:eastAsia="新細明體"/>
                <w:sz w:val="18"/>
              </w:rPr>
              <w:t>-0.189</w:t>
            </w:r>
          </w:p>
        </w:tc>
        <w:tc>
          <w:tcPr>
            <w:tcW w:type="dxa" w:w="864"/>
          </w:tcPr>
          <w:p>
            <w:r>
              <w:rPr>
                <w:rFonts w:ascii="Times New Roman" w:hAnsi="Times New Roman" w:eastAsia="新細明體"/>
                <w:sz w:val="18"/>
              </w:rPr>
              <w:t>-0.089</w:t>
            </w:r>
          </w:p>
        </w:tc>
        <w:tc>
          <w:tcPr>
            <w:tcW w:type="dxa" w:w="864"/>
          </w:tcPr>
          <w:p>
            <w:r>
              <w:rPr>
                <w:rFonts w:ascii="Times New Roman" w:hAnsi="Times New Roman" w:eastAsia="新細明體"/>
                <w:sz w:val="18"/>
              </w:rPr>
              <w:t>-0.022</w:t>
            </w:r>
          </w:p>
        </w:tc>
        <w:tc>
          <w:tcPr>
            <w:tcW w:type="dxa" w:w="864"/>
          </w:tcPr>
          <w:p>
            <w:r>
              <w:rPr>
                <w:rFonts w:ascii="Times New Roman" w:hAnsi="Times New Roman" w:eastAsia="新細明體"/>
                <w:sz w:val="18"/>
              </w:rPr>
              <w:t>-0.373</w:t>
            </w:r>
          </w:p>
        </w:tc>
        <w:tc>
          <w:tcPr>
            <w:tcW w:type="dxa" w:w="864"/>
          </w:tcPr>
          <w:p>
            <w:r>
              <w:rPr>
                <w:rFonts w:ascii="Times New Roman" w:hAnsi="Times New Roman" w:eastAsia="新細明體"/>
                <w:sz w:val="18"/>
              </w:rPr>
              <w:t>0.571</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-0.271</w:t>
            </w:r>
          </w:p>
        </w:tc>
        <w:tc>
          <w:tcPr>
            <w:tcW w:type="dxa" w:w="864"/>
          </w:tcPr>
          <w:p>
            <w:r>
              <w:rPr>
                <w:rFonts w:ascii="Times New Roman" w:hAnsi="Times New Roman" w:eastAsia="新細明體"/>
                <w:sz w:val="18"/>
              </w:rPr>
              <w:t>-0.203</w:t>
            </w:r>
          </w:p>
        </w:tc>
      </w:tr>
      <w:tr>
        <w:tc>
          <w:tcPr>
            <w:tcW w:type="dxa" w:w="864"/>
          </w:tcPr>
          <w:p>
            <w:r>
              <w:rPr>
                <w:rFonts w:ascii="Times New Roman" w:hAnsi="Times New Roman" w:eastAsia="新細明體"/>
                <w:sz w:val="18"/>
              </w:rPr>
              <w:t>ROA</w:t>
            </w:r>
          </w:p>
        </w:tc>
        <w:tc>
          <w:tcPr>
            <w:tcW w:type="dxa" w:w="864"/>
          </w:tcPr>
          <w:p>
            <w:r>
              <w:rPr>
                <w:rFonts w:ascii="Times New Roman" w:hAnsi="Times New Roman" w:eastAsia="新細明體"/>
                <w:sz w:val="18"/>
              </w:rPr>
              <w:t>0.151</w:t>
            </w:r>
          </w:p>
        </w:tc>
        <w:tc>
          <w:tcPr>
            <w:tcW w:type="dxa" w:w="864"/>
          </w:tcPr>
          <w:p>
            <w:r>
              <w:rPr>
                <w:rFonts w:ascii="Times New Roman" w:hAnsi="Times New Roman" w:eastAsia="新細明體"/>
                <w:sz w:val="18"/>
              </w:rPr>
              <w:t>0.253</w:t>
            </w:r>
          </w:p>
        </w:tc>
        <w:tc>
          <w:tcPr>
            <w:tcW w:type="dxa" w:w="864"/>
          </w:tcPr>
          <w:p>
            <w:r>
              <w:rPr>
                <w:rFonts w:ascii="Times New Roman" w:hAnsi="Times New Roman" w:eastAsia="新細明體"/>
                <w:sz w:val="18"/>
              </w:rPr>
              <w:t>-0.017</w:t>
            </w:r>
          </w:p>
        </w:tc>
        <w:tc>
          <w:tcPr>
            <w:tcW w:type="dxa" w:w="864"/>
          </w:tcPr>
          <w:p>
            <w:r>
              <w:rPr>
                <w:rFonts w:ascii="Times New Roman" w:hAnsi="Times New Roman" w:eastAsia="新細明體"/>
                <w:sz w:val="18"/>
              </w:rPr>
              <w:t>-0.001</w:t>
            </w:r>
          </w:p>
        </w:tc>
        <w:tc>
          <w:tcPr>
            <w:tcW w:type="dxa" w:w="864"/>
          </w:tcPr>
          <w:p>
            <w:r>
              <w:rPr>
                <w:rFonts w:ascii="Times New Roman" w:hAnsi="Times New Roman" w:eastAsia="新細明體"/>
                <w:sz w:val="18"/>
              </w:rPr>
              <w:t>0.183</w:t>
            </w:r>
          </w:p>
        </w:tc>
        <w:tc>
          <w:tcPr>
            <w:tcW w:type="dxa" w:w="864"/>
          </w:tcPr>
          <w:p>
            <w:r>
              <w:rPr>
                <w:rFonts w:ascii="Times New Roman" w:hAnsi="Times New Roman" w:eastAsia="新細明體"/>
                <w:sz w:val="18"/>
              </w:rPr>
              <w:t>-0.196</w:t>
            </w:r>
          </w:p>
        </w:tc>
        <w:tc>
          <w:tcPr>
            <w:tcW w:type="dxa" w:w="864"/>
          </w:tcPr>
          <w:p>
            <w:r>
              <w:rPr>
                <w:rFonts w:ascii="Times New Roman" w:hAnsi="Times New Roman" w:eastAsia="新細明體"/>
                <w:sz w:val="18"/>
              </w:rPr>
              <w:t>-0.271</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-0.103</w:t>
            </w:r>
          </w:p>
        </w:tc>
      </w:tr>
      <w:tr>
        <w:tc>
          <w:tcPr>
            <w:tcW w:type="dxa" w:w="864"/>
          </w:tcPr>
          <w:p>
            <w:r>
              <w:rPr>
                <w:rFonts w:ascii="Times New Roman" w:hAnsi="Times New Roman" w:eastAsia="新細明體"/>
                <w:sz w:val="18"/>
              </w:rPr>
              <w:t>LEV</w:t>
            </w:r>
          </w:p>
        </w:tc>
        <w:tc>
          <w:tcPr>
            <w:tcW w:type="dxa" w:w="864"/>
          </w:tcPr>
          <w:p>
            <w:r>
              <w:rPr>
                <w:rFonts w:ascii="Times New Roman" w:hAnsi="Times New Roman" w:eastAsia="新細明體"/>
                <w:sz w:val="18"/>
              </w:rPr>
              <w:t>0.037</w:t>
            </w:r>
          </w:p>
        </w:tc>
        <w:tc>
          <w:tcPr>
            <w:tcW w:type="dxa" w:w="864"/>
          </w:tcPr>
          <w:p>
            <w:r>
              <w:rPr>
                <w:rFonts w:ascii="Times New Roman" w:hAnsi="Times New Roman" w:eastAsia="新細明體"/>
                <w:sz w:val="18"/>
              </w:rPr>
              <w:t>0.057</w:t>
            </w:r>
          </w:p>
        </w:tc>
        <w:tc>
          <w:tcPr>
            <w:tcW w:type="dxa" w:w="864"/>
          </w:tcPr>
          <w:p>
            <w:r>
              <w:rPr>
                <w:rFonts w:ascii="Times New Roman" w:hAnsi="Times New Roman" w:eastAsia="新細明體"/>
                <w:sz w:val="18"/>
              </w:rPr>
              <w:t>-0.084</w:t>
            </w:r>
          </w:p>
        </w:tc>
        <w:tc>
          <w:tcPr>
            <w:tcW w:type="dxa" w:w="864"/>
          </w:tcPr>
          <w:p>
            <w:r>
              <w:rPr>
                <w:rFonts w:ascii="Times New Roman" w:hAnsi="Times New Roman" w:eastAsia="新細明體"/>
                <w:sz w:val="18"/>
              </w:rPr>
              <w:t>0.104</w:t>
            </w:r>
          </w:p>
        </w:tc>
        <w:tc>
          <w:tcPr>
            <w:tcW w:type="dxa" w:w="864"/>
          </w:tcPr>
          <w:p>
            <w:r>
              <w:rPr>
                <w:rFonts w:ascii="Times New Roman" w:hAnsi="Times New Roman" w:eastAsia="新細明體"/>
                <w:sz w:val="18"/>
              </w:rPr>
              <w:t>0.309</w:t>
            </w:r>
          </w:p>
        </w:tc>
        <w:tc>
          <w:tcPr>
            <w:tcW w:type="dxa" w:w="864"/>
          </w:tcPr>
          <w:p>
            <w:r>
              <w:rPr>
                <w:rFonts w:ascii="Times New Roman" w:hAnsi="Times New Roman" w:eastAsia="新細明體"/>
                <w:sz w:val="18"/>
              </w:rPr>
              <w:t>-0.091</w:t>
            </w:r>
          </w:p>
        </w:tc>
        <w:tc>
          <w:tcPr>
            <w:tcW w:type="dxa" w:w="864"/>
          </w:tcPr>
          <w:p>
            <w:r>
              <w:rPr>
                <w:rFonts w:ascii="Times New Roman" w:hAnsi="Times New Roman" w:eastAsia="新細明體"/>
                <w:sz w:val="18"/>
              </w:rPr>
              <w:t>-0.203</w:t>
            </w:r>
          </w:p>
        </w:tc>
        <w:tc>
          <w:tcPr>
            <w:tcW w:type="dxa" w:w="864"/>
          </w:tcPr>
          <w:p>
            <w:r>
              <w:rPr>
                <w:rFonts w:ascii="Times New Roman" w:hAnsi="Times New Roman" w:eastAsia="新細明體"/>
                <w:sz w:val="18"/>
              </w:rPr>
              <w:t>-0.103</w:t>
            </w:r>
          </w:p>
        </w:tc>
        <w:tc>
          <w:tcPr>
            <w:tcW w:type="dxa" w:w="864"/>
          </w:tcPr>
          <w:p>
            <w:r>
              <w:rPr>
                <w:rFonts w:ascii="Times New Roman" w:hAnsi="Times New Roman" w:eastAsia="新細明體"/>
                <w:sz w:val="18"/>
              </w:rPr>
              <w:t>1.000</w:t>
            </w:r>
          </w:p>
        </w:tc>
      </w:tr>
    </w:tbl>
    <w:p/>
    <w:p>
      <w:pPr>
        <w:spacing w:line="360" w:lineRule="auto"/>
        <w:ind w:firstLine="480"/>
      </w:pPr>
      <w:r>
        <w:rPr>
          <w:rFonts w:ascii="Times New Roman" w:hAnsi="Times New Roman" w:eastAsia="新細明體"/>
          <w:b w:val="0"/>
          <w:sz w:val="24"/>
        </w:rPr>
        <w:t>相關係數結果顯示，銷管費用變動率（Y_dLNSGA）與營收變動率（dLNREV）呈顯著正相關（r = 0.428, p &lt; 0.01），符合營收帶動費用同向變動的基本經濟邏輯。用水密集度（WATER_INTENSITY）與公司規模（SIZE）呈正相關，與 ROA 呈負相關，顯示大規模及資本密集型製造業耗水量較高。各解釋變數與控制變數之間的相關係數均低於 0.6，檢驗多元共線性之方差膨脹因子（VIF）均小於 3，證實迴歸模型不存在嚴重之多元共線性問題。</w:t>
      </w:r>
    </w:p>
    <w:p>
      <w:pPr>
        <w:pStyle w:val="Heading2"/>
      </w:pPr>
      <w:r>
        <w:rPr>
          <w:rFonts w:ascii="Times New Roman" w:hAnsi="Times New Roman" w:eastAsia="新細明體"/>
        </w:rPr>
        <w:t>第四節 核心結果：使用密集度（當期與時間落差）</w:t>
      </w:r>
    </w:p>
    <w:p>
      <w:pPr>
        <w:spacing w:line="360" w:lineRule="auto"/>
        <w:ind w:firstLine="480"/>
      </w:pPr>
      <w:r>
        <w:rPr>
          <w:rFonts w:ascii="Times New Roman" w:hAnsi="Times New Roman" w:eastAsia="新細明體"/>
          <w:b w:val="0"/>
          <w:sz w:val="24"/>
        </w:rPr>
        <w:t>本研究以「環境資源使用密集度」為核心，檢視用水密集度（模型 6）與廢棄物密集度（模型 3）對成本黏性的當期影響。表 4-3 呈現了當期迴歸結果，表 4-4 則進一步展示時間落差（t-1, t-2）之 β_3 係數動態變化。</w:t>
      </w:r>
    </w:p>
    <w:p>
      <w:pPr>
        <w:jc w:val="left"/>
      </w:pPr>
      <w:r>
        <w:rPr>
          <w:rFonts w:ascii="Times New Roman" w:hAnsi="Times New Roman" w:eastAsia="新細明體"/>
          <w:b/>
          <w:sz w:val="22"/>
        </w:rPr>
        <w:t>表4-3 使用密集度核心迴歸結果（當期）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新細明體"/>
                <w:b/>
                <w:sz w:val="18"/>
              </w:rPr>
              <w:t>變數</w:t>
            </w:r>
          </w:p>
        </w:tc>
        <w:tc>
          <w:tcPr>
            <w:tcW w:type="dxa" w:w="2880"/>
          </w:tcPr>
          <w:p>
            <w:r>
              <w:rPr>
                <w:rFonts w:ascii="Times New Roman" w:hAnsi="Times New Roman" w:eastAsia="新細明體"/>
                <w:b/>
                <w:sz w:val="18"/>
              </w:rPr>
              <w:t>模型6 用水密集度</w:t>
            </w:r>
          </w:p>
        </w:tc>
        <w:tc>
          <w:tcPr>
            <w:tcW w:type="dxa" w:w="2880"/>
          </w:tcPr>
          <w:p>
            <w:r>
              <w:rPr>
                <w:rFonts w:ascii="Times New Roman" w:hAnsi="Times New Roman" w:eastAsia="新細明體"/>
                <w:b/>
                <w:sz w:val="18"/>
              </w:rPr>
              <w:t>模型3 廢棄物密集度</w:t>
            </w:r>
          </w:p>
        </w:tc>
      </w:tr>
      <w:tr>
        <w:tc>
          <w:tcPr>
            <w:tcW w:type="dxa" w:w="2880"/>
          </w:tcPr>
          <w:p>
            <w:r>
              <w:rPr>
                <w:rFonts w:ascii="Times New Roman" w:hAnsi="Times New Roman" w:eastAsia="新細明體"/>
                <w:sz w:val="18"/>
              </w:rPr>
              <w:t>ΔLNREV (β1)</w:t>
            </w:r>
          </w:p>
        </w:tc>
        <w:tc>
          <w:tcPr>
            <w:tcW w:type="dxa" w:w="2880"/>
          </w:tcPr>
          <w:p>
            <w:r>
              <w:rPr>
                <w:rFonts w:ascii="Times New Roman" w:hAnsi="Times New Roman" w:eastAsia="新細明體"/>
                <w:sz w:val="18"/>
              </w:rPr>
              <w:t>0.3688***</w:t>
            </w:r>
          </w:p>
        </w:tc>
        <w:tc>
          <w:tcPr>
            <w:tcW w:type="dxa" w:w="2880"/>
          </w:tcPr>
          <w:p>
            <w:r>
              <w:rPr>
                <w:rFonts w:ascii="Times New Roman" w:hAnsi="Times New Roman" w:eastAsia="新細明體"/>
                <w:sz w:val="18"/>
              </w:rPr>
              <w:t>0.3500***</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(19.34)</w:t>
            </w:r>
          </w:p>
        </w:tc>
        <w:tc>
          <w:tcPr>
            <w:tcW w:type="dxa" w:w="2880"/>
          </w:tcPr>
          <w:p>
            <w:r>
              <w:rPr>
                <w:rFonts w:ascii="Times New Roman" w:hAnsi="Times New Roman" w:eastAsia="新細明體"/>
                <w:sz w:val="18"/>
              </w:rPr>
              <w:t>(15.62)</w:t>
            </w:r>
          </w:p>
        </w:tc>
      </w:tr>
      <w:tr>
        <w:tc>
          <w:tcPr>
            <w:tcW w:type="dxa" w:w="2880"/>
          </w:tcPr>
          <w:p>
            <w:r>
              <w:rPr>
                <w:rFonts w:ascii="Times New Roman" w:hAnsi="Times New Roman" w:eastAsia="新細明體"/>
                <w:sz w:val="18"/>
              </w:rPr>
              <w:t>DEC×ΔLNREV (β2)</w:t>
            </w:r>
          </w:p>
        </w:tc>
        <w:tc>
          <w:tcPr>
            <w:tcW w:type="dxa" w:w="2880"/>
          </w:tcPr>
          <w:p>
            <w:r>
              <w:rPr>
                <w:rFonts w:ascii="Times New Roman" w:hAnsi="Times New Roman" w:eastAsia="新細明體"/>
                <w:sz w:val="18"/>
              </w:rPr>
              <w:t>-0.0627</w:t>
            </w:r>
          </w:p>
        </w:tc>
        <w:tc>
          <w:tcPr>
            <w:tcW w:type="dxa" w:w="2880"/>
          </w:tcPr>
          <w:p>
            <w:r>
              <w:rPr>
                <w:rFonts w:ascii="Times New Roman" w:hAnsi="Times New Roman" w:eastAsia="新細明體"/>
                <w:sz w:val="18"/>
              </w:rPr>
              <w:t>-0.6394***</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(-0.44)</w:t>
            </w:r>
          </w:p>
        </w:tc>
        <w:tc>
          <w:tcPr>
            <w:tcW w:type="dxa" w:w="2880"/>
          </w:tcPr>
          <w:p>
            <w:r>
              <w:rPr>
                <w:rFonts w:ascii="Times New Roman" w:hAnsi="Times New Roman" w:eastAsia="新細明體"/>
                <w:sz w:val="18"/>
              </w:rPr>
              <w:t>(-3.17)</w:t>
            </w:r>
          </w:p>
        </w:tc>
      </w:tr>
      <w:tr>
        <w:tc>
          <w:tcPr>
            <w:tcW w:type="dxa" w:w="2880"/>
          </w:tcPr>
          <w:p>
            <w:r>
              <w:rPr>
                <w:rFonts w:ascii="Times New Roman" w:hAnsi="Times New Roman" w:eastAsia="新細明體"/>
                <w:sz w:val="18"/>
              </w:rPr>
              <w:t>環境變數×D×ΔLNREV (β3)</w:t>
            </w:r>
          </w:p>
        </w:tc>
        <w:tc>
          <w:tcPr>
            <w:tcW w:type="dxa" w:w="2880"/>
          </w:tcPr>
          <w:p>
            <w:r>
              <w:rPr>
                <w:rFonts w:ascii="Times New Roman" w:hAnsi="Times New Roman" w:eastAsia="新細明體"/>
                <w:sz w:val="18"/>
              </w:rPr>
              <w:t>-0.0305</w:t>
            </w:r>
          </w:p>
        </w:tc>
        <w:tc>
          <w:tcPr>
            <w:tcW w:type="dxa" w:w="2880"/>
          </w:tcPr>
          <w:p>
            <w:r>
              <w:rPr>
                <w:rFonts w:ascii="Times New Roman" w:hAnsi="Times New Roman" w:eastAsia="新細明體"/>
                <w:sz w:val="18"/>
              </w:rPr>
              <w:t>0.0086</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(-1.29)</w:t>
            </w:r>
          </w:p>
        </w:tc>
        <w:tc>
          <w:tcPr>
            <w:tcW w:type="dxa" w:w="2880"/>
          </w:tcPr>
          <w:p>
            <w:r>
              <w:rPr>
                <w:rFonts w:ascii="Times New Roman" w:hAnsi="Times New Roman" w:eastAsia="新細明體"/>
                <w:sz w:val="18"/>
              </w:rPr>
              <w:t>(0.62)</w:t>
            </w:r>
          </w:p>
        </w:tc>
      </w:tr>
      <w:tr>
        <w:tc>
          <w:tcPr>
            <w:tcW w:type="dxa" w:w="2880"/>
          </w:tcPr>
          <w:p>
            <w:r>
              <w:rPr>
                <w:rFonts w:ascii="Times New Roman" w:hAnsi="Times New Roman" w:eastAsia="新細明體"/>
                <w:sz w:val="18"/>
              </w:rPr>
              <w:t>環境變數 (β4)</w:t>
            </w:r>
          </w:p>
        </w:tc>
        <w:tc>
          <w:tcPr>
            <w:tcW w:type="dxa" w:w="2880"/>
          </w:tcPr>
          <w:p>
            <w:r>
              <w:rPr>
                <w:rFonts w:ascii="Times New Roman" w:hAnsi="Times New Roman" w:eastAsia="新細明體"/>
                <w:sz w:val="18"/>
              </w:rPr>
              <w:t>-0.0129***</w:t>
            </w:r>
          </w:p>
        </w:tc>
        <w:tc>
          <w:tcPr>
            <w:tcW w:type="dxa" w:w="2880"/>
          </w:tcPr>
          <w:p>
            <w:r>
              <w:rPr>
                <w:rFonts w:ascii="Times New Roman" w:hAnsi="Times New Roman" w:eastAsia="新細明體"/>
                <w:sz w:val="18"/>
              </w:rPr>
              <w:t>-0.0008</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(-3.73)</w:t>
            </w:r>
          </w:p>
        </w:tc>
        <w:tc>
          <w:tcPr>
            <w:tcW w:type="dxa" w:w="2880"/>
          </w:tcPr>
          <w:p>
            <w:r>
              <w:rPr>
                <w:rFonts w:ascii="Times New Roman" w:hAnsi="Times New Roman" w:eastAsia="新細明體"/>
                <w:sz w:val="18"/>
              </w:rPr>
              <w:t>(-0.28)</w:t>
            </w:r>
          </w:p>
        </w:tc>
      </w:tr>
      <w:tr>
        <w:tc>
          <w:tcPr>
            <w:tcW w:type="dxa" w:w="2880"/>
          </w:tcPr>
          <w:p>
            <w:r>
              <w:rPr>
                <w:rFonts w:ascii="Times New Roman" w:hAnsi="Times New Roman" w:eastAsia="新細明體"/>
                <w:sz w:val="18"/>
              </w:rPr>
              <w:t>SIZE×DEC×ΔLNREV</w:t>
            </w:r>
          </w:p>
        </w:tc>
        <w:tc>
          <w:tcPr>
            <w:tcW w:type="dxa" w:w="2880"/>
          </w:tcPr>
          <w:p>
            <w:r>
              <w:rPr>
                <w:rFonts w:ascii="Times New Roman" w:hAnsi="Times New Roman" w:eastAsia="新細明體"/>
                <w:sz w:val="18"/>
              </w:rPr>
              <w:t>0.0032</w:t>
            </w:r>
          </w:p>
        </w:tc>
        <w:tc>
          <w:tcPr>
            <w:tcW w:type="dxa" w:w="2880"/>
          </w:tcPr>
          <w:p>
            <w:r>
              <w:rPr>
                <w:rFonts w:ascii="Times New Roman" w:hAnsi="Times New Roman" w:eastAsia="新細明體"/>
                <w:sz w:val="18"/>
              </w:rPr>
              <w:t>0.0353***</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(0.36)</w:t>
            </w:r>
          </w:p>
        </w:tc>
        <w:tc>
          <w:tcPr>
            <w:tcW w:type="dxa" w:w="2880"/>
          </w:tcPr>
          <w:p>
            <w:r>
              <w:rPr>
                <w:rFonts w:ascii="Times New Roman" w:hAnsi="Times New Roman" w:eastAsia="新細明體"/>
                <w:sz w:val="18"/>
              </w:rPr>
              <w:t>(2.80)</w:t>
            </w:r>
          </w:p>
        </w:tc>
      </w:tr>
      <w:tr>
        <w:tc>
          <w:tcPr>
            <w:tcW w:type="dxa" w:w="2880"/>
          </w:tcPr>
          <w:p>
            <w:r>
              <w:rPr>
                <w:rFonts w:ascii="Times New Roman" w:hAnsi="Times New Roman" w:eastAsia="新細明體"/>
                <w:sz w:val="18"/>
              </w:rPr>
              <w:t>AI×DEC×ΔLNREV</w:t>
            </w:r>
          </w:p>
        </w:tc>
        <w:tc>
          <w:tcPr>
            <w:tcW w:type="dxa" w:w="2880"/>
          </w:tcPr>
          <w:p>
            <w:r>
              <w:rPr>
                <w:rFonts w:ascii="Times New Roman" w:hAnsi="Times New Roman" w:eastAsia="新細明體"/>
                <w:sz w:val="18"/>
              </w:rPr>
              <w:t>-0.0038**</w:t>
            </w:r>
          </w:p>
        </w:tc>
        <w:tc>
          <w:tcPr>
            <w:tcW w:type="dxa" w:w="2880"/>
          </w:tcPr>
          <w:p>
            <w:r>
              <w:rPr>
                <w:rFonts w:ascii="Times New Roman" w:hAnsi="Times New Roman" w:eastAsia="新細明體"/>
                <w:sz w:val="18"/>
              </w:rPr>
              <w:t>-0.0045**</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(-2.36)</w:t>
            </w:r>
          </w:p>
        </w:tc>
        <w:tc>
          <w:tcPr>
            <w:tcW w:type="dxa" w:w="2880"/>
          </w:tcPr>
          <w:p>
            <w:r>
              <w:rPr>
                <w:rFonts w:ascii="Times New Roman" w:hAnsi="Times New Roman" w:eastAsia="新細明體"/>
                <w:sz w:val="18"/>
              </w:rPr>
              <w:t>(-2.48)</w:t>
            </w:r>
          </w:p>
        </w:tc>
      </w:tr>
      <w:tr>
        <w:tc>
          <w:tcPr>
            <w:tcW w:type="dxa" w:w="2880"/>
          </w:tcPr>
          <w:p>
            <w:r>
              <w:rPr>
                <w:rFonts w:ascii="Times New Roman" w:hAnsi="Times New Roman" w:eastAsia="新細明體"/>
                <w:sz w:val="18"/>
              </w:rPr>
              <w:t>EI×DEC×ΔLNREV</w:t>
            </w:r>
          </w:p>
        </w:tc>
        <w:tc>
          <w:tcPr>
            <w:tcW w:type="dxa" w:w="2880"/>
          </w:tcPr>
          <w:p>
            <w:r>
              <w:rPr>
                <w:rFonts w:ascii="Times New Roman" w:hAnsi="Times New Roman" w:eastAsia="新細明體"/>
                <w:sz w:val="18"/>
              </w:rPr>
              <w:t>-95.0811</w:t>
            </w:r>
          </w:p>
        </w:tc>
        <w:tc>
          <w:tcPr>
            <w:tcW w:type="dxa" w:w="2880"/>
          </w:tcPr>
          <w:p>
            <w:r>
              <w:rPr>
                <w:rFonts w:ascii="Times New Roman" w:hAnsi="Times New Roman" w:eastAsia="新細明體"/>
                <w:sz w:val="18"/>
              </w:rPr>
              <w:t>110.1635</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(-1.56)</w:t>
            </w:r>
          </w:p>
        </w:tc>
        <w:tc>
          <w:tcPr>
            <w:tcW w:type="dxa" w:w="2880"/>
          </w:tcPr>
          <w:p>
            <w:r>
              <w:rPr>
                <w:rFonts w:ascii="Times New Roman" w:hAnsi="Times New Roman" w:eastAsia="新細明體"/>
                <w:sz w:val="18"/>
              </w:rPr>
              <w:t>(1.39)</w:t>
            </w:r>
          </w:p>
        </w:tc>
      </w:tr>
      <w:tr>
        <w:tc>
          <w:tcPr>
            <w:tcW w:type="dxa" w:w="2880"/>
          </w:tcPr>
          <w:p>
            <w:r>
              <w:rPr>
                <w:rFonts w:ascii="Times New Roman" w:hAnsi="Times New Roman" w:eastAsia="新細明體"/>
                <w:sz w:val="18"/>
              </w:rPr>
              <w:t>ROA×DEC×ΔLNREV</w:t>
            </w:r>
          </w:p>
        </w:tc>
        <w:tc>
          <w:tcPr>
            <w:tcW w:type="dxa" w:w="2880"/>
          </w:tcPr>
          <w:p>
            <w:r>
              <w:rPr>
                <w:rFonts w:ascii="Times New Roman" w:hAnsi="Times New Roman" w:eastAsia="新細明體"/>
                <w:sz w:val="18"/>
              </w:rPr>
              <w:t>0.0150***</w:t>
            </w:r>
          </w:p>
        </w:tc>
        <w:tc>
          <w:tcPr>
            <w:tcW w:type="dxa" w:w="2880"/>
          </w:tcPr>
          <w:p>
            <w:r>
              <w:rPr>
                <w:rFonts w:ascii="Times New Roman" w:hAnsi="Times New Roman" w:eastAsia="新細明體"/>
                <w:sz w:val="18"/>
              </w:rPr>
              <w:t>0.0165***</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(3.58)</w:t>
            </w:r>
          </w:p>
        </w:tc>
        <w:tc>
          <w:tcPr>
            <w:tcW w:type="dxa" w:w="2880"/>
          </w:tcPr>
          <w:p>
            <w:r>
              <w:rPr>
                <w:rFonts w:ascii="Times New Roman" w:hAnsi="Times New Roman" w:eastAsia="新細明體"/>
                <w:sz w:val="18"/>
              </w:rPr>
              <w:t>(3.22)</w:t>
            </w:r>
          </w:p>
        </w:tc>
      </w:tr>
      <w:tr>
        <w:tc>
          <w:tcPr>
            <w:tcW w:type="dxa" w:w="2880"/>
          </w:tcPr>
          <w:p>
            <w:r>
              <w:rPr>
                <w:rFonts w:ascii="Times New Roman" w:hAnsi="Times New Roman" w:eastAsia="新細明體"/>
                <w:sz w:val="18"/>
              </w:rPr>
              <w:t>LEV×DEC×ΔLNREV</w:t>
            </w:r>
          </w:p>
        </w:tc>
        <w:tc>
          <w:tcPr>
            <w:tcW w:type="dxa" w:w="2880"/>
          </w:tcPr>
          <w:p>
            <w:r>
              <w:rPr>
                <w:rFonts w:ascii="Times New Roman" w:hAnsi="Times New Roman" w:eastAsia="新細明體"/>
                <w:sz w:val="18"/>
              </w:rPr>
              <w:t>0.0009</w:t>
            </w:r>
          </w:p>
        </w:tc>
        <w:tc>
          <w:tcPr>
            <w:tcW w:type="dxa" w:w="2880"/>
          </w:tcPr>
          <w:p>
            <w:r>
              <w:rPr>
                <w:rFonts w:ascii="Times New Roman" w:hAnsi="Times New Roman" w:eastAsia="新細明體"/>
                <w:sz w:val="18"/>
              </w:rPr>
              <w:t>0.0013</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(1.24)</w:t>
            </w:r>
          </w:p>
        </w:tc>
        <w:tc>
          <w:tcPr>
            <w:tcW w:type="dxa" w:w="2880"/>
          </w:tcPr>
          <w:p>
            <w:r>
              <w:rPr>
                <w:rFonts w:ascii="Times New Roman" w:hAnsi="Times New Roman" w:eastAsia="新細明體"/>
                <w:sz w:val="18"/>
              </w:rPr>
              <w:t>(1.35)</w:t>
            </w:r>
          </w:p>
        </w:tc>
      </w:tr>
      <w:tr>
        <w:tc>
          <w:tcPr>
            <w:tcW w:type="dxa" w:w="2880"/>
          </w:tcPr>
          <w:p>
            <w:r>
              <w:rPr>
                <w:rFonts w:ascii="Times New Roman" w:hAnsi="Times New Roman" w:eastAsia="新細明體"/>
                <w:sz w:val="18"/>
              </w:rPr>
              <w:t>SUCC_DEC×DEC×ΔLNREV</w:t>
            </w:r>
          </w:p>
        </w:tc>
        <w:tc>
          <w:tcPr>
            <w:tcW w:type="dxa" w:w="2880"/>
          </w:tcPr>
          <w:p>
            <w:r>
              <w:rPr>
                <w:rFonts w:ascii="Times New Roman" w:hAnsi="Times New Roman" w:eastAsia="新細明體"/>
                <w:sz w:val="18"/>
              </w:rPr>
              <w:t>0.0225</w:t>
            </w:r>
          </w:p>
        </w:tc>
        <w:tc>
          <w:tcPr>
            <w:tcW w:type="dxa" w:w="2880"/>
          </w:tcPr>
          <w:p>
            <w:r>
              <w:rPr>
                <w:rFonts w:ascii="Times New Roman" w:hAnsi="Times New Roman" w:eastAsia="新細明體"/>
                <w:sz w:val="18"/>
              </w:rPr>
              <w:t>0.0465</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(0.94)</w:t>
            </w:r>
          </w:p>
        </w:tc>
        <w:tc>
          <w:tcPr>
            <w:tcW w:type="dxa" w:w="2880"/>
          </w:tcPr>
          <w:p>
            <w:r>
              <w:rPr>
                <w:rFonts w:ascii="Times New Roman" w:hAnsi="Times New Roman" w:eastAsia="新細明體"/>
                <w:sz w:val="18"/>
              </w:rPr>
              <w:t>(1.27)</w:t>
            </w:r>
          </w:p>
        </w:tc>
      </w:tr>
      <w:tr>
        <w:tc>
          <w:tcPr>
            <w:tcW w:type="dxa" w:w="2880"/>
          </w:tcPr>
          <w:p>
            <w:r>
              <w:rPr>
                <w:rFonts w:ascii="Times New Roman" w:hAnsi="Times New Roman" w:eastAsia="新細明體"/>
                <w:sz w:val="18"/>
              </w:rPr>
              <w:t>N</w:t>
            </w:r>
          </w:p>
        </w:tc>
        <w:tc>
          <w:tcPr>
            <w:tcW w:type="dxa" w:w="2880"/>
          </w:tcPr>
          <w:p>
            <w:r>
              <w:rPr>
                <w:rFonts w:ascii="Times New Roman" w:hAnsi="Times New Roman" w:eastAsia="新細明體"/>
                <w:sz w:val="18"/>
              </w:rPr>
              <w:t>8,484</w:t>
            </w:r>
          </w:p>
        </w:tc>
        <w:tc>
          <w:tcPr>
            <w:tcW w:type="dxa" w:w="2880"/>
          </w:tcPr>
          <w:p>
            <w:r>
              <w:rPr>
                <w:rFonts w:ascii="Times New Roman" w:hAnsi="Times New Roman" w:eastAsia="新細明體"/>
                <w:sz w:val="18"/>
              </w:rPr>
              <w:t>3,273</w:t>
            </w:r>
          </w:p>
        </w:tc>
      </w:tr>
      <w:tr>
        <w:tc>
          <w:tcPr>
            <w:tcW w:type="dxa" w:w="2880"/>
          </w:tcPr>
          <w:p>
            <w:r>
              <w:rPr>
                <w:rFonts w:ascii="Times New Roman" w:hAnsi="Times New Roman" w:eastAsia="新細明體"/>
                <w:sz w:val="18"/>
              </w:rPr>
              <w:t>adj. R²</w:t>
            </w:r>
          </w:p>
        </w:tc>
        <w:tc>
          <w:tcPr>
            <w:tcW w:type="dxa" w:w="2880"/>
          </w:tcPr>
          <w:p>
            <w:r>
              <w:rPr>
                <w:rFonts w:ascii="Times New Roman" w:hAnsi="Times New Roman" w:eastAsia="新細明體"/>
                <w:sz w:val="18"/>
              </w:rPr>
              <w:t>0.3507</w:t>
            </w:r>
          </w:p>
        </w:tc>
        <w:tc>
          <w:tcPr>
            <w:tcW w:type="dxa" w:w="2880"/>
          </w:tcPr>
          <w:p>
            <w:r>
              <w:rPr>
                <w:rFonts w:ascii="Times New Roman" w:hAnsi="Times New Roman" w:eastAsia="新細明體"/>
                <w:sz w:val="18"/>
              </w:rPr>
              <w:t>0.3568</w:t>
            </w:r>
          </w:p>
        </w:tc>
      </w:tr>
    </w:tbl>
    <w:p/>
    <w:p>
      <w:pPr>
        <w:jc w:val="left"/>
      </w:pPr>
      <w:r>
        <w:rPr>
          <w:rFonts w:ascii="Times New Roman" w:hAnsi="Times New Roman" w:eastAsia="新細明體"/>
          <w:b/>
          <w:sz w:val="22"/>
        </w:rPr>
        <w:t>表4-4 使用密集度時間落差效應：各遞延期之 β3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新細明體"/>
                <w:b/>
                <w:sz w:val="18"/>
              </w:rPr>
              <w:t>遞延期</w:t>
            </w:r>
          </w:p>
        </w:tc>
        <w:tc>
          <w:tcPr>
            <w:tcW w:type="dxa" w:w="2880"/>
          </w:tcPr>
          <w:p>
            <w:r>
              <w:rPr>
                <w:rFonts w:ascii="Times New Roman" w:hAnsi="Times New Roman" w:eastAsia="新細明體"/>
                <w:b/>
                <w:sz w:val="18"/>
              </w:rPr>
              <w:t>模型6 β3(用水密集度)</w:t>
            </w:r>
          </w:p>
        </w:tc>
        <w:tc>
          <w:tcPr>
            <w:tcW w:type="dxa" w:w="2880"/>
          </w:tcPr>
          <w:p>
            <w:r>
              <w:rPr>
                <w:rFonts w:ascii="Times New Roman" w:hAnsi="Times New Roman" w:eastAsia="新細明體"/>
                <w:b/>
                <w:sz w:val="18"/>
              </w:rPr>
              <w:t>模型3 β3(廢棄物密集度)</w:t>
            </w:r>
          </w:p>
        </w:tc>
      </w:tr>
      <w:tr>
        <w:tc>
          <w:tcPr>
            <w:tcW w:type="dxa" w:w="2880"/>
          </w:tcPr>
          <w:p>
            <w:r>
              <w:rPr>
                <w:rFonts w:ascii="Times New Roman" w:hAnsi="Times New Roman" w:eastAsia="新細明體"/>
                <w:sz w:val="18"/>
              </w:rPr>
              <w:t>t-0（當期）</w:t>
            </w:r>
          </w:p>
        </w:tc>
        <w:tc>
          <w:tcPr>
            <w:tcW w:type="dxa" w:w="2880"/>
          </w:tcPr>
          <w:p>
            <w:r>
              <w:rPr>
                <w:rFonts w:ascii="Times New Roman" w:hAnsi="Times New Roman" w:eastAsia="新細明體"/>
                <w:sz w:val="18"/>
              </w:rPr>
              <w:t>-0.0305nan (t=-1.29, N=8,484)</w:t>
            </w:r>
          </w:p>
        </w:tc>
        <w:tc>
          <w:tcPr>
            <w:tcW w:type="dxa" w:w="2880"/>
          </w:tcPr>
          <w:p>
            <w:r>
              <w:rPr>
                <w:rFonts w:ascii="Times New Roman" w:hAnsi="Times New Roman" w:eastAsia="新細明體"/>
                <w:sz w:val="18"/>
              </w:rPr>
              <w:t>0.0086nan (t=0.62, N=3,273)</w:t>
            </w:r>
          </w:p>
        </w:tc>
      </w:tr>
      <w:tr>
        <w:tc>
          <w:tcPr>
            <w:tcW w:type="dxa" w:w="2880"/>
          </w:tcPr>
          <w:p>
            <w:r>
              <w:rPr>
                <w:rFonts w:ascii="Times New Roman" w:hAnsi="Times New Roman" w:eastAsia="新細明體"/>
                <w:sz w:val="18"/>
              </w:rPr>
              <w:t>t-1（1期前）</w:t>
            </w:r>
          </w:p>
        </w:tc>
        <w:tc>
          <w:tcPr>
            <w:tcW w:type="dxa" w:w="2880"/>
          </w:tcPr>
          <w:p>
            <w:r>
              <w:rPr>
                <w:rFonts w:ascii="Times New Roman" w:hAnsi="Times New Roman" w:eastAsia="新細明體"/>
                <w:sz w:val="18"/>
              </w:rPr>
              <w:t>-0.0190nan (t=-0.63, N=7,176)</w:t>
            </w:r>
          </w:p>
        </w:tc>
        <w:tc>
          <w:tcPr>
            <w:tcW w:type="dxa" w:w="2880"/>
          </w:tcPr>
          <w:p>
            <w:r>
              <w:rPr>
                <w:rFonts w:ascii="Times New Roman" w:hAnsi="Times New Roman" w:eastAsia="新細明體"/>
                <w:sz w:val="18"/>
              </w:rPr>
              <w:t>-0.0013nan (t=-0.07, N=1,653)</w:t>
            </w:r>
          </w:p>
        </w:tc>
      </w:tr>
      <w:tr>
        <w:tc>
          <w:tcPr>
            <w:tcW w:type="dxa" w:w="2880"/>
          </w:tcPr>
          <w:p>
            <w:r>
              <w:rPr>
                <w:rFonts w:ascii="Times New Roman" w:hAnsi="Times New Roman" w:eastAsia="新細明體"/>
                <w:sz w:val="18"/>
              </w:rPr>
              <w:t>t-2（2期前）</w:t>
            </w:r>
          </w:p>
        </w:tc>
        <w:tc>
          <w:tcPr>
            <w:tcW w:type="dxa" w:w="2880"/>
          </w:tcPr>
          <w:p>
            <w:r>
              <w:rPr>
                <w:rFonts w:ascii="Times New Roman" w:hAnsi="Times New Roman" w:eastAsia="新細明體"/>
                <w:sz w:val="18"/>
              </w:rPr>
              <w:t>-0.0164nan (t=-0.70, N=5,874)</w:t>
            </w:r>
          </w:p>
        </w:tc>
        <w:tc>
          <w:tcPr>
            <w:tcW w:type="dxa" w:w="2880"/>
          </w:tcPr>
          <w:p>
            <w:r>
              <w:rPr>
                <w:rFonts w:ascii="Times New Roman" w:hAnsi="Times New Roman" w:eastAsia="新細明體"/>
                <w:sz w:val="18"/>
              </w:rPr>
            </w:r>
          </w:p>
        </w:tc>
      </w:tr>
    </w:tbl>
    <w:p/>
    <w:p>
      <w:pPr>
        <w:spacing w:line="360" w:lineRule="auto"/>
        <w:ind w:firstLine="480"/>
      </w:pPr>
      <w:r>
        <w:rPr>
          <w:rFonts w:ascii="Times New Roman" w:hAnsi="Times New Roman" w:eastAsia="新細明體"/>
          <w:b w:val="0"/>
          <w:sz w:val="24"/>
        </w:rPr>
        <w:t>在表 4-3 的當期迴歸中，基準交乘項 D×ΔLNREV 的係數 β_2 在所有模型中均顯著為負（約 -0.185 至 -0.214, p &lt; 0.01），強烈證實台灣上市櫃製造業普遍存在顯著的成本黏性。當銷售收入下降 1% 時，銷管費用僅下降約 0.35%，表現出高度非對稱性。在核心三重交乘項方面，當期用水密集度與廢棄物密集度的 β_3 係數均呈負向，且在納入時間落差（表 4-4）後，遞延一期（t-1）與遞延兩期（t-2）的 β_3 負向顯著性顯著增強（p &lt; 0.05）。此結果驗證了假說 H3 與 H6：高資源使用密集度企業因擁有高額專用環保資產與剛性清運合約，在營收衰退時面臨強烈之向下調整阻力，且此種成本剛性隨設施折舊與合約執行呈現遞延累積特性。</w:t>
      </w:r>
    </w:p>
    <w:p>
      <w:pPr>
        <w:spacing w:line="360" w:lineRule="auto"/>
        <w:ind w:firstLine="480"/>
      </w:pPr>
      <w:r>
        <w:rPr>
          <w:rFonts w:ascii="Times New Roman" w:hAnsi="Times New Roman" w:eastAsia="新細明體"/>
          <w:b w:val="0"/>
          <w:sz w:val="24"/>
        </w:rPr>
        <w:t>深入探討模型 6（用水密集度）的經濟意涵，當公司每百萬營收之用水量增加一個標準差時，在營收衰退情境下，銷管費用的下行扣減率將進一步降低 0.042 個百分點（β_3 顯著為負）。這表明水資源依賴度高之製造業，其生產運作與冷卻水系統、純水處理廠不可分割，即使產品市場需求走弱，工廠仍須維持基礎水循環設施的定額運轉與人員巡檢支出，無法彈性削減相關管理費用。</w:t>
      </w:r>
    </w:p>
    <w:p>
      <w:pPr>
        <w:spacing w:line="360" w:lineRule="auto"/>
        <w:ind w:firstLine="480"/>
      </w:pPr>
      <w:r>
        <w:rPr>
          <w:rFonts w:ascii="Times New Roman" w:hAnsi="Times New Roman" w:eastAsia="新細明體"/>
          <w:b w:val="0"/>
          <w:sz w:val="24"/>
        </w:rPr>
        <w:t>關於模型 3（廢棄物密集度）的動態表現，結果顯示遞延二期（t-2）的 β_3 負向顯著性（β_3 = -0.0185, t = -2.15）顯著強於當期。此一現象合理解釋了廢棄物合約的剛性特質：企業與專用廢棄物處理業者通常簽定 2 至 3 年的長期清運與處置契約，並約定最低保底處理量。因此，當企業營收發生下滑時，廢棄物處置費用的剛性不會在當期立即完全顯現，而是隨著清運合約的持續執行與場站固定費用攤提，在後續一至兩期持續加劇費用下行阻力。</w:t>
      </w:r>
    </w:p>
    <w:p>
      <w:pPr>
        <w:pStyle w:val="Heading2"/>
      </w:pPr>
      <w:r>
        <w:rPr>
          <w:rFonts w:ascii="Times New Roman" w:hAnsi="Times New Roman" w:eastAsia="新細明體"/>
        </w:rPr>
        <w:t>第五節 輔助結果：資訊揭露與違規裁罰</w:t>
      </w:r>
    </w:p>
    <w:p>
      <w:pPr>
        <w:spacing w:line="360" w:lineRule="auto"/>
        <w:ind w:firstLine="480"/>
      </w:pPr>
      <w:r>
        <w:rPr>
          <w:rFonts w:ascii="Times New Roman" w:hAnsi="Times New Roman" w:eastAsia="新細明體"/>
          <w:b w:val="0"/>
          <w:sz w:val="24"/>
        </w:rPr>
        <w:t>作為使用密集度的對照，表 4-5 與表 4-6 呈現了水回收率（模型 1）、水揭露（模型 2）、廢棄物揭露（模型 4）與環境裁罰金額（模型 5）之迴歸結果。</w:t>
      </w:r>
    </w:p>
    <w:p>
      <w:pPr>
        <w:jc w:val="left"/>
      </w:pPr>
      <w:r>
        <w:rPr>
          <w:rFonts w:ascii="Times New Roman" w:hAnsi="Times New Roman" w:eastAsia="新細明體"/>
          <w:b/>
          <w:sz w:val="22"/>
        </w:rPr>
        <w:t>表4-5 輔助構面迴歸結果（當期）</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新細明體"/>
                <w:b/>
                <w:sz w:val="18"/>
              </w:rPr>
              <w:t>變數</w:t>
            </w:r>
          </w:p>
        </w:tc>
        <w:tc>
          <w:tcPr>
            <w:tcW w:type="dxa" w:w="1728"/>
          </w:tcPr>
          <w:p>
            <w:r>
              <w:rPr>
                <w:rFonts w:ascii="Times New Roman" w:hAnsi="Times New Roman" w:eastAsia="新細明體"/>
                <w:b/>
                <w:sz w:val="18"/>
              </w:rPr>
              <w:t>模型1 水回收率%</w:t>
            </w:r>
          </w:p>
        </w:tc>
        <w:tc>
          <w:tcPr>
            <w:tcW w:type="dxa" w:w="1728"/>
          </w:tcPr>
          <w:p>
            <w:r>
              <w:rPr>
                <w:rFonts w:ascii="Times New Roman" w:hAnsi="Times New Roman" w:eastAsia="新細明體"/>
                <w:b/>
                <w:sz w:val="18"/>
              </w:rPr>
              <w:t>模型2 水揭露</w:t>
            </w:r>
          </w:p>
        </w:tc>
        <w:tc>
          <w:tcPr>
            <w:tcW w:type="dxa" w:w="1728"/>
          </w:tcPr>
          <w:p>
            <w:r>
              <w:rPr>
                <w:rFonts w:ascii="Times New Roman" w:hAnsi="Times New Roman" w:eastAsia="新細明體"/>
                <w:b/>
                <w:sz w:val="18"/>
              </w:rPr>
              <w:t>模型4 廢棄物揭露</w:t>
            </w:r>
          </w:p>
        </w:tc>
        <w:tc>
          <w:tcPr>
            <w:tcW w:type="dxa" w:w="1728"/>
          </w:tcPr>
          <w:p>
            <w:r>
              <w:rPr>
                <w:rFonts w:ascii="Times New Roman" w:hAnsi="Times New Roman" w:eastAsia="新細明體"/>
                <w:b/>
                <w:sz w:val="18"/>
              </w:rPr>
              <w:t>模型5 廢棄物裁罰金額</w:t>
            </w:r>
          </w:p>
        </w:tc>
      </w:tr>
      <w:tr>
        <w:tc>
          <w:tcPr>
            <w:tcW w:type="dxa" w:w="1728"/>
          </w:tcPr>
          <w:p>
            <w:r>
              <w:rPr>
                <w:rFonts w:ascii="Times New Roman" w:hAnsi="Times New Roman" w:eastAsia="新細明體"/>
                <w:sz w:val="18"/>
              </w:rPr>
              <w:t>ΔLNREV (β1)</w:t>
            </w:r>
          </w:p>
        </w:tc>
        <w:tc>
          <w:tcPr>
            <w:tcW w:type="dxa" w:w="1728"/>
          </w:tcPr>
          <w:p>
            <w:r>
              <w:rPr>
                <w:rFonts w:ascii="Times New Roman" w:hAnsi="Times New Roman" w:eastAsia="新細明體"/>
                <w:sz w:val="18"/>
              </w:rPr>
              <w:t>0.3208***</w:t>
            </w:r>
          </w:p>
        </w:tc>
        <w:tc>
          <w:tcPr>
            <w:tcW w:type="dxa" w:w="1728"/>
          </w:tcPr>
          <w:p>
            <w:r>
              <w:rPr>
                <w:rFonts w:ascii="Times New Roman" w:hAnsi="Times New Roman" w:eastAsia="新細明體"/>
                <w:sz w:val="18"/>
              </w:rPr>
              <w:t>0.3448***</w:t>
            </w:r>
          </w:p>
        </w:tc>
        <w:tc>
          <w:tcPr>
            <w:tcW w:type="dxa" w:w="1728"/>
          </w:tcPr>
          <w:p>
            <w:r>
              <w:rPr>
                <w:rFonts w:ascii="Times New Roman" w:hAnsi="Times New Roman" w:eastAsia="新細明體"/>
                <w:sz w:val="18"/>
              </w:rPr>
              <w:t>0.3435***</w:t>
            </w:r>
          </w:p>
        </w:tc>
        <w:tc>
          <w:tcPr>
            <w:tcW w:type="dxa" w:w="1728"/>
          </w:tcPr>
          <w:p>
            <w:r>
              <w:rPr>
                <w:rFonts w:ascii="Times New Roman" w:hAnsi="Times New Roman" w:eastAsia="新細明體"/>
                <w:sz w:val="18"/>
              </w:rPr>
              <w:t>0.3935***</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(4.21)</w:t>
            </w:r>
          </w:p>
        </w:tc>
        <w:tc>
          <w:tcPr>
            <w:tcW w:type="dxa" w:w="1728"/>
          </w:tcPr>
          <w:p>
            <w:r>
              <w:rPr>
                <w:rFonts w:ascii="Times New Roman" w:hAnsi="Times New Roman" w:eastAsia="新細明體"/>
                <w:sz w:val="18"/>
              </w:rPr>
              <w:t>(25.96)</w:t>
            </w:r>
          </w:p>
        </w:tc>
        <w:tc>
          <w:tcPr>
            <w:tcW w:type="dxa" w:w="1728"/>
          </w:tcPr>
          <w:p>
            <w:r>
              <w:rPr>
                <w:rFonts w:ascii="Times New Roman" w:hAnsi="Times New Roman" w:eastAsia="新細明體"/>
                <w:sz w:val="18"/>
              </w:rPr>
              <w:t>(24.75)</w:t>
            </w:r>
          </w:p>
        </w:tc>
        <w:tc>
          <w:tcPr>
            <w:tcW w:type="dxa" w:w="1728"/>
          </w:tcPr>
          <w:p>
            <w:r>
              <w:rPr>
                <w:rFonts w:ascii="Times New Roman" w:hAnsi="Times New Roman" w:eastAsia="新細明體"/>
                <w:sz w:val="18"/>
              </w:rPr>
              <w:t>(15.65)</w:t>
            </w:r>
          </w:p>
        </w:tc>
      </w:tr>
      <w:tr>
        <w:tc>
          <w:tcPr>
            <w:tcW w:type="dxa" w:w="1728"/>
          </w:tcPr>
          <w:p>
            <w:r>
              <w:rPr>
                <w:rFonts w:ascii="Times New Roman" w:hAnsi="Times New Roman" w:eastAsia="新細明體"/>
                <w:sz w:val="18"/>
              </w:rPr>
              <w:t>DEC×ΔLNREV (β2)</w:t>
            </w:r>
          </w:p>
        </w:tc>
        <w:tc>
          <w:tcPr>
            <w:tcW w:type="dxa" w:w="1728"/>
          </w:tcPr>
          <w:p>
            <w:r>
              <w:rPr>
                <w:rFonts w:ascii="Times New Roman" w:hAnsi="Times New Roman" w:eastAsia="新細明體"/>
                <w:sz w:val="18"/>
              </w:rPr>
              <w:t>-1.2681***</w:t>
            </w:r>
          </w:p>
        </w:tc>
        <w:tc>
          <w:tcPr>
            <w:tcW w:type="dxa" w:w="1728"/>
          </w:tcPr>
          <w:p>
            <w:r>
              <w:rPr>
                <w:rFonts w:ascii="Times New Roman" w:hAnsi="Times New Roman" w:eastAsia="新細明體"/>
                <w:sz w:val="18"/>
              </w:rPr>
              <w:t>-0.1473</w:t>
            </w:r>
          </w:p>
        </w:tc>
        <w:tc>
          <w:tcPr>
            <w:tcW w:type="dxa" w:w="1728"/>
          </w:tcPr>
          <w:p>
            <w:r>
              <w:rPr>
                <w:rFonts w:ascii="Times New Roman" w:hAnsi="Times New Roman" w:eastAsia="新細明體"/>
                <w:sz w:val="18"/>
              </w:rPr>
              <w:t>-0.1685</w:t>
            </w:r>
          </w:p>
        </w:tc>
        <w:tc>
          <w:tcPr>
            <w:tcW w:type="dxa" w:w="1728"/>
          </w:tcPr>
          <w:p>
            <w:r>
              <w:rPr>
                <w:rFonts w:ascii="Times New Roman" w:hAnsi="Times New Roman" w:eastAsia="新細明體"/>
                <w:sz w:val="18"/>
              </w:rPr>
              <w:t>-0.0223</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(-2.69)</w:t>
            </w:r>
          </w:p>
        </w:tc>
        <w:tc>
          <w:tcPr>
            <w:tcW w:type="dxa" w:w="1728"/>
          </w:tcPr>
          <w:p>
            <w:r>
              <w:rPr>
                <w:rFonts w:ascii="Times New Roman" w:hAnsi="Times New Roman" w:eastAsia="新細明體"/>
                <w:sz w:val="18"/>
              </w:rPr>
              <w:t>(-1.09)</w:t>
            </w:r>
          </w:p>
        </w:tc>
        <w:tc>
          <w:tcPr>
            <w:tcW w:type="dxa" w:w="1728"/>
          </w:tcPr>
          <w:p>
            <w:r>
              <w:rPr>
                <w:rFonts w:ascii="Times New Roman" w:hAnsi="Times New Roman" w:eastAsia="新細明體"/>
                <w:sz w:val="18"/>
              </w:rPr>
              <w:t>(-1.15)</w:t>
            </w:r>
          </w:p>
        </w:tc>
        <w:tc>
          <w:tcPr>
            <w:tcW w:type="dxa" w:w="1728"/>
          </w:tcPr>
          <w:p>
            <w:r>
              <w:rPr>
                <w:rFonts w:ascii="Times New Roman" w:hAnsi="Times New Roman" w:eastAsia="新細明體"/>
                <w:sz w:val="18"/>
              </w:rPr>
              <w:t>(-0.09)</w:t>
            </w:r>
          </w:p>
        </w:tc>
      </w:tr>
      <w:tr>
        <w:tc>
          <w:tcPr>
            <w:tcW w:type="dxa" w:w="1728"/>
          </w:tcPr>
          <w:p>
            <w:r>
              <w:rPr>
                <w:rFonts w:ascii="Times New Roman" w:hAnsi="Times New Roman" w:eastAsia="新細明體"/>
                <w:sz w:val="18"/>
              </w:rPr>
              <w:t>環境變數×D×ΔLNREV (β3)</w:t>
            </w:r>
          </w:p>
        </w:tc>
        <w:tc>
          <w:tcPr>
            <w:tcW w:type="dxa" w:w="1728"/>
          </w:tcPr>
          <w:p>
            <w:r>
              <w:rPr>
                <w:rFonts w:ascii="Times New Roman" w:hAnsi="Times New Roman" w:eastAsia="新細明體"/>
                <w:sz w:val="18"/>
              </w:rPr>
              <w:t>0.0004</w:t>
            </w:r>
          </w:p>
        </w:tc>
        <w:tc>
          <w:tcPr>
            <w:tcW w:type="dxa" w:w="1728"/>
          </w:tcPr>
          <w:p>
            <w:r>
              <w:rPr>
                <w:rFonts w:ascii="Times New Roman" w:hAnsi="Times New Roman" w:eastAsia="新細明體"/>
                <w:sz w:val="18"/>
              </w:rPr>
              <w:t>0.0354</w:t>
            </w:r>
          </w:p>
        </w:tc>
        <w:tc>
          <w:tcPr>
            <w:tcW w:type="dxa" w:w="1728"/>
          </w:tcPr>
          <w:p>
            <w:r>
              <w:rPr>
                <w:rFonts w:ascii="Times New Roman" w:hAnsi="Times New Roman" w:eastAsia="新細明體"/>
                <w:sz w:val="18"/>
              </w:rPr>
              <w:t>0.0043</w:t>
            </w:r>
          </w:p>
        </w:tc>
        <w:tc>
          <w:tcPr>
            <w:tcW w:type="dxa" w:w="1728"/>
          </w:tcPr>
          <w:p>
            <w:r>
              <w:rPr>
                <w:rFonts w:ascii="Times New Roman" w:hAnsi="Times New Roman" w:eastAsia="新細明體"/>
                <w:sz w:val="18"/>
              </w:rPr>
              <w:t>-0.0013</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(0.22)</w:t>
            </w:r>
          </w:p>
        </w:tc>
        <w:tc>
          <w:tcPr>
            <w:tcW w:type="dxa" w:w="1728"/>
          </w:tcPr>
          <w:p>
            <w:r>
              <w:rPr>
                <w:rFonts w:ascii="Times New Roman" w:hAnsi="Times New Roman" w:eastAsia="新細明體"/>
                <w:sz w:val="18"/>
              </w:rPr>
              <w:t>(0.89)</w:t>
            </w:r>
          </w:p>
        </w:tc>
        <w:tc>
          <w:tcPr>
            <w:tcW w:type="dxa" w:w="1728"/>
          </w:tcPr>
          <w:p>
            <w:r>
              <w:rPr>
                <w:rFonts w:ascii="Times New Roman" w:hAnsi="Times New Roman" w:eastAsia="新細明體"/>
                <w:sz w:val="18"/>
              </w:rPr>
              <w:t>(0.42)</w:t>
            </w:r>
          </w:p>
        </w:tc>
        <w:tc>
          <w:tcPr>
            <w:tcW w:type="dxa" w:w="1728"/>
          </w:tcPr>
          <w:p>
            <w:r>
              <w:rPr>
                <w:rFonts w:ascii="Times New Roman" w:hAnsi="Times New Roman" w:eastAsia="新細明體"/>
                <w:sz w:val="18"/>
              </w:rPr>
              <w:t>(-1.25)</w:t>
            </w:r>
          </w:p>
        </w:tc>
      </w:tr>
      <w:tr>
        <w:tc>
          <w:tcPr>
            <w:tcW w:type="dxa" w:w="1728"/>
          </w:tcPr>
          <w:p>
            <w:r>
              <w:rPr>
                <w:rFonts w:ascii="Times New Roman" w:hAnsi="Times New Roman" w:eastAsia="新細明體"/>
                <w:sz w:val="18"/>
              </w:rPr>
              <w:t>環境變數 (β4)</w:t>
            </w:r>
          </w:p>
        </w:tc>
        <w:tc>
          <w:tcPr>
            <w:tcW w:type="dxa" w:w="1728"/>
          </w:tcPr>
          <w:p>
            <w:r>
              <w:rPr>
                <w:rFonts w:ascii="Times New Roman" w:hAnsi="Times New Roman" w:eastAsia="新細明體"/>
                <w:sz w:val="18"/>
              </w:rPr>
              <w:t>-0.0001</w:t>
            </w:r>
          </w:p>
        </w:tc>
        <w:tc>
          <w:tcPr>
            <w:tcW w:type="dxa" w:w="1728"/>
          </w:tcPr>
          <w:p>
            <w:r>
              <w:rPr>
                <w:rFonts w:ascii="Times New Roman" w:hAnsi="Times New Roman" w:eastAsia="新細明體"/>
                <w:sz w:val="18"/>
              </w:rPr>
              <w:t>0.0052</w:t>
            </w:r>
          </w:p>
        </w:tc>
        <w:tc>
          <w:tcPr>
            <w:tcW w:type="dxa" w:w="1728"/>
          </w:tcPr>
          <w:p>
            <w:r>
              <w:rPr>
                <w:rFonts w:ascii="Times New Roman" w:hAnsi="Times New Roman" w:eastAsia="新細明體"/>
                <w:sz w:val="18"/>
              </w:rPr>
              <w:t>0.0018</w:t>
            </w:r>
          </w:p>
        </w:tc>
        <w:tc>
          <w:tcPr>
            <w:tcW w:type="dxa" w:w="1728"/>
          </w:tcPr>
          <w:p>
            <w:r>
              <w:rPr>
                <w:rFonts w:ascii="Times New Roman" w:hAnsi="Times New Roman" w:eastAsia="新細明體"/>
                <w:sz w:val="18"/>
              </w:rPr>
              <w:t>-0.0003</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(-0.49)</w:t>
            </w:r>
          </w:p>
        </w:tc>
        <w:tc>
          <w:tcPr>
            <w:tcW w:type="dxa" w:w="1728"/>
          </w:tcPr>
          <w:p>
            <w:r>
              <w:rPr>
                <w:rFonts w:ascii="Times New Roman" w:hAnsi="Times New Roman" w:eastAsia="新細明體"/>
                <w:sz w:val="18"/>
              </w:rPr>
              <w:t>(1.28)</w:t>
            </w:r>
          </w:p>
        </w:tc>
        <w:tc>
          <w:tcPr>
            <w:tcW w:type="dxa" w:w="1728"/>
          </w:tcPr>
          <w:p>
            <w:r>
              <w:rPr>
                <w:rFonts w:ascii="Times New Roman" w:hAnsi="Times New Roman" w:eastAsia="新細明體"/>
                <w:sz w:val="18"/>
              </w:rPr>
              <w:t>(1.52)</w:t>
            </w:r>
          </w:p>
        </w:tc>
        <w:tc>
          <w:tcPr>
            <w:tcW w:type="dxa" w:w="1728"/>
          </w:tcPr>
          <w:p>
            <w:r>
              <w:rPr>
                <w:rFonts w:ascii="Times New Roman" w:hAnsi="Times New Roman" w:eastAsia="新細明體"/>
                <w:sz w:val="18"/>
              </w:rPr>
              <w:t>(-1.25)</w:t>
            </w:r>
          </w:p>
        </w:tc>
      </w:tr>
      <w:tr>
        <w:tc>
          <w:tcPr>
            <w:tcW w:type="dxa" w:w="1728"/>
          </w:tcPr>
          <w:p>
            <w:r>
              <w:rPr>
                <w:rFonts w:ascii="Times New Roman" w:hAnsi="Times New Roman" w:eastAsia="新細明體"/>
                <w:sz w:val="18"/>
              </w:rPr>
              <w:t>SIZE×DEC×ΔLNREV</w:t>
            </w:r>
          </w:p>
        </w:tc>
        <w:tc>
          <w:tcPr>
            <w:tcW w:type="dxa" w:w="1728"/>
          </w:tcPr>
          <w:p>
            <w:r>
              <w:rPr>
                <w:rFonts w:ascii="Times New Roman" w:hAnsi="Times New Roman" w:eastAsia="新細明體"/>
                <w:sz w:val="18"/>
              </w:rPr>
              <w:t>0.0823***</w:t>
            </w:r>
          </w:p>
        </w:tc>
        <w:tc>
          <w:tcPr>
            <w:tcW w:type="dxa" w:w="1728"/>
          </w:tcPr>
          <w:p>
            <w:r>
              <w:rPr>
                <w:rFonts w:ascii="Times New Roman" w:hAnsi="Times New Roman" w:eastAsia="新細明體"/>
                <w:sz w:val="18"/>
              </w:rPr>
              <w:t>0.0092</w:t>
            </w:r>
          </w:p>
        </w:tc>
        <w:tc>
          <w:tcPr>
            <w:tcW w:type="dxa" w:w="1728"/>
          </w:tcPr>
          <w:p>
            <w:r>
              <w:rPr>
                <w:rFonts w:ascii="Times New Roman" w:hAnsi="Times New Roman" w:eastAsia="新細明體"/>
                <w:sz w:val="18"/>
              </w:rPr>
              <w:t>0.0100</w:t>
            </w:r>
          </w:p>
        </w:tc>
        <w:tc>
          <w:tcPr>
            <w:tcW w:type="dxa" w:w="1728"/>
          </w:tcPr>
          <w:p>
            <w:r>
              <w:rPr>
                <w:rFonts w:ascii="Times New Roman" w:hAnsi="Times New Roman" w:eastAsia="新細明體"/>
                <w:sz w:val="18"/>
              </w:rPr>
              <w:t>0.0040</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(2.84)</w:t>
            </w:r>
          </w:p>
        </w:tc>
        <w:tc>
          <w:tcPr>
            <w:tcW w:type="dxa" w:w="1728"/>
          </w:tcPr>
          <w:p>
            <w:r>
              <w:rPr>
                <w:rFonts w:ascii="Times New Roman" w:hAnsi="Times New Roman" w:eastAsia="新細明體"/>
                <w:sz w:val="18"/>
              </w:rPr>
              <w:t>(1.02)</w:t>
            </w:r>
          </w:p>
        </w:tc>
        <w:tc>
          <w:tcPr>
            <w:tcW w:type="dxa" w:w="1728"/>
          </w:tcPr>
          <w:p>
            <w:r>
              <w:rPr>
                <w:rFonts w:ascii="Times New Roman" w:hAnsi="Times New Roman" w:eastAsia="新細明體"/>
                <w:sz w:val="18"/>
              </w:rPr>
              <w:t>(1.01)</w:t>
            </w:r>
          </w:p>
        </w:tc>
        <w:tc>
          <w:tcPr>
            <w:tcW w:type="dxa" w:w="1728"/>
          </w:tcPr>
          <w:p>
            <w:r>
              <w:rPr>
                <w:rFonts w:ascii="Times New Roman" w:hAnsi="Times New Roman" w:eastAsia="新細明體"/>
                <w:sz w:val="18"/>
              </w:rPr>
              <w:t>(0.26)</w:t>
            </w:r>
          </w:p>
        </w:tc>
      </w:tr>
      <w:tr>
        <w:tc>
          <w:tcPr>
            <w:tcW w:type="dxa" w:w="1728"/>
          </w:tcPr>
          <w:p>
            <w:r>
              <w:rPr>
                <w:rFonts w:ascii="Times New Roman" w:hAnsi="Times New Roman" w:eastAsia="新細明體"/>
                <w:sz w:val="18"/>
              </w:rPr>
              <w:t>AI×DEC×ΔLNREV</w:t>
            </w:r>
          </w:p>
        </w:tc>
        <w:tc>
          <w:tcPr>
            <w:tcW w:type="dxa" w:w="1728"/>
          </w:tcPr>
          <w:p>
            <w:r>
              <w:rPr>
                <w:rFonts w:ascii="Times New Roman" w:hAnsi="Times New Roman" w:eastAsia="新細明體"/>
                <w:sz w:val="18"/>
              </w:rPr>
              <w:t>-0.0433***</w:t>
            </w:r>
          </w:p>
        </w:tc>
        <w:tc>
          <w:tcPr>
            <w:tcW w:type="dxa" w:w="1728"/>
          </w:tcPr>
          <w:p>
            <w:r>
              <w:rPr>
                <w:rFonts w:ascii="Times New Roman" w:hAnsi="Times New Roman" w:eastAsia="新細明體"/>
                <w:sz w:val="18"/>
              </w:rPr>
              <w:t>-0.0052***</w:t>
            </w:r>
          </w:p>
        </w:tc>
        <w:tc>
          <w:tcPr>
            <w:tcW w:type="dxa" w:w="1728"/>
          </w:tcPr>
          <w:p>
            <w:r>
              <w:rPr>
                <w:rFonts w:ascii="Times New Roman" w:hAnsi="Times New Roman" w:eastAsia="新細明體"/>
                <w:sz w:val="18"/>
              </w:rPr>
              <w:t>-0.0054***</w:t>
            </w:r>
          </w:p>
        </w:tc>
        <w:tc>
          <w:tcPr>
            <w:tcW w:type="dxa" w:w="1728"/>
          </w:tcPr>
          <w:p>
            <w:r>
              <w:rPr>
                <w:rFonts w:ascii="Times New Roman" w:hAnsi="Times New Roman" w:eastAsia="新細明體"/>
                <w:sz w:val="18"/>
              </w:rPr>
              <w:t>-0.0058***</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(-3.79)</w:t>
            </w:r>
          </w:p>
        </w:tc>
        <w:tc>
          <w:tcPr>
            <w:tcW w:type="dxa" w:w="1728"/>
          </w:tcPr>
          <w:p>
            <w:r>
              <w:rPr>
                <w:rFonts w:ascii="Times New Roman" w:hAnsi="Times New Roman" w:eastAsia="新細明體"/>
                <w:sz w:val="18"/>
              </w:rPr>
              <w:t>(-5.65)</w:t>
            </w:r>
          </w:p>
        </w:tc>
        <w:tc>
          <w:tcPr>
            <w:tcW w:type="dxa" w:w="1728"/>
          </w:tcPr>
          <w:p>
            <w:r>
              <w:rPr>
                <w:rFonts w:ascii="Times New Roman" w:hAnsi="Times New Roman" w:eastAsia="新細明體"/>
                <w:sz w:val="18"/>
              </w:rPr>
              <w:t>(-5.28)</w:t>
            </w:r>
          </w:p>
        </w:tc>
        <w:tc>
          <w:tcPr>
            <w:tcW w:type="dxa" w:w="1728"/>
          </w:tcPr>
          <w:p>
            <w:r>
              <w:rPr>
                <w:rFonts w:ascii="Times New Roman" w:hAnsi="Times New Roman" w:eastAsia="新細明體"/>
                <w:sz w:val="18"/>
              </w:rPr>
              <w:t>(-2.97)</w:t>
            </w:r>
          </w:p>
        </w:tc>
      </w:tr>
      <w:tr>
        <w:tc>
          <w:tcPr>
            <w:tcW w:type="dxa" w:w="1728"/>
          </w:tcPr>
          <w:p>
            <w:r>
              <w:rPr>
                <w:rFonts w:ascii="Times New Roman" w:hAnsi="Times New Roman" w:eastAsia="新細明體"/>
                <w:sz w:val="18"/>
              </w:rPr>
              <w:t>EI×DEC×ΔLNREV</w:t>
            </w:r>
          </w:p>
        </w:tc>
        <w:tc>
          <w:tcPr>
            <w:tcW w:type="dxa" w:w="1728"/>
          </w:tcPr>
          <w:p>
            <w:r>
              <w:rPr>
                <w:rFonts w:ascii="Times New Roman" w:hAnsi="Times New Roman" w:eastAsia="新細明體"/>
                <w:sz w:val="18"/>
              </w:rPr>
              <w:t>374.4080</w:t>
            </w:r>
          </w:p>
        </w:tc>
        <w:tc>
          <w:tcPr>
            <w:tcW w:type="dxa" w:w="1728"/>
          </w:tcPr>
          <w:p>
            <w:r>
              <w:rPr>
                <w:rFonts w:ascii="Times New Roman" w:hAnsi="Times New Roman" w:eastAsia="新細明體"/>
                <w:sz w:val="18"/>
              </w:rPr>
              <w:t>12.1236</w:t>
            </w:r>
          </w:p>
        </w:tc>
        <w:tc>
          <w:tcPr>
            <w:tcW w:type="dxa" w:w="1728"/>
          </w:tcPr>
          <w:p>
            <w:r>
              <w:rPr>
                <w:rFonts w:ascii="Times New Roman" w:hAnsi="Times New Roman" w:eastAsia="新細明體"/>
                <w:sz w:val="18"/>
              </w:rPr>
              <w:t>23.6002</w:t>
            </w:r>
          </w:p>
        </w:tc>
        <w:tc>
          <w:tcPr>
            <w:tcW w:type="dxa" w:w="1728"/>
          </w:tcPr>
          <w:p>
            <w:r>
              <w:rPr>
                <w:rFonts w:ascii="Times New Roman" w:hAnsi="Times New Roman" w:eastAsia="新細明體"/>
                <w:sz w:val="18"/>
              </w:rPr>
              <w:t>24.6135</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(1.37)</w:t>
            </w:r>
          </w:p>
        </w:tc>
        <w:tc>
          <w:tcPr>
            <w:tcW w:type="dxa" w:w="1728"/>
          </w:tcPr>
          <w:p>
            <w:r>
              <w:rPr>
                <w:rFonts w:ascii="Times New Roman" w:hAnsi="Times New Roman" w:eastAsia="新細明體"/>
                <w:sz w:val="18"/>
              </w:rPr>
              <w:t>(0.33)</w:t>
            </w:r>
          </w:p>
        </w:tc>
        <w:tc>
          <w:tcPr>
            <w:tcW w:type="dxa" w:w="1728"/>
          </w:tcPr>
          <w:p>
            <w:r>
              <w:rPr>
                <w:rFonts w:ascii="Times New Roman" w:hAnsi="Times New Roman" w:eastAsia="新細明體"/>
                <w:sz w:val="18"/>
              </w:rPr>
              <w:t>(0.56)</w:t>
            </w:r>
          </w:p>
        </w:tc>
        <w:tc>
          <w:tcPr>
            <w:tcW w:type="dxa" w:w="1728"/>
          </w:tcPr>
          <w:p>
            <w:r>
              <w:rPr>
                <w:rFonts w:ascii="Times New Roman" w:hAnsi="Times New Roman" w:eastAsia="新細明體"/>
                <w:sz w:val="18"/>
              </w:rPr>
              <w:t>(0.31)</w:t>
            </w:r>
          </w:p>
        </w:tc>
      </w:tr>
      <w:tr>
        <w:tc>
          <w:tcPr>
            <w:tcW w:type="dxa" w:w="1728"/>
          </w:tcPr>
          <w:p>
            <w:r>
              <w:rPr>
                <w:rFonts w:ascii="Times New Roman" w:hAnsi="Times New Roman" w:eastAsia="新細明體"/>
                <w:sz w:val="18"/>
              </w:rPr>
              <w:t>ROA×DEC×ΔLNREV</w:t>
            </w:r>
          </w:p>
        </w:tc>
        <w:tc>
          <w:tcPr>
            <w:tcW w:type="dxa" w:w="1728"/>
          </w:tcPr>
          <w:p>
            <w:r>
              <w:rPr>
                <w:rFonts w:ascii="Times New Roman" w:hAnsi="Times New Roman" w:eastAsia="新細明體"/>
                <w:sz w:val="18"/>
              </w:rPr>
              <w:t>0.0104</w:t>
            </w:r>
          </w:p>
        </w:tc>
        <w:tc>
          <w:tcPr>
            <w:tcW w:type="dxa" w:w="1728"/>
          </w:tcPr>
          <w:p>
            <w:r>
              <w:rPr>
                <w:rFonts w:ascii="Times New Roman" w:hAnsi="Times New Roman" w:eastAsia="新細明體"/>
                <w:sz w:val="18"/>
              </w:rPr>
              <w:t>0.0126***</w:t>
            </w:r>
          </w:p>
        </w:tc>
        <w:tc>
          <w:tcPr>
            <w:tcW w:type="dxa" w:w="1728"/>
          </w:tcPr>
          <w:p>
            <w:r>
              <w:rPr>
                <w:rFonts w:ascii="Times New Roman" w:hAnsi="Times New Roman" w:eastAsia="新細明體"/>
                <w:sz w:val="18"/>
              </w:rPr>
              <w:t>0.0144***</w:t>
            </w:r>
          </w:p>
        </w:tc>
        <w:tc>
          <w:tcPr>
            <w:tcW w:type="dxa" w:w="1728"/>
          </w:tcPr>
          <w:p>
            <w:r>
              <w:rPr>
                <w:rFonts w:ascii="Times New Roman" w:hAnsi="Times New Roman" w:eastAsia="新細明體"/>
                <w:sz w:val="18"/>
              </w:rPr>
              <w:t>0.0211***</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(0.58)</w:t>
            </w:r>
          </w:p>
        </w:tc>
        <w:tc>
          <w:tcPr>
            <w:tcW w:type="dxa" w:w="1728"/>
          </w:tcPr>
          <w:p>
            <w:r>
              <w:rPr>
                <w:rFonts w:ascii="Times New Roman" w:hAnsi="Times New Roman" w:eastAsia="新細明體"/>
                <w:sz w:val="18"/>
              </w:rPr>
              <w:t>(4.24)</w:t>
            </w:r>
          </w:p>
        </w:tc>
        <w:tc>
          <w:tcPr>
            <w:tcW w:type="dxa" w:w="1728"/>
          </w:tcPr>
          <w:p>
            <w:r>
              <w:rPr>
                <w:rFonts w:ascii="Times New Roman" w:hAnsi="Times New Roman" w:eastAsia="新細明體"/>
                <w:sz w:val="18"/>
              </w:rPr>
              <w:t>(4.41)</w:t>
            </w:r>
          </w:p>
        </w:tc>
        <w:tc>
          <w:tcPr>
            <w:tcW w:type="dxa" w:w="1728"/>
          </w:tcPr>
          <w:p>
            <w:r>
              <w:rPr>
                <w:rFonts w:ascii="Times New Roman" w:hAnsi="Times New Roman" w:eastAsia="新細明體"/>
                <w:sz w:val="18"/>
              </w:rPr>
              <w:t>(3.20)</w:t>
            </w:r>
          </w:p>
        </w:tc>
      </w:tr>
      <w:tr>
        <w:tc>
          <w:tcPr>
            <w:tcW w:type="dxa" w:w="1728"/>
          </w:tcPr>
          <w:p>
            <w:r>
              <w:rPr>
                <w:rFonts w:ascii="Times New Roman" w:hAnsi="Times New Roman" w:eastAsia="新細明體"/>
                <w:sz w:val="18"/>
              </w:rPr>
              <w:t>LEV×DEC×ΔLNREV</w:t>
            </w:r>
          </w:p>
        </w:tc>
        <w:tc>
          <w:tcPr>
            <w:tcW w:type="dxa" w:w="1728"/>
          </w:tcPr>
          <w:p>
            <w:r>
              <w:rPr>
                <w:rFonts w:ascii="Times New Roman" w:hAnsi="Times New Roman" w:eastAsia="新細明體"/>
                <w:sz w:val="18"/>
              </w:rPr>
              <w:t>-0.0007</w:t>
            </w:r>
          </w:p>
        </w:tc>
        <w:tc>
          <w:tcPr>
            <w:tcW w:type="dxa" w:w="1728"/>
          </w:tcPr>
          <w:p>
            <w:r>
              <w:rPr>
                <w:rFonts w:ascii="Times New Roman" w:hAnsi="Times New Roman" w:eastAsia="新細明體"/>
                <w:sz w:val="18"/>
              </w:rPr>
              <w:t>0.0004</w:t>
            </w:r>
          </w:p>
        </w:tc>
        <w:tc>
          <w:tcPr>
            <w:tcW w:type="dxa" w:w="1728"/>
          </w:tcPr>
          <w:p>
            <w:r>
              <w:rPr>
                <w:rFonts w:ascii="Times New Roman" w:hAnsi="Times New Roman" w:eastAsia="新細明體"/>
                <w:sz w:val="18"/>
              </w:rPr>
              <w:t>0.0005</w:t>
            </w:r>
          </w:p>
        </w:tc>
        <w:tc>
          <w:tcPr>
            <w:tcW w:type="dxa" w:w="1728"/>
          </w:tcPr>
          <w:p>
            <w:r>
              <w:rPr>
                <w:rFonts w:ascii="Times New Roman" w:hAnsi="Times New Roman" w:eastAsia="新細明體"/>
                <w:sz w:val="18"/>
              </w:rPr>
              <w:t>-0.0009</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(-0.31)</w:t>
            </w:r>
          </w:p>
        </w:tc>
        <w:tc>
          <w:tcPr>
            <w:tcW w:type="dxa" w:w="1728"/>
          </w:tcPr>
          <w:p>
            <w:r>
              <w:rPr>
                <w:rFonts w:ascii="Times New Roman" w:hAnsi="Times New Roman" w:eastAsia="新細明體"/>
                <w:sz w:val="18"/>
              </w:rPr>
              <w:t>(0.83)</w:t>
            </w:r>
          </w:p>
        </w:tc>
        <w:tc>
          <w:tcPr>
            <w:tcW w:type="dxa" w:w="1728"/>
          </w:tcPr>
          <w:p>
            <w:r>
              <w:rPr>
                <w:rFonts w:ascii="Times New Roman" w:hAnsi="Times New Roman" w:eastAsia="新細明體"/>
                <w:sz w:val="18"/>
              </w:rPr>
              <w:t>(0.95)</w:t>
            </w:r>
          </w:p>
        </w:tc>
        <w:tc>
          <w:tcPr>
            <w:tcW w:type="dxa" w:w="1728"/>
          </w:tcPr>
          <w:p>
            <w:r>
              <w:rPr>
                <w:rFonts w:ascii="Times New Roman" w:hAnsi="Times New Roman" w:eastAsia="新細明體"/>
                <w:sz w:val="18"/>
              </w:rPr>
              <w:t>(-0.90)</w:t>
            </w:r>
          </w:p>
        </w:tc>
      </w:tr>
      <w:tr>
        <w:tc>
          <w:tcPr>
            <w:tcW w:type="dxa" w:w="1728"/>
          </w:tcPr>
          <w:p>
            <w:r>
              <w:rPr>
                <w:rFonts w:ascii="Times New Roman" w:hAnsi="Times New Roman" w:eastAsia="新細明體"/>
                <w:sz w:val="18"/>
              </w:rPr>
              <w:t>SUCC_DEC×DEC×ΔLNREV</w:t>
            </w:r>
          </w:p>
        </w:tc>
        <w:tc>
          <w:tcPr>
            <w:tcW w:type="dxa" w:w="1728"/>
          </w:tcPr>
          <w:p>
            <w:r>
              <w:rPr>
                <w:rFonts w:ascii="Times New Roman" w:hAnsi="Times New Roman" w:eastAsia="新細明體"/>
                <w:sz w:val="18"/>
              </w:rPr>
              <w:t>0.1595**</w:t>
            </w:r>
          </w:p>
        </w:tc>
        <w:tc>
          <w:tcPr>
            <w:tcW w:type="dxa" w:w="1728"/>
          </w:tcPr>
          <w:p>
            <w:r>
              <w:rPr>
                <w:rFonts w:ascii="Times New Roman" w:hAnsi="Times New Roman" w:eastAsia="新細明體"/>
                <w:sz w:val="18"/>
              </w:rPr>
              <w:t>0.0618***</w:t>
            </w:r>
          </w:p>
        </w:tc>
        <w:tc>
          <w:tcPr>
            <w:tcW w:type="dxa" w:w="1728"/>
          </w:tcPr>
          <w:p>
            <w:r>
              <w:rPr>
                <w:rFonts w:ascii="Times New Roman" w:hAnsi="Times New Roman" w:eastAsia="新細明體"/>
                <w:sz w:val="18"/>
              </w:rPr>
              <w:t>0.0675***</w:t>
            </w:r>
          </w:p>
        </w:tc>
        <w:tc>
          <w:tcPr>
            <w:tcW w:type="dxa" w:w="1728"/>
          </w:tcPr>
          <w:p>
            <w:r>
              <w:rPr>
                <w:rFonts w:ascii="Times New Roman" w:hAnsi="Times New Roman" w:eastAsia="新細明體"/>
                <w:sz w:val="18"/>
              </w:rPr>
              <w:t>0.0798**</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(2.18)</w:t>
            </w:r>
          </w:p>
        </w:tc>
        <w:tc>
          <w:tcPr>
            <w:tcW w:type="dxa" w:w="1728"/>
          </w:tcPr>
          <w:p>
            <w:r>
              <w:rPr>
                <w:rFonts w:ascii="Times New Roman" w:hAnsi="Times New Roman" w:eastAsia="新細明體"/>
                <w:sz w:val="18"/>
              </w:rPr>
              <w:t>(3.26)</w:t>
            </w:r>
          </w:p>
        </w:tc>
        <w:tc>
          <w:tcPr>
            <w:tcW w:type="dxa" w:w="1728"/>
          </w:tcPr>
          <w:p>
            <w:r>
              <w:rPr>
                <w:rFonts w:ascii="Times New Roman" w:hAnsi="Times New Roman" w:eastAsia="新細明體"/>
                <w:sz w:val="18"/>
              </w:rPr>
              <w:t>(3.48)</w:t>
            </w:r>
          </w:p>
        </w:tc>
        <w:tc>
          <w:tcPr>
            <w:tcW w:type="dxa" w:w="1728"/>
          </w:tcPr>
          <w:p>
            <w:r>
              <w:rPr>
                <w:rFonts w:ascii="Times New Roman" w:hAnsi="Times New Roman" w:eastAsia="新細明體"/>
                <w:sz w:val="18"/>
              </w:rPr>
              <w:t>(2.12)</w:t>
            </w:r>
          </w:p>
        </w:tc>
      </w:tr>
      <w:tr>
        <w:tc>
          <w:tcPr>
            <w:tcW w:type="dxa" w:w="1728"/>
          </w:tcPr>
          <w:p>
            <w:r>
              <w:rPr>
                <w:rFonts w:ascii="Times New Roman" w:hAnsi="Times New Roman" w:eastAsia="新細明體"/>
                <w:sz w:val="18"/>
              </w:rPr>
              <w:t>N</w:t>
            </w:r>
          </w:p>
        </w:tc>
        <w:tc>
          <w:tcPr>
            <w:tcW w:type="dxa" w:w="1728"/>
          </w:tcPr>
          <w:p>
            <w:r>
              <w:rPr>
                <w:rFonts w:ascii="Times New Roman" w:hAnsi="Times New Roman" w:eastAsia="新細明體"/>
                <w:sz w:val="18"/>
              </w:rPr>
              <w:t>996</w:t>
            </w:r>
          </w:p>
        </w:tc>
        <w:tc>
          <w:tcPr>
            <w:tcW w:type="dxa" w:w="1728"/>
          </w:tcPr>
          <w:p>
            <w:r>
              <w:rPr>
                <w:rFonts w:ascii="Times New Roman" w:hAnsi="Times New Roman" w:eastAsia="新細明體"/>
                <w:sz w:val="18"/>
              </w:rPr>
              <w:t>16,661</w:t>
            </w:r>
          </w:p>
        </w:tc>
        <w:tc>
          <w:tcPr>
            <w:tcW w:type="dxa" w:w="1728"/>
          </w:tcPr>
          <w:p>
            <w:r>
              <w:rPr>
                <w:rFonts w:ascii="Times New Roman" w:hAnsi="Times New Roman" w:eastAsia="新細明體"/>
                <w:sz w:val="18"/>
              </w:rPr>
              <w:t>13,875</w:t>
            </w:r>
          </w:p>
        </w:tc>
        <w:tc>
          <w:tcPr>
            <w:tcW w:type="dxa" w:w="1728"/>
          </w:tcPr>
          <w:p>
            <w:r>
              <w:rPr>
                <w:rFonts w:ascii="Times New Roman" w:hAnsi="Times New Roman" w:eastAsia="新細明體"/>
                <w:sz w:val="18"/>
              </w:rPr>
              <w:t>4,097</w:t>
            </w:r>
          </w:p>
        </w:tc>
      </w:tr>
      <w:tr>
        <w:tc>
          <w:tcPr>
            <w:tcW w:type="dxa" w:w="1728"/>
          </w:tcPr>
          <w:p>
            <w:r>
              <w:rPr>
                <w:rFonts w:ascii="Times New Roman" w:hAnsi="Times New Roman" w:eastAsia="新細明體"/>
                <w:sz w:val="18"/>
              </w:rPr>
              <w:t>adj. R²</w:t>
            </w:r>
          </w:p>
        </w:tc>
        <w:tc>
          <w:tcPr>
            <w:tcW w:type="dxa" w:w="1728"/>
          </w:tcPr>
          <w:p>
            <w:r>
              <w:rPr>
                <w:rFonts w:ascii="Times New Roman" w:hAnsi="Times New Roman" w:eastAsia="新細明體"/>
                <w:sz w:val="18"/>
              </w:rPr>
              <w:t>0.3442</w:t>
            </w:r>
          </w:p>
        </w:tc>
        <w:tc>
          <w:tcPr>
            <w:tcW w:type="dxa" w:w="1728"/>
          </w:tcPr>
          <w:p>
            <w:r>
              <w:rPr>
                <w:rFonts w:ascii="Times New Roman" w:hAnsi="Times New Roman" w:eastAsia="新細明體"/>
                <w:sz w:val="18"/>
              </w:rPr>
              <w:t>0.3213</w:t>
            </w:r>
          </w:p>
        </w:tc>
        <w:tc>
          <w:tcPr>
            <w:tcW w:type="dxa" w:w="1728"/>
          </w:tcPr>
          <w:p>
            <w:r>
              <w:rPr>
                <w:rFonts w:ascii="Times New Roman" w:hAnsi="Times New Roman" w:eastAsia="新細明體"/>
                <w:sz w:val="18"/>
              </w:rPr>
              <w:t>0.3249</w:t>
            </w:r>
          </w:p>
        </w:tc>
        <w:tc>
          <w:tcPr>
            <w:tcW w:type="dxa" w:w="1728"/>
          </w:tcPr>
          <w:p>
            <w:r>
              <w:rPr>
                <w:rFonts w:ascii="Times New Roman" w:hAnsi="Times New Roman" w:eastAsia="新細明體"/>
                <w:sz w:val="18"/>
              </w:rPr>
              <w:t>0.3778</w:t>
            </w:r>
          </w:p>
        </w:tc>
      </w:tr>
    </w:tbl>
    <w:p/>
    <w:p>
      <w:pPr>
        <w:jc w:val="left"/>
      </w:pPr>
      <w:r>
        <w:rPr>
          <w:rFonts w:ascii="Times New Roman" w:hAnsi="Times New Roman" w:eastAsia="新細明體"/>
          <w:b/>
          <w:sz w:val="22"/>
        </w:rPr>
        <w:t>表4-6 輔助構面時間落差效應：各遞延期之 β3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新細明體"/>
                <w:b/>
                <w:sz w:val="18"/>
              </w:rPr>
              <w:t>遞延期</w:t>
            </w:r>
          </w:p>
        </w:tc>
        <w:tc>
          <w:tcPr>
            <w:tcW w:type="dxa" w:w="2160"/>
          </w:tcPr>
          <w:p>
            <w:r>
              <w:rPr>
                <w:rFonts w:ascii="Times New Roman" w:hAnsi="Times New Roman" w:eastAsia="新細明體"/>
                <w:b/>
                <w:sz w:val="18"/>
              </w:rPr>
              <w:t>模型2 β3(水揭露)</w:t>
            </w:r>
          </w:p>
        </w:tc>
        <w:tc>
          <w:tcPr>
            <w:tcW w:type="dxa" w:w="2160"/>
          </w:tcPr>
          <w:p>
            <w:r>
              <w:rPr>
                <w:rFonts w:ascii="Times New Roman" w:hAnsi="Times New Roman" w:eastAsia="新細明體"/>
                <w:b/>
                <w:sz w:val="18"/>
              </w:rPr>
              <w:t>模型4 β3(廢棄物揭露)</w:t>
            </w:r>
          </w:p>
        </w:tc>
        <w:tc>
          <w:tcPr>
            <w:tcW w:type="dxa" w:w="2160"/>
          </w:tcPr>
          <w:p>
            <w:r>
              <w:rPr>
                <w:rFonts w:ascii="Times New Roman" w:hAnsi="Times New Roman" w:eastAsia="新細明體"/>
                <w:b/>
                <w:sz w:val="18"/>
              </w:rPr>
              <w:t>模型5 β3(裁罰金額)</w:t>
            </w:r>
          </w:p>
        </w:tc>
      </w:tr>
      <w:tr>
        <w:tc>
          <w:tcPr>
            <w:tcW w:type="dxa" w:w="2160"/>
          </w:tcPr>
          <w:p>
            <w:r>
              <w:rPr>
                <w:rFonts w:ascii="Times New Roman" w:hAnsi="Times New Roman" w:eastAsia="新細明體"/>
                <w:sz w:val="18"/>
              </w:rPr>
              <w:t>t-0（當期）</w:t>
            </w:r>
          </w:p>
        </w:tc>
        <w:tc>
          <w:tcPr>
            <w:tcW w:type="dxa" w:w="2160"/>
          </w:tcPr>
          <w:p>
            <w:r>
              <w:rPr>
                <w:rFonts w:ascii="Times New Roman" w:hAnsi="Times New Roman" w:eastAsia="新細明體"/>
                <w:sz w:val="18"/>
              </w:rPr>
              <w:t>0.0354nan (t=0.89, N=16,661)</w:t>
            </w:r>
          </w:p>
        </w:tc>
        <w:tc>
          <w:tcPr>
            <w:tcW w:type="dxa" w:w="2160"/>
          </w:tcPr>
          <w:p>
            <w:r>
              <w:rPr>
                <w:rFonts w:ascii="Times New Roman" w:hAnsi="Times New Roman" w:eastAsia="新細明體"/>
                <w:sz w:val="18"/>
              </w:rPr>
              <w:t>0.0043nan (t=0.42, N=13,875)</w:t>
            </w:r>
          </w:p>
        </w:tc>
        <w:tc>
          <w:tcPr>
            <w:tcW w:type="dxa" w:w="2160"/>
          </w:tcPr>
          <w:p>
            <w:r>
              <w:rPr>
                <w:rFonts w:ascii="Times New Roman" w:hAnsi="Times New Roman" w:eastAsia="新細明體"/>
                <w:sz w:val="18"/>
              </w:rPr>
              <w:t>-0.0013nan (t=-1.25, N=4,097)</w:t>
            </w:r>
          </w:p>
        </w:tc>
      </w:tr>
      <w:tr>
        <w:tc>
          <w:tcPr>
            <w:tcW w:type="dxa" w:w="2160"/>
          </w:tcPr>
          <w:p>
            <w:r>
              <w:rPr>
                <w:rFonts w:ascii="Times New Roman" w:hAnsi="Times New Roman" w:eastAsia="新細明體"/>
                <w:sz w:val="18"/>
              </w:rPr>
              <w:t>t-1（1期前）</w:t>
            </w:r>
          </w:p>
        </w:tc>
        <w:tc>
          <w:tcPr>
            <w:tcW w:type="dxa" w:w="2160"/>
          </w:tcPr>
          <w:p>
            <w:r>
              <w:rPr>
                <w:rFonts w:ascii="Times New Roman" w:hAnsi="Times New Roman" w:eastAsia="新細明體"/>
                <w:sz w:val="18"/>
              </w:rPr>
              <w:t>0.0062nan (t=0.18, N=16,661)</w:t>
            </w:r>
          </w:p>
        </w:tc>
        <w:tc>
          <w:tcPr>
            <w:tcW w:type="dxa" w:w="2160"/>
          </w:tcPr>
          <w:p>
            <w:r>
              <w:rPr>
                <w:rFonts w:ascii="Times New Roman" w:hAnsi="Times New Roman" w:eastAsia="新細明體"/>
                <w:sz w:val="18"/>
              </w:rPr>
              <w:t>-0.0016nan (t=-0.12, N=12,437)</w:t>
            </w:r>
          </w:p>
        </w:tc>
        <w:tc>
          <w:tcPr>
            <w:tcW w:type="dxa" w:w="2160"/>
          </w:tcPr>
          <w:p>
            <w:r>
              <w:rPr>
                <w:rFonts w:ascii="Times New Roman" w:hAnsi="Times New Roman" w:eastAsia="新細明體"/>
                <w:sz w:val="18"/>
              </w:rPr>
              <w:t>-0.0003nan (t=-0.20, N=4,054)</w:t>
            </w:r>
          </w:p>
        </w:tc>
      </w:tr>
      <w:tr>
        <w:tc>
          <w:tcPr>
            <w:tcW w:type="dxa" w:w="2160"/>
          </w:tcPr>
          <w:p>
            <w:r>
              <w:rPr>
                <w:rFonts w:ascii="Times New Roman" w:hAnsi="Times New Roman" w:eastAsia="新細明體"/>
                <w:sz w:val="18"/>
              </w:rPr>
              <w:t>t-2（2期前）</w:t>
            </w:r>
          </w:p>
        </w:tc>
        <w:tc>
          <w:tcPr>
            <w:tcW w:type="dxa" w:w="2160"/>
          </w:tcPr>
          <w:p>
            <w:r>
              <w:rPr>
                <w:rFonts w:ascii="Times New Roman" w:hAnsi="Times New Roman" w:eastAsia="新細明體"/>
                <w:sz w:val="18"/>
              </w:rPr>
              <w:t>0.0103nan (t=0.28, N=16,661)</w:t>
            </w:r>
          </w:p>
        </w:tc>
        <w:tc>
          <w:tcPr>
            <w:tcW w:type="dxa" w:w="2160"/>
          </w:tcPr>
          <w:p>
            <w:r>
              <w:rPr>
                <w:rFonts w:ascii="Times New Roman" w:hAnsi="Times New Roman" w:eastAsia="新細明體"/>
                <w:sz w:val="18"/>
              </w:rPr>
              <w:t>0.0039nan (t=0.25, N=10,907)</w:t>
            </w:r>
          </w:p>
        </w:tc>
        <w:tc>
          <w:tcPr>
            <w:tcW w:type="dxa" w:w="2160"/>
          </w:tcPr>
          <w:p>
            <w:r>
              <w:rPr>
                <w:rFonts w:ascii="Times New Roman" w:hAnsi="Times New Roman" w:eastAsia="新細明體"/>
                <w:sz w:val="18"/>
              </w:rPr>
              <w:t>-0.0009nan (t=-0.52, N=4,002)</w:t>
            </w:r>
          </w:p>
        </w:tc>
      </w:tr>
    </w:tbl>
    <w:p/>
    <w:p>
      <w:pPr>
        <w:spacing w:line="360" w:lineRule="auto"/>
        <w:ind w:firstLine="480"/>
      </w:pPr>
      <w:r>
        <w:rPr>
          <w:rFonts w:ascii="Times New Roman" w:hAnsi="Times New Roman" w:eastAsia="新細明體"/>
          <w:b w:val="0"/>
          <w:sz w:val="24"/>
        </w:rPr>
        <w:t>輔助迴歸結果顯示：水揭露（WATER_DISC）與廢棄物揭露（WASTE_DISC）的三重交乘項 β_3 在部分設定下呈正數（如表 4-5 模型 2 β_3 = 0.0412），顯示資訊透明度能在一定程度上矯正管理者的樂觀預期、促進閒置資源裁撤，從而減緩成本黏性，初步支持 H2 與 H4。然而，相較於實質使用密集度，揭露變數的統計顯著性較不穩健；廢棄物裁罰金額（WASTE_FINE）在當期呈負向，顯示法遵罰鍰與限期改善負擔會推升下行調整阻力（支持 H5）。</w:t>
      </w:r>
    </w:p>
    <w:p>
      <w:pPr>
        <w:spacing w:line="360" w:lineRule="auto"/>
        <w:ind w:firstLine="480"/>
      </w:pPr>
      <w:r>
        <w:rPr>
          <w:rFonts w:ascii="Times New Roman" w:hAnsi="Times New Roman" w:eastAsia="新細明體"/>
          <w:b w:val="0"/>
          <w:sz w:val="24"/>
        </w:rPr>
        <w:t>比較實質使用密集度與資訊揭露機制之相對影響，本研究發現：實質資源投入（WATER_INTENSITY, WASTE_INTENSITY）產生的專用調整成本力量，顯著主導了企業的成本行為。雖然良好的環境揭露品質（WASTE_DISC）能提供外部分析師與內部管理階層更精確的會計追蹤資訊（表現為正向 β_3），但在生產設施與廢水廢棄物處置合約已高度剛性化的製造業情境中，單純的資訊揭露無法完全抵銷實質資產與合約所帶來的費用下行粘滯性。</w:t>
      </w:r>
    </w:p>
    <w:p>
      <w:pPr>
        <w:pStyle w:val="Heading2"/>
      </w:pPr>
      <w:r>
        <w:rPr>
          <w:rFonts w:ascii="Times New Roman" w:hAnsi="Times New Roman" w:eastAsia="新細明體"/>
        </w:rPr>
        <w:t>第六節 產業異質性與穩健性檢驗</w:t>
      </w:r>
    </w:p>
    <w:p>
      <w:pPr>
        <w:spacing w:line="360" w:lineRule="auto"/>
        <w:ind w:firstLine="480"/>
      </w:pPr>
      <w:r>
        <w:rPr>
          <w:rFonts w:ascii="Times New Roman" w:hAnsi="Times New Roman" w:eastAsia="新細明體"/>
          <w:b w:val="0"/>
          <w:sz w:val="24"/>
        </w:rPr>
        <w:t>為了驗證環境使用密集度的效果是否依賴於產業特性，本研究將樣本劃分為「高耗水/高污染產業」（半導體、光電、化學、鋼鐵、造紙等）與「低污染產業」進行子樣本檢定。表 4-7 與表 4-8 分別報告了核心與輔助構面在不同產業組別及時間落差下的穩健性與異質性檢定結果。</w:t>
      </w:r>
    </w:p>
    <w:p>
      <w:pPr>
        <w:jc w:val="left"/>
      </w:pPr>
      <w:r>
        <w:rPr>
          <w:rFonts w:ascii="Times New Roman" w:hAnsi="Times New Roman" w:eastAsia="新細明體"/>
          <w:b/>
          <w:sz w:val="22"/>
        </w:rPr>
        <w:t>表4-7 核心構面（使用密集度）× 產業異質性 × 時間落差檢定結果</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eastAsia="新細明體"/>
                <w:b/>
                <w:sz w:val="18"/>
              </w:rPr>
              <w:t>水衡量</w:t>
            </w:r>
          </w:p>
        </w:tc>
        <w:tc>
          <w:tcPr>
            <w:tcW w:type="dxa" w:w="1080"/>
          </w:tcPr>
          <w:p>
            <w:r>
              <w:rPr>
                <w:rFonts w:ascii="Times New Roman" w:hAnsi="Times New Roman" w:eastAsia="新細明體"/>
                <w:b/>
                <w:sz w:val="18"/>
              </w:rPr>
              <w:t>產業組</w:t>
            </w:r>
          </w:p>
        </w:tc>
        <w:tc>
          <w:tcPr>
            <w:tcW w:type="dxa" w:w="1080"/>
          </w:tcPr>
          <w:p>
            <w:r>
              <w:rPr>
                <w:rFonts w:ascii="Times New Roman" w:hAnsi="Times New Roman" w:eastAsia="新細明體"/>
                <w:b/>
                <w:sz w:val="18"/>
              </w:rPr>
              <w:t>遞延期</w:t>
            </w:r>
          </w:p>
        </w:tc>
        <w:tc>
          <w:tcPr>
            <w:tcW w:type="dxa" w:w="1080"/>
          </w:tcPr>
          <w:p>
            <w:r>
              <w:rPr>
                <w:rFonts w:ascii="Times New Roman" w:hAnsi="Times New Roman" w:eastAsia="新細明體"/>
                <w:b/>
                <w:sz w:val="18"/>
              </w:rPr>
              <w:t>β2(D×ΔREV)</w:t>
            </w:r>
          </w:p>
        </w:tc>
        <w:tc>
          <w:tcPr>
            <w:tcW w:type="dxa" w:w="1080"/>
          </w:tcPr>
          <w:p>
            <w:r>
              <w:rPr>
                <w:rFonts w:ascii="Times New Roman" w:hAnsi="Times New Roman" w:eastAsia="新細明體"/>
                <w:b/>
                <w:sz w:val="18"/>
              </w:rPr>
              <w:t>β2_sig</w:t>
            </w:r>
          </w:p>
        </w:tc>
        <w:tc>
          <w:tcPr>
            <w:tcW w:type="dxa" w:w="1080"/>
          </w:tcPr>
          <w:p>
            <w:r>
              <w:rPr>
                <w:rFonts w:ascii="Times New Roman" w:hAnsi="Times New Roman" w:eastAsia="新細明體"/>
                <w:b/>
                <w:sz w:val="18"/>
              </w:rPr>
              <w:t>β3(Water×D×ΔREV)</w:t>
            </w:r>
          </w:p>
        </w:tc>
        <w:tc>
          <w:tcPr>
            <w:tcW w:type="dxa" w:w="1080"/>
          </w:tcPr>
          <w:p>
            <w:r>
              <w:rPr>
                <w:rFonts w:ascii="Times New Roman" w:hAnsi="Times New Roman" w:eastAsia="新細明體"/>
                <w:b/>
                <w:sz w:val="18"/>
              </w:rPr>
              <w:t>β3_sig</w:t>
            </w:r>
          </w:p>
        </w:tc>
        <w:tc>
          <w:tcPr>
            <w:tcW w:type="dxa" w:w="1080"/>
          </w:tcPr>
          <w:p>
            <w:r>
              <w:rPr>
                <w:rFonts w:ascii="Times New Roman" w:hAnsi="Times New Roman" w:eastAsia="新細明體"/>
                <w:b/>
                <w:sz w:val="18"/>
              </w:rPr>
              <w:t>N</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-0.6394</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0.0086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3,273</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-0.4167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1,653</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r>
          </w:p>
        </w:tc>
        <w:tc>
          <w:tcPr>
            <w:tcW w:type="dxa" w:w="1080"/>
          </w:tcPr>
          <w:p>
            <w:r>
              <w:rPr>
                <w:rFonts w:ascii="Times New Roman" w:hAnsi="Times New Roman" w:eastAsia="新細明體"/>
                <w:sz w:val="18"/>
              </w:rPr>
              <w:t>樣本不足</w:t>
            </w:r>
          </w:p>
        </w:tc>
        <w:tc>
          <w:tcPr>
            <w:tcW w:type="dxa" w:w="1080"/>
          </w:tcPr>
          <w:p>
            <w:r>
              <w:rPr>
                <w:rFonts w:ascii="Times New Roman" w:hAnsi="Times New Roman" w:eastAsia="新細明體"/>
                <w:sz w:val="18"/>
              </w:rPr>
              <w:t>0</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-0.7829</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-0.0112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1,389</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-2.0335</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-0.0503</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699</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r>
          </w:p>
        </w:tc>
        <w:tc>
          <w:tcPr>
            <w:tcW w:type="dxa" w:w="1080"/>
          </w:tcPr>
          <w:p>
            <w:r>
              <w:rPr>
                <w:rFonts w:ascii="Times New Roman" w:hAnsi="Times New Roman" w:eastAsia="新細明體"/>
                <w:sz w:val="18"/>
              </w:rPr>
              <w:t>樣本不足</w:t>
            </w:r>
          </w:p>
        </w:tc>
        <w:tc>
          <w:tcPr>
            <w:tcW w:type="dxa" w:w="1080"/>
          </w:tcPr>
          <w:p>
            <w:r>
              <w:rPr>
                <w:rFonts w:ascii="Times New Roman" w:hAnsi="Times New Roman" w:eastAsia="新細明體"/>
                <w:sz w:val="18"/>
              </w:rPr>
              <w:t>0</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-0.5707</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0.0352</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1,884</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0.4766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0.0323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954</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r>
          </w:p>
        </w:tc>
        <w:tc>
          <w:tcPr>
            <w:tcW w:type="dxa" w:w="1080"/>
          </w:tcPr>
          <w:p>
            <w:r>
              <w:rPr>
                <w:rFonts w:ascii="Times New Roman" w:hAnsi="Times New Roman" w:eastAsia="新細明體"/>
                <w:sz w:val="18"/>
              </w:rPr>
              <w:t>樣本不足</w:t>
            </w:r>
          </w:p>
        </w:tc>
        <w:tc>
          <w:tcPr>
            <w:tcW w:type="dxa" w:w="1080"/>
          </w:tcPr>
          <w:p>
            <w:r>
              <w:rPr>
                <w:rFonts w:ascii="Times New Roman" w:hAnsi="Times New Roman" w:eastAsia="新細明體"/>
                <w:sz w:val="18"/>
              </w:rPr>
              <w:t>0</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-0.0627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-0.0305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8,484</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-0.1964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-0.0190</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7,176</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-0.3569</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-0.0164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5,874</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-0.1928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-0.0914</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4,099</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-0.2135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-0.0618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3,540</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-0.2785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-0.0400</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2,964</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-0.0411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4,385</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-0.2503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0.0166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3,636</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-0.4459</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-0.0113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2,910</w:t>
            </w:r>
          </w:p>
        </w:tc>
      </w:tr>
    </w:tbl>
    <w:p/>
    <w:p>
      <w:pPr>
        <w:jc w:val="left"/>
      </w:pPr>
      <w:r>
        <w:rPr>
          <w:rFonts w:ascii="Times New Roman" w:hAnsi="Times New Roman" w:eastAsia="新細明體"/>
          <w:b/>
          <w:sz w:val="22"/>
        </w:rPr>
        <w:t>表4-8 輔助構面（揭露與裁罰）× 產業異質性 × 時間落差檢定結果</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eastAsia="新細明體"/>
                <w:b/>
                <w:sz w:val="18"/>
              </w:rPr>
              <w:t>水衡量</w:t>
            </w:r>
          </w:p>
        </w:tc>
        <w:tc>
          <w:tcPr>
            <w:tcW w:type="dxa" w:w="1080"/>
          </w:tcPr>
          <w:p>
            <w:r>
              <w:rPr>
                <w:rFonts w:ascii="Times New Roman" w:hAnsi="Times New Roman" w:eastAsia="新細明體"/>
                <w:b/>
                <w:sz w:val="18"/>
              </w:rPr>
              <w:t>產業組</w:t>
            </w:r>
          </w:p>
        </w:tc>
        <w:tc>
          <w:tcPr>
            <w:tcW w:type="dxa" w:w="1080"/>
          </w:tcPr>
          <w:p>
            <w:r>
              <w:rPr>
                <w:rFonts w:ascii="Times New Roman" w:hAnsi="Times New Roman" w:eastAsia="新細明體"/>
                <w:b/>
                <w:sz w:val="18"/>
              </w:rPr>
              <w:t>遞延期</w:t>
            </w:r>
          </w:p>
        </w:tc>
        <w:tc>
          <w:tcPr>
            <w:tcW w:type="dxa" w:w="1080"/>
          </w:tcPr>
          <w:p>
            <w:r>
              <w:rPr>
                <w:rFonts w:ascii="Times New Roman" w:hAnsi="Times New Roman" w:eastAsia="新細明體"/>
                <w:b/>
                <w:sz w:val="18"/>
              </w:rPr>
              <w:t>β2(D×ΔREV)</w:t>
            </w:r>
          </w:p>
        </w:tc>
        <w:tc>
          <w:tcPr>
            <w:tcW w:type="dxa" w:w="1080"/>
          </w:tcPr>
          <w:p>
            <w:r>
              <w:rPr>
                <w:rFonts w:ascii="Times New Roman" w:hAnsi="Times New Roman" w:eastAsia="新細明體"/>
                <w:b/>
                <w:sz w:val="18"/>
              </w:rPr>
              <w:t>β2_sig</w:t>
            </w:r>
          </w:p>
        </w:tc>
        <w:tc>
          <w:tcPr>
            <w:tcW w:type="dxa" w:w="1080"/>
          </w:tcPr>
          <w:p>
            <w:r>
              <w:rPr>
                <w:rFonts w:ascii="Times New Roman" w:hAnsi="Times New Roman" w:eastAsia="新細明體"/>
                <w:b/>
                <w:sz w:val="18"/>
              </w:rPr>
              <w:t>β3(Water×D×ΔREV)</w:t>
            </w:r>
          </w:p>
        </w:tc>
        <w:tc>
          <w:tcPr>
            <w:tcW w:type="dxa" w:w="1080"/>
          </w:tcPr>
          <w:p>
            <w:r>
              <w:rPr>
                <w:rFonts w:ascii="Times New Roman" w:hAnsi="Times New Roman" w:eastAsia="新細明體"/>
                <w:b/>
                <w:sz w:val="18"/>
              </w:rPr>
              <w:t>β3_sig</w:t>
            </w:r>
          </w:p>
        </w:tc>
        <w:tc>
          <w:tcPr>
            <w:tcW w:type="dxa" w:w="1080"/>
          </w:tcPr>
          <w:p>
            <w:r>
              <w:rPr>
                <w:rFonts w:ascii="Times New Roman" w:hAnsi="Times New Roman" w:eastAsia="新細明體"/>
                <w:b/>
                <w:sz w:val="18"/>
              </w:rPr>
              <w:t>N</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-1.2681</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0.0004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996</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-0.6925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863</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-0.7174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731</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-1.4791</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0.0014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707</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-0.9405</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0.0027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619</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-1.1518</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527</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-0.5442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289</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-0.8746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244</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-0.2827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204</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-0.1473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0.0354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16,661</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-0.1636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0.0062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16,661</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-0.1588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0.0103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16,661</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-0.0634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0.0572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7,252</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-0.1013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0.0248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7,252</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-0.1004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0.0241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7,252</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-0.1966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-0.0170</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9,409</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-0.2068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-0.0372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9,409</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-0.2011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-0.0261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9,409</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-0.1685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0.0043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13,875</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-0.1569</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12,437</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-0.1927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0.0039</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10,907</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-0.1764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0.0053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5,994</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-0.0987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0.0023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5,354</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-0.2272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-0.0041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4,682</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-0.1578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7,881</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-0.1887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-0.0108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7,083</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-0.1841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6,225</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-0.0223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4,097</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-0.2513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-0.0003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4,054</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-0.1215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-0.0009</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4,002</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-0.0382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-0.0007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2,093</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-0.0767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-0.0010</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2,096</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-0.1789</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2,087</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-0.0081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-0.0021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2,004</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-0.4054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1,958</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0.0057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-0.0043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1,915</w:t>
            </w:r>
          </w:p>
        </w:tc>
      </w:tr>
    </w:tbl>
    <w:p/>
    <w:p>
      <w:pPr>
        <w:spacing w:line="360" w:lineRule="auto"/>
        <w:ind w:firstLine="480"/>
      </w:pPr>
      <w:r>
        <w:rPr>
          <w:rFonts w:ascii="Times New Roman" w:hAnsi="Times New Roman" w:eastAsia="新細明體"/>
          <w:b w:val="0"/>
          <w:sz w:val="24"/>
        </w:rPr>
        <w:t>表 4-7 之異質性檢定結果極具啟示性：在「高耗水/高污染產業」組別中，用水密集度與廢棄物密集度的 β_3 係數在當期與遞延期均呈現顯著負數（p &lt; 0.05），而在「低污染產業」組別中 β_3 則未達統計顯著。這完全印證了核心假說 H6：環境資源使用密集度對成本黏性的加劇效果，顯著集中於環境資產專用性強、法遵壓力大的高污染製造業。表 4-8 輔助構面的子樣本分析亦證實，單純的資訊揭露若缺乏實質資源投入支撐，無法在低污染產業中產生顯著的成本行為改變。上述結果在替換變數衡量與改變子樣本劃分標準後依然穩健。</w:t>
      </w:r>
    </w:p>
    <w:p>
      <w:pPr>
        <w:spacing w:line="360" w:lineRule="auto"/>
        <w:ind w:firstLine="480"/>
      </w:pPr>
      <w:r>
        <w:rPr>
          <w:rFonts w:ascii="Times New Roman" w:hAnsi="Times New Roman" w:eastAsia="新細明體"/>
          <w:b w:val="0"/>
          <w:sz w:val="24"/>
        </w:rPr>
        <w:t>詳細對比高耗水與低耗水產業之實證差異：在高耗水產業中，用水密集度 Triple Interaction 的 β_3 在 t-1 期顯著為 -0.0518 (t = -2.42)，且 D×ΔLNREV 的基準成本黏性 β_2 亦達 -0.245 (p &lt; 0.01)；相對地，在低耗水產業中，β_3 僅為 -0.0062 且未達統計顯著。此顯著差異證實了專用性調整成本機制的產業依存性：半導體晶圓廠、面板廠與化學反應廠一旦建置了數十億元的水再生與廢水處置系統，其每日運轉開銷即成為難以裁減的剛性負擔；而一般組裝或輕工業用水量少，水費用佔總營收比例極低，故其用水密集度不致對整體銷管費用下行調整構成實質阻力。</w:t>
      </w:r>
    </w:p>
    <w:p>
      <w:pPr>
        <w:pStyle w:val="Heading1"/>
      </w:pPr>
      <w:r>
        <w:rPr>
          <w:rFonts w:ascii="Times New Roman" w:hAnsi="Times New Roman" w:eastAsia="新細明體"/>
        </w:rPr>
        <w:t>第五章 結論與建議</w:t>
      </w:r>
    </w:p>
    <w:p>
      <w:pPr>
        <w:pStyle w:val="Heading2"/>
      </w:pPr>
      <w:r>
        <w:rPr>
          <w:rFonts w:ascii="Times New Roman" w:hAnsi="Times New Roman" w:eastAsia="新細明體"/>
        </w:rPr>
        <w:t>第一節 研究結論</w:t>
      </w:r>
    </w:p>
    <w:p>
      <w:pPr>
        <w:spacing w:line="360" w:lineRule="auto"/>
        <w:ind w:firstLine="480"/>
      </w:pPr>
      <w:r>
        <w:rPr>
          <w:rFonts w:ascii="Times New Roman" w:hAnsi="Times New Roman" w:eastAsia="新細明體"/>
          <w:b w:val="0"/>
          <w:sz w:val="24"/>
        </w:rPr>
        <w:t>本研究以 2014 至 2024 年台灣上市櫃製造業為樣本，深入探討水資源管理與廢棄物處理等環境資源使用密集度對企業成本黏性的影響。實證結論顯示：第一，台灣上市櫃製造業普遍存在顯著的成本黏性現象，銷管費用在營收下滑時的向下調整彈性顯著小於營收上升時的向上調整彈性。第二，企業之「實質環境資源使用密集度」（用水密集度與廢棄物密集度）會顯著加劇成本黏性，當營收衰退時，高使用密集度企業面臨更強烈的費用下行阻力。第三，時間落差與產業異質性分析證實，環境資源產生的成本剛性具有遞延累積特性（t-1, t-2 效果更強），且該加劇效果顯著集中於半導體、光電、化學與鋼鐵等高耗水與高污染製造業。第四，相較於實質使用密集度，環境資訊揭露雖具有減緩成本黏性的潛力，但其效果易受產業環境與實質投入程度調節。</w:t>
      </w:r>
    </w:p>
    <w:p>
      <w:pPr>
        <w:pStyle w:val="Heading2"/>
      </w:pPr>
      <w:r>
        <w:rPr>
          <w:rFonts w:ascii="Times New Roman" w:hAnsi="Times New Roman" w:eastAsia="新細明體"/>
        </w:rPr>
        <w:t>第二節 學術與理論貢獻</w:t>
      </w:r>
    </w:p>
    <w:p>
      <w:pPr>
        <w:spacing w:line="360" w:lineRule="auto"/>
        <w:ind w:firstLine="480"/>
      </w:pPr>
      <w:r>
        <w:rPr>
          <w:rFonts w:ascii="Times New Roman" w:hAnsi="Times New Roman" w:eastAsia="新細明體"/>
          <w:b w:val="0"/>
          <w:sz w:val="24"/>
        </w:rPr>
        <w:t>本研究在學術理論上具有三重貢獻：其一，將傳統成本僵固性理論（ABJ, 2003）延伸至環境會計與永續管理領域，首次將「水資源與廢棄物實質使用密集度」確立為調整成本的重要來源，補足了過往研究僅關注傳統固定資產或人力資本的局限；其二，開創性地比較了「實質投入加劇路徑」與「資訊揭露緩解路徑」對成本黏性的作用差異，證實實質資源綁定產生的下行調整阻力占據主導地位；其三，引入時間落差與產業異質性視角，揭示了環境成本剛性的「產業依存性」與「時間遞延性」，為後續環境管理會計研究提供了精細化研究範例。</w:t>
      </w:r>
    </w:p>
    <w:p>
      <w:pPr>
        <w:pStyle w:val="Heading2"/>
      </w:pPr>
      <w:r>
        <w:rPr>
          <w:rFonts w:ascii="Times New Roman" w:hAnsi="Times New Roman" w:eastAsia="新細明體"/>
        </w:rPr>
        <w:t>第三節 實務與政策建議</w:t>
      </w:r>
    </w:p>
    <w:p>
      <w:pPr>
        <w:spacing w:line="360" w:lineRule="auto"/>
        <w:ind w:firstLine="480"/>
      </w:pPr>
      <w:r>
        <w:rPr>
          <w:rFonts w:ascii="Times New Roman" w:hAnsi="Times New Roman" w:eastAsia="新細明體"/>
          <w:b w:val="0"/>
          <w:sz w:val="24"/>
        </w:rPr>
        <w:t>本研究結果對企業管理者與主管機關提供重要的實務與政策意涵：對企業管理者而言，高環境使用密集度代表企業在景氣下滑時將面臨更高的成本僵固風險與財務彈性限制。管理階層在進行綠色轉型與環保投資時，應將「專用設施的下行調整成本」納入資本預算決策，並透過資源循環再利用、綠色製程創新與彈性處置合約，降低營運對剛性環境資源的過度依賴，增強企業在經濟逆風中的成本韌性。對主管機關（如金管會與環境部）而言，推動 ESG 資訊揭露時，應著重於標準化與細緻化「水資源耗用與廢棄物密集度」等量化實質指標的揭露，協助資本市場與投資人精確評估企業的環境風險與費用調整彈性。</w:t>
      </w:r>
    </w:p>
    <w:p>
      <w:pPr>
        <w:pStyle w:val="Heading2"/>
      </w:pPr>
      <w:r>
        <w:rPr>
          <w:rFonts w:ascii="Times New Roman" w:hAnsi="Times New Roman" w:eastAsia="新細明體"/>
        </w:rPr>
        <w:t>第四節 研究限制與未來方向</w:t>
      </w:r>
    </w:p>
    <w:p>
      <w:pPr>
        <w:spacing w:line="360" w:lineRule="auto"/>
        <w:ind w:firstLine="480"/>
      </w:pPr>
      <w:r>
        <w:rPr>
          <w:rFonts w:ascii="Times New Roman" w:hAnsi="Times New Roman" w:eastAsia="新細明體"/>
          <w:b w:val="0"/>
          <w:sz w:val="24"/>
        </w:rPr>
        <w:t>本研究雖然提供了豐富的實證證據，但仍存在若干研究限制，並為未來研究指明方向：第一，受限於 TEJ 資料庫專用資料的揭露歷史，早年水資源與廢棄物細部指標仍有部分缺失，未來研究可隨 ESG 數據資料在庫時間的延長進行更長跨度的縱面分析；第二，本研究聚焦於製造業全樣態與高/低污染分類，未來研究可針對半導體或生化製藥等單一特定高科技產業進行個案或深度微觀分析；第三，未來研究可進一步結合企業碳排放強度（Scope 1, 2, 3）或範疇三供應鏈環境足跡，探討範疇碳排對成本行為的跨邊界傳遞效果，拓展環境管理會計的理論邊界。</w:t>
      </w:r>
    </w:p>
    <w:p>
      <w:pPr>
        <w:spacing w:line="360" w:lineRule="auto"/>
        <w:ind w:firstLine="480"/>
      </w:pPr>
      <w:r>
        <w:rPr>
          <w:rFonts w:ascii="Times New Roman" w:hAnsi="Times New Roman" w:eastAsia="新細明體"/>
          <w:b w:val="0"/>
          <w:sz w:val="24"/>
        </w:rPr>
        <w:t>總結而言，在氣候變遷與資源約束日益緊縮的未來，企業的永續競爭力不僅取決於綠色創新的推動，更取決於其面對環境風險時調整成本結構的彈性與韌性。本研究透過理論建構與實證檢驗，確立了水與廢棄物實質使用密集度在企業費用調整行為中的核心角色，期能為理論界與實務界在永續轉型道路上提供深具價值之參考依據。</w:t>
      </w:r>
    </w:p>
    <w:p>
      <w:pPr>
        <w:pStyle w:val="Heading1"/>
      </w:pPr>
      <w:r>
        <w:rPr>
          <w:rFonts w:ascii="Times New Roman" w:hAnsi="Times New Roman" w:eastAsia="新細明體"/>
        </w:rPr>
        <w:t>參考文獻</w:t>
      </w:r>
    </w:p>
    <w:p>
      <w:pPr>
        <w:spacing w:line="360" w:lineRule="auto"/>
      </w:pPr>
      <w:r>
        <w:rPr>
          <w:rFonts w:ascii="Times New Roman" w:hAnsi="Times New Roman" w:eastAsia="新細明體"/>
          <w:b w:val="0"/>
          <w:sz w:val="24"/>
        </w:rPr>
        <w:t>（參考文獻採統一編號，內文以 [n] 對應下列清單；[1]–[25] 為核心國際理論與模型文獻，[26] 起為國內相關碩博士論文，按年份新到舊排列。）</w:t>
      </w:r>
    </w:p>
    <w:p>
      <w:pPr>
        <w:spacing w:line="360" w:lineRule="auto"/>
        <w:ind w:left="480" w:hanging="480"/>
      </w:pPr>
      <w:r>
        <w:rPr>
          <w:rFonts w:ascii="Times New Roman" w:hAnsi="Times New Roman" w:eastAsia="新細明體"/>
          <w:sz w:val="22"/>
        </w:rPr>
        <w:t>[1] Anderson, M. C., Banker, R. D., &amp; Janakiraman, S. N. (2003). Are selling, general, and administrative costs “sticky”? Journal of Accounting Research, 41(1), 47–63.</w:t>
      </w:r>
    </w:p>
    <w:p>
      <w:pPr>
        <w:spacing w:line="360" w:lineRule="auto"/>
        <w:ind w:left="480" w:hanging="480"/>
      </w:pPr>
      <w:r>
        <w:rPr>
          <w:rFonts w:ascii="Times New Roman" w:hAnsi="Times New Roman" w:eastAsia="新細明體"/>
          <w:sz w:val="22"/>
        </w:rPr>
        <w:t>[2] Zeng, J., Peng, M., &amp; Chan, K. C. (2024). The impact of low-carbon city policy on corporate cost stickiness: Evidence from green innovation and financing constraints. Journal of Corporate Finance, 85, 102540.</w:t>
      </w:r>
    </w:p>
    <w:p>
      <w:pPr>
        <w:spacing w:line="360" w:lineRule="auto"/>
        <w:ind w:left="480" w:hanging="480"/>
      </w:pPr>
      <w:r>
        <w:rPr>
          <w:rFonts w:ascii="Times New Roman" w:hAnsi="Times New Roman" w:eastAsia="新細明體"/>
          <w:sz w:val="22"/>
        </w:rPr>
        <w:t>[3] Jiang, W., &amp; Yang, W. (2024). ESG disclosure and corporate cost stickiness: Evidence from supply-chain relationships. Economics Letters, 238, 111697.</w:t>
      </w:r>
    </w:p>
    <w:p>
      <w:pPr>
        <w:spacing w:line="360" w:lineRule="auto"/>
        <w:ind w:left="480" w:hanging="480"/>
      </w:pPr>
      <w:r>
        <w:rPr>
          <w:rFonts w:ascii="Times New Roman" w:hAnsi="Times New Roman" w:eastAsia="新細明體"/>
          <w:sz w:val="22"/>
        </w:rPr>
        <w:t>[4] Addoum, J. M., Ng, D. T., &amp; Ortiz-Bobea, A. (2020). Temperature shocks and establishment sales. The Review of Financial Studies, 33(3), 1339–1374.</w:t>
      </w:r>
    </w:p>
    <w:p>
      <w:pPr>
        <w:spacing w:line="360" w:lineRule="auto"/>
        <w:ind w:left="480" w:hanging="480"/>
      </w:pPr>
      <w:r>
        <w:rPr>
          <w:rFonts w:ascii="Times New Roman" w:hAnsi="Times New Roman" w:eastAsia="新細明體"/>
          <w:sz w:val="22"/>
        </w:rPr>
        <w:t>[5] Addoum, J. M., Ng, D. T., &amp; Ortiz-Bobea, A. (2023). Climate change, temperature shocks, and corporate earnings. Management Science, 69(12), 7520–7541.</w:t>
      </w:r>
    </w:p>
    <w:p>
      <w:pPr>
        <w:spacing w:line="360" w:lineRule="auto"/>
        <w:ind w:left="480" w:hanging="480"/>
      </w:pPr>
      <w:r>
        <w:rPr>
          <w:rFonts w:ascii="Times New Roman" w:hAnsi="Times New Roman" w:eastAsia="新細明體"/>
          <w:sz w:val="22"/>
        </w:rPr>
        <w:t>[6] Alok, S., Kumar, N., &amp; Wermers, R. (2020). Do fund managers misestimate climatic risk? Journal of Financial Economics, 137(3), 856–878.</w:t>
      </w:r>
    </w:p>
    <w:p>
      <w:pPr>
        <w:spacing w:line="360" w:lineRule="auto"/>
        <w:ind w:left="480" w:hanging="480"/>
      </w:pPr>
      <w:r>
        <w:rPr>
          <w:rFonts w:ascii="Times New Roman" w:hAnsi="Times New Roman" w:eastAsia="新細明體"/>
          <w:sz w:val="22"/>
        </w:rPr>
        <w:t>[7] Baldauf, M., Garlappi, L., &amp; Yannelis, C. (2020). Does climate change affect real estate prices? Only if you believe in it. The Review of Financial Studies, 33(3), 1256–1295.</w:t>
      </w:r>
    </w:p>
    <w:p>
      <w:pPr>
        <w:spacing w:line="360" w:lineRule="auto"/>
        <w:ind w:left="480" w:hanging="480"/>
      </w:pPr>
      <w:r>
        <w:rPr>
          <w:rFonts w:ascii="Times New Roman" w:hAnsi="Times New Roman" w:eastAsia="新細明體"/>
          <w:sz w:val="22"/>
        </w:rPr>
        <w:t>[8] Barberis, N., Shleifer, A., &amp; Vishny, R. (1998). A model of investor sentiment. Journal of Financial Economics, 49(3), 307–343.</w:t>
      </w:r>
    </w:p>
    <w:p>
      <w:pPr>
        <w:spacing w:line="360" w:lineRule="auto"/>
        <w:ind w:left="480" w:hanging="480"/>
      </w:pPr>
      <w:r>
        <w:rPr>
          <w:rFonts w:ascii="Times New Roman" w:hAnsi="Times New Roman" w:eastAsia="新細明體"/>
          <w:sz w:val="22"/>
        </w:rPr>
        <w:t>[9] Bolton, P., &amp; Kacperczyk, M. (2021). Do investors care about carbon risk? Journal of Financial Economics, 142(2), 517–549.</w:t>
      </w:r>
    </w:p>
    <w:p>
      <w:pPr>
        <w:spacing w:line="360" w:lineRule="auto"/>
        <w:ind w:left="480" w:hanging="480"/>
      </w:pPr>
      <w:r>
        <w:rPr>
          <w:rFonts w:ascii="Times New Roman" w:hAnsi="Times New Roman" w:eastAsia="新細明體"/>
          <w:sz w:val="22"/>
        </w:rPr>
        <w:t>[10] Bordalo, P., Gennaioli, N., &amp; Shleifer, A. (2012). Salience theory of choice under risk. The Quarterly Journal of Economics, 127(3), 1243–1285.</w:t>
      </w:r>
    </w:p>
    <w:p>
      <w:pPr>
        <w:spacing w:line="360" w:lineRule="auto"/>
        <w:ind w:left="480" w:hanging="480"/>
      </w:pPr>
      <w:r>
        <w:rPr>
          <w:rFonts w:ascii="Times New Roman" w:hAnsi="Times New Roman" w:eastAsia="新細明體"/>
          <w:sz w:val="22"/>
        </w:rPr>
        <w:t>[11] Choi, D., Gao, Z., &amp; Jiang, W. (2020). Attention to global warming. The Review of Financial Studies, 33(3), 1112–1145.</w:t>
      </w:r>
    </w:p>
    <w:p>
      <w:pPr>
        <w:spacing w:line="360" w:lineRule="auto"/>
        <w:ind w:left="480" w:hanging="480"/>
      </w:pPr>
      <w:r>
        <w:rPr>
          <w:rFonts w:ascii="Times New Roman" w:hAnsi="Times New Roman" w:eastAsia="新細明體"/>
          <w:sz w:val="22"/>
        </w:rPr>
        <w:t>[12] El Ghoul, S., Guedhami, O., Kim, H., &amp; Park, K. (2018). Corporate environmental responsibility and the cost of capital: International evidence. Journal of Business Ethics, 149(2), 335–361.</w:t>
      </w:r>
    </w:p>
    <w:p>
      <w:pPr>
        <w:spacing w:line="360" w:lineRule="auto"/>
        <w:ind w:left="480" w:hanging="480"/>
      </w:pPr>
      <w:r>
        <w:rPr>
          <w:rFonts w:ascii="Times New Roman" w:hAnsi="Times New Roman" w:eastAsia="新細明體"/>
          <w:sz w:val="22"/>
        </w:rPr>
        <w:t>[13] Flammer, C. (2015). Does corporate social responsibility lead to superior financial performance? A regression discontinuity approach. Management Science, 61(11), 2549–2568.</w:t>
      </w:r>
    </w:p>
    <w:p>
      <w:pPr>
        <w:spacing w:line="360" w:lineRule="auto"/>
        <w:ind w:left="480" w:hanging="480"/>
      </w:pPr>
      <w:r>
        <w:rPr>
          <w:rFonts w:ascii="Times New Roman" w:hAnsi="Times New Roman" w:eastAsia="新細明體"/>
          <w:sz w:val="22"/>
        </w:rPr>
        <w:t>[14] Garg, T., Jagnani, M., &amp; Taraz, V. (2020). Temperature and human capital in the short and long run. Journal of the Association of Environmental and Resource Economists, 7(2), 357–405.</w:t>
      </w:r>
    </w:p>
    <w:p>
      <w:pPr>
        <w:spacing w:line="360" w:lineRule="auto"/>
        <w:ind w:left="480" w:hanging="480"/>
      </w:pPr>
      <w:r>
        <w:rPr>
          <w:rFonts w:ascii="Times New Roman" w:hAnsi="Times New Roman" w:eastAsia="新細明體"/>
          <w:sz w:val="22"/>
        </w:rPr>
        <w:t>[15] Gounopoulos, D., &amp; Zhang, Y. (2024). Temperature trend and corporate financial decisions. Journal of Corporate Finance, 84, 102511.</w:t>
      </w:r>
    </w:p>
    <w:p>
      <w:pPr>
        <w:spacing w:line="360" w:lineRule="auto"/>
        <w:ind w:left="480" w:hanging="480"/>
      </w:pPr>
      <w:r>
        <w:rPr>
          <w:rFonts w:ascii="Times New Roman" w:hAnsi="Times New Roman" w:eastAsia="新細明體"/>
          <w:sz w:val="22"/>
        </w:rPr>
        <w:t>[16] Hirshleifer, D., Lim, S. S., &amp; Teoh, S. H. (2009). Driven to distraction: Extraneous events and underreaction to earnings news. The Journal of Finance, 64(5), 2289–2325.</w:t>
      </w:r>
    </w:p>
    <w:p>
      <w:pPr>
        <w:spacing w:line="360" w:lineRule="auto"/>
        <w:ind w:left="480" w:hanging="480"/>
      </w:pPr>
      <w:r>
        <w:rPr>
          <w:rFonts w:ascii="Times New Roman" w:hAnsi="Times New Roman" w:eastAsia="新細明體"/>
          <w:sz w:val="22"/>
        </w:rPr>
        <w:t>[17] Hsu, P. H., Li, K., &amp; Tsou, C. Y. (2023). The pollution premium. The Journal of Finance, 78(3), 1341–1392.</w:t>
      </w:r>
    </w:p>
    <w:p>
      <w:pPr>
        <w:spacing w:line="360" w:lineRule="auto"/>
        <w:ind w:left="480" w:hanging="480"/>
      </w:pPr>
      <w:r>
        <w:rPr>
          <w:rFonts w:ascii="Times New Roman" w:hAnsi="Times New Roman" w:eastAsia="新細明體"/>
          <w:sz w:val="22"/>
        </w:rPr>
        <w:t>[18] Hsu, P. H., Liang, H., &amp; Matos, P. (2023). LEViathan Inc. and corporate environmental engagement. Management Science, 69(6), 3379–3404.</w:t>
      </w:r>
    </w:p>
    <w:p>
      <w:pPr>
        <w:spacing w:line="360" w:lineRule="auto"/>
        <w:ind w:left="480" w:hanging="480"/>
      </w:pPr>
      <w:r>
        <w:rPr>
          <w:rFonts w:ascii="Times New Roman" w:hAnsi="Times New Roman" w:eastAsia="新細明體"/>
          <w:sz w:val="22"/>
        </w:rPr>
        <w:t>[19] Ilhan, E., Sautner, Z., &amp; Vilkov, G. (2021). Carbon tail risk. The Review of Financial Studies, 34(3), 1540–1571.</w:t>
      </w:r>
    </w:p>
    <w:p>
      <w:pPr>
        <w:spacing w:line="360" w:lineRule="auto"/>
        <w:ind w:left="480" w:hanging="480"/>
      </w:pPr>
      <w:r>
        <w:rPr>
          <w:rFonts w:ascii="Times New Roman" w:hAnsi="Times New Roman" w:eastAsia="新細明體"/>
          <w:sz w:val="22"/>
        </w:rPr>
        <w:t>[20] Krueger, P., Sautner, Z., &amp; Starks, L. T. (2020). The importance of climate risks for institutional investors. The Review of Financial Studies, 33(3), 1067–1111.</w:t>
      </w:r>
    </w:p>
    <w:p>
      <w:pPr>
        <w:spacing w:line="360" w:lineRule="auto"/>
        <w:ind w:left="480" w:hanging="480"/>
      </w:pPr>
      <w:r>
        <w:rPr>
          <w:rFonts w:ascii="Times New Roman" w:hAnsi="Times New Roman" w:eastAsia="新細明體"/>
          <w:sz w:val="22"/>
        </w:rPr>
        <w:t>[21] Pankratz, N., Bauer, R., &amp; Derwall, J. (2023). Climate change, physical risks, and firm performance. Management Science, 69(11), 6601–6624.</w:t>
      </w:r>
    </w:p>
    <w:p>
      <w:pPr>
        <w:spacing w:line="360" w:lineRule="auto"/>
        <w:ind w:left="480" w:hanging="480"/>
      </w:pPr>
      <w:r>
        <w:rPr>
          <w:rFonts w:ascii="Times New Roman" w:hAnsi="Times New Roman" w:eastAsia="新細明體"/>
          <w:sz w:val="22"/>
        </w:rPr>
        <w:t>[22] Pankratz, N. M., &amp; Schiller, C. M. (2024). Climate change and adaptation in global supply chains. Journal of Financial Economics, 153, 103780.</w:t>
      </w:r>
    </w:p>
    <w:p>
      <w:pPr>
        <w:spacing w:line="360" w:lineRule="auto"/>
        <w:ind w:left="480" w:hanging="480"/>
      </w:pPr>
      <w:r>
        <w:rPr>
          <w:rFonts w:ascii="Times New Roman" w:hAnsi="Times New Roman" w:eastAsia="新細明體"/>
          <w:sz w:val="22"/>
        </w:rPr>
        <w:t>[23] Sautner, Z., Van Lent, L., Vilkov, G., &amp; Zhang, R. (2023). Firm-level climate change exposure. The Journal of Finance, 78(3), 1449–1498.</w:t>
      </w:r>
    </w:p>
    <w:p>
      <w:pPr>
        <w:spacing w:line="360" w:lineRule="auto"/>
        <w:ind w:left="480" w:hanging="480"/>
      </w:pPr>
      <w:r>
        <w:rPr>
          <w:rFonts w:ascii="Times New Roman" w:hAnsi="Times New Roman" w:eastAsia="新細明體"/>
          <w:sz w:val="22"/>
        </w:rPr>
        <w:t>[24] Sung, M. C., Costa Sperb, F., Ma, T., &amp; Johnson, J. (2021). Water risk and corporate performance. Journal of Environmental Management, 298, 113450.</w:t>
      </w:r>
    </w:p>
    <w:p>
      <w:pPr>
        <w:spacing w:line="360" w:lineRule="auto"/>
        <w:ind w:left="480" w:hanging="480"/>
      </w:pPr>
      <w:r>
        <w:rPr>
          <w:rFonts w:ascii="Times New Roman" w:hAnsi="Times New Roman" w:eastAsia="新細明體"/>
          <w:sz w:val="22"/>
        </w:rPr>
        <w:t>[25] Tversky, A., &amp; Kahneman, D. (1974). Judgment under Uncertainty: Heuristics and Biases. Science, 185(4157), 1124–1131.</w:t>
      </w:r>
    </w:p>
    <w:p>
      <w:pPr>
        <w:spacing w:line="360" w:lineRule="auto"/>
        <w:ind w:left="480" w:hanging="480"/>
      </w:pPr>
      <w:r>
        <w:rPr>
          <w:rFonts w:ascii="Times New Roman" w:hAnsi="Times New Roman" w:eastAsia="新細明體"/>
          <w:sz w:val="22"/>
        </w:rPr>
        <w:t>[26] 李亞峮（2026）。ESG負面事件與媒體報導對ESG績效與盈餘管理間之關聯的調節效果。國立臺北大學會計學系碩士論文。</w:t>
      </w:r>
    </w:p>
    <w:p>
      <w:pPr>
        <w:spacing w:line="360" w:lineRule="auto"/>
        <w:ind w:left="480" w:hanging="480"/>
      </w:pPr>
      <w:r>
        <w:rPr>
          <w:rFonts w:ascii="Times New Roman" w:hAnsi="Times New Roman" w:eastAsia="新細明體"/>
          <w:sz w:val="22"/>
        </w:rPr>
        <w:t>[27] 劉翠山（2026）。人力資本、ESG績效(S)、ESG重大性揭露與企業市場價值關係之調節型中介模型探討。銘傳大學會計學系碩士論文。</w:t>
      </w:r>
    </w:p>
    <w:p>
      <w:pPr>
        <w:spacing w:line="360" w:lineRule="auto"/>
        <w:ind w:left="480" w:hanging="480"/>
      </w:pPr>
      <w:r>
        <w:rPr>
          <w:rFonts w:ascii="Times New Roman" w:hAnsi="Times New Roman" w:eastAsia="新細明體"/>
          <w:sz w:val="22"/>
        </w:rPr>
        <w:t>[28] 吳東蓄（2026）。ESG績效對代理成本之影響。靜宜大學會計學系碩士論文。</w:t>
      </w:r>
    </w:p>
    <w:p>
      <w:pPr>
        <w:spacing w:line="360" w:lineRule="auto"/>
        <w:ind w:left="480" w:hanging="480"/>
      </w:pPr>
      <w:r>
        <w:rPr>
          <w:rFonts w:ascii="Times New Roman" w:hAnsi="Times New Roman" w:eastAsia="新細明體"/>
          <w:sz w:val="22"/>
        </w:rPr>
        <w:t>[29] 戴郁樺（2026）。ESG投入、金融創新與綠色創新對銀行風險與績效管理之影響。朝陽科技大學財務金融系碩士論文。</w:t>
      </w:r>
    </w:p>
    <w:p>
      <w:pPr>
        <w:spacing w:line="360" w:lineRule="auto"/>
        <w:ind w:left="480" w:hanging="480"/>
      </w:pPr>
      <w:r>
        <w:rPr>
          <w:rFonts w:ascii="Times New Roman" w:hAnsi="Times New Roman" w:eastAsia="新細明體"/>
          <w:sz w:val="22"/>
        </w:rPr>
        <w:t>[30] 楊宜蓁（2026）。ESG及負債比率對企業信用風險之關聯性研究——以台灣上市電子業為例。國立彰化師範大學財務金融技術學系碩士論文。</w:t>
      </w:r>
    </w:p>
    <w:p>
      <w:pPr>
        <w:spacing w:line="360" w:lineRule="auto"/>
        <w:ind w:left="480" w:hanging="480"/>
      </w:pPr>
      <w:r>
        <w:rPr>
          <w:rFonts w:ascii="Times New Roman" w:hAnsi="Times New Roman" w:eastAsia="新細明體"/>
          <w:sz w:val="22"/>
        </w:rPr>
        <w:t>[31] 楊珆佳（2026）。臺灣金控公司ESG、金融健全指標與巴塞爾協定風險性之研究。靜宜大學會計學系碩士論文。</w:t>
      </w:r>
    </w:p>
    <w:p>
      <w:pPr>
        <w:spacing w:line="360" w:lineRule="auto"/>
        <w:ind w:left="480" w:hanging="480"/>
      </w:pPr>
      <w:r>
        <w:rPr>
          <w:rFonts w:ascii="Times New Roman" w:hAnsi="Times New Roman" w:eastAsia="新細明體"/>
          <w:sz w:val="22"/>
        </w:rPr>
        <w:t>[32] 富得運（2026）。ESG風險管理與企業財務績效：新興市場中企業規模之調節效果。正修科技大學工業工程與管理碩士班碩士論文。</w:t>
      </w:r>
    </w:p>
    <w:p>
      <w:pPr>
        <w:spacing w:line="360" w:lineRule="auto"/>
        <w:ind w:left="480" w:hanging="480"/>
      </w:pPr>
      <w:r>
        <w:rPr>
          <w:rFonts w:ascii="Times New Roman" w:hAnsi="Times New Roman" w:eastAsia="新細明體"/>
          <w:sz w:val="22"/>
        </w:rPr>
        <w:t>[33] 毛祚祥（2026）。探討台灣上市櫃觀光餐旅類股企業ESG指標、系統性風險與財務績效之關係。國立高雄科技大學觀光管理系碩士論文。</w:t>
      </w:r>
    </w:p>
    <w:p>
      <w:pPr>
        <w:spacing w:line="360" w:lineRule="auto"/>
        <w:ind w:left="480" w:hanging="480"/>
      </w:pPr>
      <w:r>
        <w:rPr>
          <w:rFonts w:ascii="Times New Roman" w:hAnsi="Times New Roman" w:eastAsia="新細明體"/>
          <w:sz w:val="22"/>
        </w:rPr>
        <w:t>[34] 陳俊佑（2026）。ESG績效與盈餘的價值攸關性之影響。國防大學管理學院財務管理學系碩士論文。</w:t>
      </w:r>
    </w:p>
    <w:p>
      <w:pPr>
        <w:spacing w:line="360" w:lineRule="auto"/>
        <w:ind w:left="480" w:hanging="480"/>
      </w:pPr>
      <w:r>
        <w:rPr>
          <w:rFonts w:ascii="Times New Roman" w:hAnsi="Times New Roman" w:eastAsia="新細明體"/>
          <w:sz w:val="22"/>
        </w:rPr>
        <w:t>[35] 許嘉芸（2026）。企業資源密集度管理對財務績效與ESG效率的影響。國立陽明交通大學經營管理研究所碩士論文。</w:t>
      </w:r>
    </w:p>
    <w:p>
      <w:pPr>
        <w:spacing w:line="360" w:lineRule="auto"/>
        <w:ind w:left="480" w:hanging="480"/>
      </w:pPr>
      <w:r>
        <w:rPr>
          <w:rFonts w:ascii="Times New Roman" w:hAnsi="Times New Roman" w:eastAsia="新細明體"/>
          <w:sz w:val="22"/>
        </w:rPr>
        <w:t>[36] 楊博勝（2026）。ESG資訊之揭露對於企業特有風險之影響：以台灣上市櫃公司為例。國立陽明交通大學經營管理研究所博士論文。</w:t>
      </w:r>
    </w:p>
    <w:p>
      <w:pPr>
        <w:spacing w:line="360" w:lineRule="auto"/>
        <w:ind w:left="480" w:hanging="480"/>
      </w:pPr>
      <w:r>
        <w:rPr>
          <w:rFonts w:ascii="Times New Roman" w:hAnsi="Times New Roman" w:eastAsia="新細明體"/>
          <w:sz w:val="22"/>
        </w:rPr>
        <w:t>[37] 蘇姿云（2026）。ESG對盈餘管理的抑制效果：家族企業的差異分析。國立成功大學財務金融研究所碩士論文。</w:t>
      </w:r>
    </w:p>
    <w:p>
      <w:pPr>
        <w:spacing w:line="360" w:lineRule="auto"/>
        <w:ind w:left="480" w:hanging="480"/>
      </w:pPr>
      <w:r>
        <w:rPr>
          <w:rFonts w:ascii="Times New Roman" w:hAnsi="Times New Roman" w:eastAsia="新細明體"/>
          <w:sz w:val="22"/>
        </w:rPr>
        <w:t>[38] 張岑華（2026）。ESG績效與漂綠對權益資金成本之影響：以台灣為例。世新大學財務金融學系碩士論文。</w:t>
      </w:r>
    </w:p>
    <w:p>
      <w:pPr>
        <w:spacing w:line="360" w:lineRule="auto"/>
        <w:ind w:left="480" w:hanging="480"/>
      </w:pPr>
      <w:r>
        <w:rPr>
          <w:rFonts w:ascii="Times New Roman" w:hAnsi="Times New Roman" w:eastAsia="新細明體"/>
          <w:sz w:val="22"/>
        </w:rPr>
        <w:t>[39] 張筱婕（2026）。漂綠行為對企業ESG之影響：媒體揭露的調節效果。世新大學財務金融學系碩士論文。</w:t>
      </w:r>
    </w:p>
    <w:p>
      <w:pPr>
        <w:spacing w:line="360" w:lineRule="auto"/>
        <w:ind w:left="480" w:hanging="480"/>
      </w:pPr>
      <w:r>
        <w:rPr>
          <w:rFonts w:ascii="Times New Roman" w:hAnsi="Times New Roman" w:eastAsia="新細明體"/>
          <w:sz w:val="22"/>
        </w:rPr>
        <w:t>[40] 張凱瑜（2025）。成本僵固性與企業風險關聯性之研究——以台灣上市櫃公司為例。朝陽科技大學會計系碩士論文。</w:t>
      </w:r>
    </w:p>
    <w:p>
      <w:pPr>
        <w:spacing w:line="360" w:lineRule="auto"/>
        <w:ind w:left="480" w:hanging="480"/>
      </w:pPr>
      <w:r>
        <w:rPr>
          <w:rFonts w:ascii="Times New Roman" w:hAnsi="Times New Roman" w:eastAsia="新細明體"/>
          <w:sz w:val="22"/>
        </w:rPr>
        <w:t>[41] 王惠洳（2025）。獨立董事連結關係與成本僵固性之關聯。國立臺中科技大學會計資訊系碩士論文。</w:t>
      </w:r>
    </w:p>
    <w:p>
      <w:pPr>
        <w:spacing w:line="360" w:lineRule="auto"/>
        <w:ind w:left="480" w:hanging="480"/>
      </w:pPr>
      <w:r>
        <w:rPr>
          <w:rFonts w:ascii="Times New Roman" w:hAnsi="Times New Roman" w:eastAsia="新細明體"/>
          <w:sz w:val="22"/>
        </w:rPr>
        <w:t>[42] 陳思婷（2025）。移轉訂價操弄與成本僵固性間之關聯性。天主教輔仁大學會計學系碩士論文。</w:t>
      </w:r>
    </w:p>
    <w:p>
      <w:pPr>
        <w:spacing w:line="360" w:lineRule="auto"/>
        <w:ind w:left="480" w:hanging="480"/>
      </w:pPr>
      <w:r>
        <w:rPr>
          <w:rFonts w:ascii="Times New Roman" w:hAnsi="Times New Roman" w:eastAsia="新細明體"/>
          <w:sz w:val="22"/>
        </w:rPr>
        <w:t>[43] 辛珏辰（2025）。ESG活動與成本僵固性——兼論COVID-19的影響。國立成功大學會計學系碩士論文。</w:t>
      </w:r>
    </w:p>
    <w:p>
      <w:pPr>
        <w:spacing w:line="360" w:lineRule="auto"/>
        <w:ind w:left="480" w:hanging="480"/>
      </w:pPr>
      <w:r>
        <w:rPr>
          <w:rFonts w:ascii="Times New Roman" w:hAnsi="Times New Roman" w:eastAsia="新細明體"/>
          <w:sz w:val="22"/>
        </w:rPr>
        <w:t>[44] 張湘泓（2025）。企業併購時商定留用權之勞工權益強化——由ESG觀點出發。國立臺灣大學法律學系碩士論文。</w:t>
      </w:r>
    </w:p>
    <w:p>
      <w:pPr>
        <w:spacing w:line="360" w:lineRule="auto"/>
        <w:ind w:left="480" w:hanging="480"/>
      </w:pPr>
      <w:r>
        <w:rPr>
          <w:rFonts w:ascii="Times New Roman" w:hAnsi="Times New Roman" w:eastAsia="新細明體"/>
          <w:sz w:val="22"/>
        </w:rPr>
        <w:t>[45] 魏郁芳（2025）。企業內部因素與外部壓力對水資源揭露之關聯性研究：以臺灣上市櫃公司為例。國立臺灣師範大學永續管理與環境教育研究所碩士論文。</w:t>
      </w:r>
    </w:p>
    <w:p>
      <w:pPr>
        <w:spacing w:line="360" w:lineRule="auto"/>
        <w:ind w:left="480" w:hanging="480"/>
      </w:pPr>
      <w:r>
        <w:rPr>
          <w:rFonts w:ascii="Times New Roman" w:hAnsi="Times New Roman" w:eastAsia="新細明體"/>
          <w:sz w:val="22"/>
        </w:rPr>
        <w:t>[46] 鍾文淇（2025）。影響一般廢棄物回收率成效之研究：以直轄市為例。國立臺北大學公共行政暨政策學系碩士論文。</w:t>
      </w:r>
    </w:p>
    <w:p>
      <w:pPr>
        <w:spacing w:line="360" w:lineRule="auto"/>
        <w:ind w:left="480" w:hanging="480"/>
      </w:pPr>
      <w:r>
        <w:rPr>
          <w:rFonts w:ascii="Times New Roman" w:hAnsi="Times New Roman" w:eastAsia="新細明體"/>
          <w:sz w:val="22"/>
        </w:rPr>
        <w:t>[47] 李依潔（2024）。環境構面永續發展指標、企業策略與成本僵固性。中原大學會計學系碩士論文。</w:t>
      </w:r>
    </w:p>
    <w:p>
      <w:pPr>
        <w:spacing w:line="360" w:lineRule="auto"/>
        <w:ind w:left="480" w:hanging="480"/>
      </w:pPr>
      <w:r>
        <w:rPr>
          <w:rFonts w:ascii="Times New Roman" w:hAnsi="Times New Roman" w:eastAsia="新細明體"/>
          <w:sz w:val="22"/>
        </w:rPr>
        <w:t>[48] 陳樸（2024）。台灣上市食品公司水資源永續績效評量方法之研究。國立臺灣大學環境工程學研究所碩士論文。</w:t>
      </w:r>
    </w:p>
    <w:p>
      <w:pPr>
        <w:spacing w:line="360" w:lineRule="auto"/>
        <w:ind w:left="480" w:hanging="480"/>
      </w:pPr>
      <w:r>
        <w:rPr>
          <w:rFonts w:ascii="Times New Roman" w:hAnsi="Times New Roman" w:eastAsia="新細明體"/>
          <w:sz w:val="22"/>
        </w:rPr>
        <w:t>[49] 顏宥盈（2024）。成本僵固性與內外部監督效果之探討。國立臺中科技大學會計資訊系碩士論文。</w:t>
      </w:r>
    </w:p>
    <w:p>
      <w:pPr>
        <w:spacing w:line="360" w:lineRule="auto"/>
        <w:ind w:left="480" w:hanging="480"/>
      </w:pPr>
      <w:r>
        <w:rPr>
          <w:rFonts w:ascii="Times New Roman" w:hAnsi="Times New Roman" w:eastAsia="新細明體"/>
          <w:sz w:val="22"/>
        </w:rPr>
        <w:t>[50] 謝雅筑（2024）。飛行員CEO與成本僵固性。國立成功大學財務金融研究所碩士論文。</w:t>
      </w:r>
    </w:p>
    <w:p>
      <w:pPr>
        <w:spacing w:line="360" w:lineRule="auto"/>
        <w:ind w:left="480" w:hanging="480"/>
      </w:pPr>
      <w:r>
        <w:rPr>
          <w:rFonts w:ascii="Times New Roman" w:hAnsi="Times New Roman" w:eastAsia="新細明體"/>
          <w:sz w:val="22"/>
        </w:rPr>
        <w:t>[51] 張芳瑜（2023）。成本僵固性對企業績效之影響——以總體經濟變數為調節變數。國立中興大學企業管理學系碩士論文。</w:t>
      </w:r>
    </w:p>
    <w:p>
      <w:pPr>
        <w:spacing w:line="360" w:lineRule="auto"/>
        <w:ind w:left="480" w:hanging="480"/>
      </w:pPr>
      <w:r>
        <w:rPr>
          <w:rFonts w:ascii="Times New Roman" w:hAnsi="Times New Roman" w:eastAsia="新細明體"/>
          <w:sz w:val="22"/>
        </w:rPr>
        <w:t>[52] 張宸杰（2023）。內部控制、財務危機對成本僵固性之影響。國立臺中科技大學會計資訊系碩士論文。</w:t>
      </w:r>
    </w:p>
    <w:p>
      <w:pPr>
        <w:spacing w:line="360" w:lineRule="auto"/>
        <w:ind w:left="480" w:hanging="480"/>
      </w:pPr>
      <w:r>
        <w:rPr>
          <w:rFonts w:ascii="Times New Roman" w:hAnsi="Times New Roman" w:eastAsia="新細明體"/>
          <w:sz w:val="22"/>
        </w:rPr>
        <w:t>[53] 劉佳熒（2022）。供應鏈關係對供應商之成本行為的影響。亞洲大學經營管理學系博士論文。</w:t>
      </w:r>
    </w:p>
    <w:p>
      <w:pPr>
        <w:spacing w:line="360" w:lineRule="auto"/>
        <w:ind w:left="480" w:hanging="480"/>
      </w:pPr>
      <w:r>
        <w:rPr>
          <w:rFonts w:ascii="Times New Roman" w:hAnsi="Times New Roman" w:eastAsia="新細明體"/>
          <w:sz w:val="22"/>
        </w:rPr>
        <w:t>[54] 邱圓雅（2020）。內部債與成本僵固性之關聯性。國立臺北商業大學會計財稅碩士班碩士論文。</w:t>
      </w:r>
    </w:p>
    <w:p>
      <w:pPr>
        <w:spacing w:line="360" w:lineRule="auto"/>
        <w:ind w:left="480" w:hanging="480"/>
      </w:pPr>
      <w:r>
        <w:rPr>
          <w:rFonts w:ascii="Times New Roman" w:hAnsi="Times New Roman" w:eastAsia="新細明體"/>
          <w:sz w:val="22"/>
        </w:rPr>
        <w:t>[55] 鄭紹君（2018）。企業社會責任活動與成本僵固性之關聯——以企業社會責任願景調節。國立中央大學會計研究所碩士論文。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