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新細明體"/>
          <w:b/>
          <w:sz w:val="36"/>
        </w:rPr>
        <w:t>企業水管理績效與水資訊揭露對成本黏性之影響</w:t>
      </w:r>
    </w:p>
    <w:p>
      <w:pPr>
        <w:jc w:val="center"/>
      </w:pPr>
      <w:r>
        <w:rPr>
          <w:rFonts w:ascii="Times New Roman" w:hAnsi="Times New Roman" w:eastAsia="新細明體"/>
          <w:sz w:val="26"/>
        </w:rPr>
        <w:t>——以台灣上市櫃製造業為例</w:t>
      </w:r>
    </w:p>
    <w:p/>
    <w:p>
      <w:pPr>
        <w:pStyle w:val="Heading1"/>
      </w:pPr>
      <w:r>
        <w:rPr>
          <w:rFonts w:ascii="Times New Roman" w:hAnsi="Times New Roman" w:eastAsia="新細明體"/>
        </w:rPr>
        <w:t>中文摘要</w:t>
      </w:r>
    </w:p>
    <w:p>
      <w:pPr>
        <w:spacing w:line="360" w:lineRule="auto"/>
        <w:ind w:firstLine="480"/>
      </w:pPr>
      <w:r>
        <w:rPr>
          <w:rFonts w:ascii="Times New Roman" w:hAnsi="Times New Roman" w:eastAsia="新細明體"/>
          <w:b w:val="0"/>
          <w:sz w:val="24"/>
        </w:rPr>
        <w:t>本研究探討企業水管理績效（水回收率）與水資訊揭露對成本黏性（cost stickiness）的影響。以台灣上市櫃製造業（排除金融保險業）2014至2024年資料為樣本，採 Anderson, Banker and Janakiraman（2003）成本黏性模型，在營業費用變動對營收變動的敏感度中，加入收入下降虛擬變數與水管理變數之三重交乘，並控制產業與年份固定效果、以公司叢集穩健標準誤估計。為捕捉水管理投資之遞延效益，另將核心水變數遞延一至兩期，並依產業耗水程度進行高／低耗水子樣本檢定。實證發現：樣本整體存在顯著的成本黏性（β2 顯著為負）；即使納入時間落差（t-1、t-2）與高／低耗水產業子樣本，水管理之調節效果（β3）於各設定下仍未達統計顯著；成本黏性（β2）則於水回收率相關設定中穩健為負。</w:t>
      </w:r>
    </w:p>
    <w:p>
      <w:pPr>
        <w:spacing w:line="360" w:lineRule="auto"/>
        <w:ind w:firstLine="480"/>
      </w:pPr>
      <w:r>
        <w:rPr>
          <w:rFonts w:ascii="Times New Roman" w:hAnsi="Times New Roman" w:eastAsia="新細明體"/>
          <w:b w:val="0"/>
          <w:sz w:val="24"/>
        </w:rPr>
        <w:t>關鍵詞：水管理、水資訊揭露、成本黏性、水回收率、TESG、固定效果模型</w:t>
      </w:r>
    </w:p>
    <w:p>
      <w:pPr>
        <w:pStyle w:val="Heading1"/>
      </w:pPr>
      <w:r>
        <w:rPr>
          <w:rFonts w:ascii="Times New Roman" w:hAnsi="Times New Roman" w:eastAsia="新細明體"/>
        </w:rPr>
        <w:t>Abstract</w:t>
      </w:r>
    </w:p>
    <w:p>
      <w:pPr>
        <w:spacing w:line="360" w:lineRule="auto"/>
        <w:ind w:firstLine="480"/>
      </w:pPr>
      <w:r>
        <w:rPr>
          <w:rFonts w:ascii="Times New Roman" w:hAnsi="Times New Roman" w:eastAsia="新細明體"/>
          <w:b w:val="0"/>
          <w:sz w:val="24"/>
        </w:rPr>
        <w:t>This study examines how corporate water-management performance (water recycling rate) and water-information disclosure affect cost stickiness. Using Taiwanese listed manufacturing firms (excluding financials) from 2014 to 2024 and the Anderson, Banker and Janakiraman (2003) framework, we add triple interactions of a revenue-decrease dummy with water measures, controlling for industry and year fixed effects with firm-clustered robust standard errors, with lagged water measures (t-1, t-2) and high/low water-use industry subsamples. We find significant overall cost stickiness. Even after incorporating time-lag (t-1, t-2) and high/low water-use industry subsamples, the moderating effect of water management (beta3) remains statistically insignificant, while overall cost stickiness (beta2) is robustly negative.</w:t>
      </w:r>
    </w:p>
    <w:p>
      <w:pPr>
        <w:spacing w:line="360" w:lineRule="auto"/>
        <w:ind w:firstLine="480"/>
      </w:pPr>
      <w:r>
        <w:rPr>
          <w:rFonts w:ascii="Times New Roman" w:hAnsi="Times New Roman" w:eastAsia="新細明體"/>
          <w:b w:val="0"/>
          <w:sz w:val="24"/>
        </w:rPr>
        <w:t>Keywords: water management, water disclosure, cost stickiness, water recycling rate, TESG, fixed-effects model</w:t>
      </w:r>
    </w:p>
    <w:p>
      <w:pPr>
        <w:pStyle w:val="Heading1"/>
      </w:pPr>
      <w:r>
        <w:rPr>
          <w:rFonts w:ascii="Times New Roman" w:hAnsi="Times New Roman" w:eastAsia="新細明體"/>
        </w:rPr>
        <w:t>第一章 緒論</w:t>
      </w:r>
    </w:p>
    <w:p>
      <w:pPr>
        <w:pStyle w:val="Heading2"/>
      </w:pPr>
      <w:r>
        <w:rPr>
          <w:rFonts w:ascii="Times New Roman" w:hAnsi="Times New Roman" w:eastAsia="新細明體"/>
        </w:rPr>
        <w:t>第一節 研究背景與動機</w:t>
      </w:r>
    </w:p>
    <w:p>
      <w:pPr>
        <w:spacing w:line="360" w:lineRule="auto"/>
        <w:ind w:firstLine="480"/>
      </w:pPr>
      <w:r>
        <w:rPr>
          <w:rFonts w:ascii="Times New Roman" w:hAnsi="Times New Roman" w:eastAsia="新細明體"/>
          <w:b w:val="0"/>
          <w:sz w:val="24"/>
        </w:rPr>
        <w:t>在氣候變遷與永續發展趨勢下，水資源已成為企業環境管理的核心議題之一。水資源的取得、循環與回收不僅牽動生產成本，也影響企業面對營運波動時的資源調整彈性。成本黏性描述企業在營收下降時，成本向下調整的幅度小於營收上升時向上調整幅度的現象，其根源在於管理者的資源調整決策與調整成本。水資源相關投資（如廢水處理與循環系統）通常具高投入、長週期的特性，可能改變企業面臨需求衰退時的資源調整行為，因而與成本黏性產生連結。</w:t>
      </w:r>
    </w:p>
    <w:p>
      <w:pPr>
        <w:pStyle w:val="Heading2"/>
      </w:pPr>
      <w:r>
        <w:rPr>
          <w:rFonts w:ascii="Times New Roman" w:hAnsi="Times New Roman" w:eastAsia="新細明體"/>
        </w:rPr>
        <w:t>第二節 研究目的</w:t>
      </w:r>
    </w:p>
    <w:p>
      <w:pPr>
        <w:spacing w:line="360" w:lineRule="auto"/>
        <w:ind w:firstLine="480"/>
      </w:pPr>
      <w:r>
        <w:rPr>
          <w:rFonts w:ascii="Times New Roman" w:hAnsi="Times New Roman" w:eastAsia="新細明體"/>
          <w:b w:val="0"/>
          <w:sz w:val="24"/>
        </w:rPr>
        <w:t>本研究以台灣製造業為對象，分別從「實質績效」與「資訊透明度」兩個維度，檢視（一）水回收率是否影響成本黏性；（二）水資訊揭露是否影響成本黏性，以釐清水管理在企業成本調整行為中的角色。</w:t>
      </w:r>
    </w:p>
    <w:p>
      <w:pPr>
        <w:pStyle w:val="Heading1"/>
      </w:pPr>
      <w:r>
        <w:rPr>
          <w:rFonts w:ascii="Times New Roman" w:hAnsi="Times New Roman" w:eastAsia="新細明體"/>
        </w:rPr>
        <w:t>第二章 文獻探討與假說</w:t>
      </w:r>
    </w:p>
    <w:p>
      <w:pPr>
        <w:spacing w:line="360" w:lineRule="auto"/>
        <w:ind w:firstLine="480"/>
      </w:pPr>
      <w:r>
        <w:rPr>
          <w:rFonts w:ascii="Times New Roman" w:hAnsi="Times New Roman" w:eastAsia="新細明體"/>
          <w:b w:val="0"/>
          <w:sz w:val="24"/>
        </w:rPr>
        <w:t>成本黏性文獻自 Anderson et al.（2003）以降，普遍以調整成本與管理者決策解釋成本的非對稱行為。近期研究進一步將環境與永續因素納入。Zeng, Peng and Chan 探討低碳城市政策透過綠色創新與融資限制影響成本黏性；Jiang and Yang（2024, Economics Letters）則檢視 ESG 揭露透過供應鏈關係與資訊透明度影響成本黏性。本研究延伸此一脈絡，聚焦於「水」此一具體環境構面。</w:t>
      </w:r>
    </w:p>
    <w:p>
      <w:pPr>
        <w:pStyle w:val="Heading2"/>
      </w:pPr>
      <w:r>
        <w:rPr>
          <w:rFonts w:ascii="Times New Roman" w:hAnsi="Times New Roman" w:eastAsia="新細明體"/>
        </w:rPr>
        <w:t>第一節 水管理績效與成本黏性（H1）</w:t>
      </w:r>
    </w:p>
    <w:p>
      <w:pPr>
        <w:spacing w:line="360" w:lineRule="auto"/>
        <w:ind w:firstLine="480"/>
      </w:pPr>
      <w:r>
        <w:rPr>
          <w:rFonts w:ascii="Times New Roman" w:hAnsi="Times New Roman" w:eastAsia="新細明體"/>
          <w:b w:val="0"/>
          <w:sz w:val="24"/>
        </w:rPr>
        <w:t>提升水回收率通常需長期投入專用資產與人力，屬高風險、長週期之綠色投資。當營收下降時，管理者不易削減此類專用資源，閒置資源被保留，進而推升成本黏性。據此提出：</w:t>
      </w:r>
    </w:p>
    <w:p>
      <w:pPr>
        <w:spacing w:line="360" w:lineRule="auto"/>
      </w:pPr>
      <w:r>
        <w:rPr>
          <w:rFonts w:ascii="Times New Roman" w:hAnsi="Times New Roman" w:eastAsia="新細明體"/>
          <w:b/>
          <w:sz w:val="24"/>
        </w:rPr>
        <w:t>H1：企業水回收率越高，其成本黏性越大（模型中 β3 預期顯著為負）。</w:t>
      </w:r>
    </w:p>
    <w:p>
      <w:pPr>
        <w:pStyle w:val="Heading2"/>
      </w:pPr>
      <w:r>
        <w:rPr>
          <w:rFonts w:ascii="Times New Roman" w:hAnsi="Times New Roman" w:eastAsia="新細明體"/>
        </w:rPr>
        <w:t>第二節 水資訊揭露與成本黏性（H2）</w:t>
      </w:r>
    </w:p>
    <w:p>
      <w:pPr>
        <w:spacing w:line="360" w:lineRule="auto"/>
        <w:ind w:firstLine="480"/>
      </w:pPr>
      <w:r>
        <w:rPr>
          <w:rFonts w:ascii="Times New Roman" w:hAnsi="Times New Roman" w:eastAsia="新細明體"/>
          <w:b w:val="0"/>
          <w:sz w:val="24"/>
        </w:rPr>
        <w:t>主動揭露水資源管理資料代表較高的環境資訊透明度，有助於矯正管理者的過度樂觀預期與代理問題；當營收下降時，透明度高的企業較能果斷調整閒置資源，從而降低成本黏性。據此提出：</w:t>
      </w:r>
    </w:p>
    <w:p>
      <w:pPr>
        <w:spacing w:line="360" w:lineRule="auto"/>
      </w:pPr>
      <w:r>
        <w:rPr>
          <w:rFonts w:ascii="Times New Roman" w:hAnsi="Times New Roman" w:eastAsia="新細明體"/>
          <w:b/>
          <w:sz w:val="24"/>
        </w:rPr>
        <w:t>H2：相較未揭露者，有揭露水管理資訊的企業其成本黏性較低（模型中 β3 預期顯著為正）。</w:t>
      </w:r>
    </w:p>
    <w:p>
      <w:pPr>
        <w:pStyle w:val="Heading1"/>
      </w:pPr>
      <w:r>
        <w:rPr>
          <w:rFonts w:ascii="Times New Roman" w:hAnsi="Times New Roman" w:eastAsia="新細明體"/>
        </w:rPr>
        <w:t>第三章 研究方法</w:t>
      </w:r>
    </w:p>
    <w:p>
      <w:pPr>
        <w:pStyle w:val="Heading2"/>
      </w:pPr>
      <w:r>
        <w:rPr>
          <w:rFonts w:ascii="Times New Roman" w:hAnsi="Times New Roman" w:eastAsia="新細明體"/>
        </w:rPr>
        <w:t>第一節 資料來源與樣本</w:t>
      </w:r>
    </w:p>
    <w:p>
      <w:pPr>
        <w:spacing w:line="360" w:lineRule="auto"/>
        <w:ind w:firstLine="480"/>
      </w:pPr>
      <w:r>
        <w:rPr>
          <w:rFonts w:ascii="Times New Roman" w:hAnsi="Times New Roman" w:eastAsia="新細明體"/>
          <w:b w:val="0"/>
          <w:sz w:val="24"/>
        </w:rPr>
        <w:t>本研究資料取自台灣經濟新報（TEJ），包含 IFRS 合併財務（單季，彙總為年度）、TESG 企業用水量與 TESG 永續揭露資料。樣本期間為 2014 至 2024 年，排除金融保險業並剔除關鍵變數缺漏之觀測值。財務單季資料以流量加總、存量取年末方式彙總為年度面板，主鍵為證券代碼與西元年份。</w:t>
      </w:r>
    </w:p>
    <w:p>
      <w:pPr>
        <w:pStyle w:val="Heading2"/>
      </w:pPr>
      <w:r>
        <w:rPr>
          <w:rFonts w:ascii="Times New Roman" w:hAnsi="Times New Roman" w:eastAsia="新細明體"/>
        </w:rPr>
        <w:t>第二節 變數定義</w:t>
      </w:r>
    </w:p>
    <w:p>
      <w:pPr>
        <w:spacing w:line="360" w:lineRule="auto"/>
      </w:pPr>
      <w:r>
        <w:rPr>
          <w:rFonts w:ascii="Times New Roman" w:hAnsi="Times New Roman" w:eastAsia="新細明體"/>
          <w:b w:val="0"/>
          <w:sz w:val="24"/>
        </w:rPr>
        <w:t>各變數之定義與角色如下表所示。</w:t>
      </w:r>
    </w:p>
    <w:p>
      <w:pPr>
        <w:jc w:val="left"/>
      </w:pPr>
      <w:r>
        <w:rPr>
          <w:rFonts w:ascii="Times New Roman" w:hAnsi="Times New Roman" w:eastAsia="新細明體"/>
          <w:b/>
          <w:sz w:val="22"/>
        </w:rPr>
        <w:t>表3-1 變數定義表</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新細明體"/>
                <w:b/>
                <w:sz w:val="18"/>
              </w:rPr>
              <w:t>變數</w:t>
            </w:r>
          </w:p>
        </w:tc>
        <w:tc>
          <w:tcPr>
            <w:tcW w:type="dxa" w:w="2880"/>
          </w:tcPr>
          <w:p>
            <w:r>
              <w:rPr>
                <w:rFonts w:ascii="Times New Roman" w:hAnsi="Times New Roman" w:eastAsia="新細明體"/>
                <w:b/>
                <w:sz w:val="18"/>
              </w:rPr>
              <w:t>定義</w:t>
            </w:r>
          </w:p>
        </w:tc>
        <w:tc>
          <w:tcPr>
            <w:tcW w:type="dxa" w:w="2880"/>
          </w:tcPr>
          <w:p>
            <w:r>
              <w:rPr>
                <w:rFonts w:ascii="Times New Roman" w:hAnsi="Times New Roman" w:eastAsia="新細明體"/>
                <w:b/>
                <w:sz w:val="18"/>
              </w:rPr>
              <w:t>角色</w:t>
            </w:r>
          </w:p>
        </w:tc>
      </w:tr>
      <w:tr>
        <w:tc>
          <w:tcPr>
            <w:tcW w:type="dxa" w:w="2880"/>
          </w:tcPr>
          <w:p>
            <w:r>
              <w:rPr>
                <w:rFonts w:ascii="Times New Roman" w:hAnsi="Times New Roman" w:eastAsia="新細明體"/>
                <w:sz w:val="18"/>
              </w:rPr>
              <w:t>Y_dLNSGA</w:t>
            </w:r>
          </w:p>
        </w:tc>
        <w:tc>
          <w:tcPr>
            <w:tcW w:type="dxa" w:w="2880"/>
          </w:tcPr>
          <w:p>
            <w:r>
              <w:rPr>
                <w:rFonts w:ascii="Times New Roman" w:hAnsi="Times New Roman" w:eastAsia="新細明體"/>
                <w:sz w:val="18"/>
              </w:rPr>
              <w:t>ΔLNSGA = LN(營業費用_t) − LN(營業費用_t-1)（縮尾）</w:t>
            </w:r>
          </w:p>
        </w:tc>
        <w:tc>
          <w:tcPr>
            <w:tcW w:type="dxa" w:w="2880"/>
          </w:tcPr>
          <w:p>
            <w:r>
              <w:rPr>
                <w:rFonts w:ascii="Times New Roman" w:hAnsi="Times New Roman" w:eastAsia="新細明體"/>
                <w:sz w:val="18"/>
              </w:rPr>
              <w:t>應變數</w:t>
            </w:r>
          </w:p>
        </w:tc>
      </w:tr>
      <w:tr>
        <w:tc>
          <w:tcPr>
            <w:tcW w:type="dxa" w:w="2880"/>
          </w:tcPr>
          <w:p>
            <w:r>
              <w:rPr>
                <w:rFonts w:ascii="Times New Roman" w:hAnsi="Times New Roman" w:eastAsia="新細明體"/>
                <w:sz w:val="18"/>
              </w:rPr>
              <w:t>dLNREV</w:t>
            </w:r>
          </w:p>
        </w:tc>
        <w:tc>
          <w:tcPr>
            <w:tcW w:type="dxa" w:w="2880"/>
          </w:tcPr>
          <w:p>
            <w:r>
              <w:rPr>
                <w:rFonts w:ascii="Times New Roman" w:hAnsi="Times New Roman" w:eastAsia="新細明體"/>
                <w:sz w:val="18"/>
              </w:rPr>
              <w:t>ΔLNREV = LN(營收_t) − LN(營收_t-1)（縮尾）</w:t>
            </w:r>
          </w:p>
        </w:tc>
        <w:tc>
          <w:tcPr>
            <w:tcW w:type="dxa" w:w="2880"/>
          </w:tcPr>
          <w:p>
            <w:r>
              <w:rPr>
                <w:rFonts w:ascii="Times New Roman" w:hAnsi="Times New Roman" w:eastAsia="新細明體"/>
                <w:sz w:val="18"/>
              </w:rPr>
              <w:t>自變數</w:t>
            </w:r>
          </w:p>
        </w:tc>
      </w:tr>
      <w:tr>
        <w:tc>
          <w:tcPr>
            <w:tcW w:type="dxa" w:w="2880"/>
          </w:tcPr>
          <w:p>
            <w:r>
              <w:rPr>
                <w:rFonts w:ascii="Times New Roman" w:hAnsi="Times New Roman" w:eastAsia="新細明體"/>
                <w:sz w:val="18"/>
              </w:rPr>
              <w:t>D</w:t>
            </w:r>
          </w:p>
        </w:tc>
        <w:tc>
          <w:tcPr>
            <w:tcW w:type="dxa" w:w="2880"/>
          </w:tcPr>
          <w:p>
            <w:r>
              <w:rPr>
                <w:rFonts w:ascii="Times New Roman" w:hAnsi="Times New Roman" w:eastAsia="新細明體"/>
                <w:sz w:val="18"/>
              </w:rPr>
              <w:t>收入下降虛擬（營收_t &lt; 營收_t-1 = 1）</w:t>
            </w:r>
          </w:p>
        </w:tc>
        <w:tc>
          <w:tcPr>
            <w:tcW w:type="dxa" w:w="2880"/>
          </w:tcPr>
          <w:p>
            <w:r>
              <w:rPr>
                <w:rFonts w:ascii="Times New Roman" w:hAnsi="Times New Roman" w:eastAsia="新細明體"/>
                <w:sz w:val="18"/>
              </w:rPr>
              <w:t>自變數</w:t>
            </w:r>
          </w:p>
        </w:tc>
      </w:tr>
      <w:tr>
        <w:tc>
          <w:tcPr>
            <w:tcW w:type="dxa" w:w="2880"/>
          </w:tcPr>
          <w:p>
            <w:r>
              <w:rPr>
                <w:rFonts w:ascii="Times New Roman" w:hAnsi="Times New Roman" w:eastAsia="新細明體"/>
                <w:sz w:val="18"/>
              </w:rPr>
              <w:t>D_x_dREV</w:t>
            </w:r>
          </w:p>
        </w:tc>
        <w:tc>
          <w:tcPr>
            <w:tcW w:type="dxa" w:w="2880"/>
          </w:tcPr>
          <w:p>
            <w:r>
              <w:rPr>
                <w:rFonts w:ascii="Times New Roman" w:hAnsi="Times New Roman" w:eastAsia="新細明體"/>
                <w:sz w:val="18"/>
              </w:rPr>
              <w:t>D × ΔLNREV（β2：整體成本黏性，預期負）</w:t>
            </w:r>
          </w:p>
        </w:tc>
        <w:tc>
          <w:tcPr>
            <w:tcW w:type="dxa" w:w="2880"/>
          </w:tcPr>
          <w:p>
            <w:r>
              <w:rPr>
                <w:rFonts w:ascii="Times New Roman" w:hAnsi="Times New Roman" w:eastAsia="新細明體"/>
                <w:sz w:val="18"/>
              </w:rPr>
              <w:t>核心交乘</w:t>
            </w:r>
          </w:p>
        </w:tc>
      </w:tr>
      <w:tr>
        <w:tc>
          <w:tcPr>
            <w:tcW w:type="dxa" w:w="2880"/>
          </w:tcPr>
          <w:p>
            <w:r>
              <w:rPr>
                <w:rFonts w:ascii="Times New Roman" w:hAnsi="Times New Roman" w:eastAsia="新細明體"/>
                <w:sz w:val="18"/>
              </w:rPr>
              <w:t>Water_Rate</w:t>
            </w:r>
          </w:p>
        </w:tc>
        <w:tc>
          <w:tcPr>
            <w:tcW w:type="dxa" w:w="2880"/>
          </w:tcPr>
          <w:p>
            <w:r>
              <w:rPr>
                <w:rFonts w:ascii="Times New Roman" w:hAnsi="Times New Roman" w:eastAsia="新細明體"/>
                <w:sz w:val="18"/>
              </w:rPr>
              <w:t>水回收率%（縮尾，主分析水績效）</w:t>
            </w:r>
          </w:p>
        </w:tc>
        <w:tc>
          <w:tcPr>
            <w:tcW w:type="dxa" w:w="2880"/>
          </w:tcPr>
          <w:p>
            <w:r>
              <w:rPr>
                <w:rFonts w:ascii="Times New Roman" w:hAnsi="Times New Roman" w:eastAsia="新細明體"/>
                <w:sz w:val="18"/>
              </w:rPr>
              <w:t>自變數</w:t>
            </w:r>
          </w:p>
        </w:tc>
      </w:tr>
      <w:tr>
        <w:tc>
          <w:tcPr>
            <w:tcW w:type="dxa" w:w="2880"/>
          </w:tcPr>
          <w:p>
            <w:r>
              <w:rPr>
                <w:rFonts w:ascii="Times New Roman" w:hAnsi="Times New Roman" w:eastAsia="新細明體"/>
                <w:sz w:val="18"/>
              </w:rPr>
              <w:t>Water_Disc</w:t>
            </w:r>
          </w:p>
        </w:tc>
        <w:tc>
          <w:tcPr>
            <w:tcW w:type="dxa" w:w="2880"/>
          </w:tcPr>
          <w:p>
            <w:r>
              <w:rPr>
                <w:rFonts w:ascii="Times New Roman" w:hAnsi="Times New Roman" w:eastAsia="新細明體"/>
                <w:sz w:val="18"/>
              </w:rPr>
              <w:t>水揭露虛擬-做法A（有水量紀錄=1）</w:t>
            </w:r>
          </w:p>
        </w:tc>
        <w:tc>
          <w:tcPr>
            <w:tcW w:type="dxa" w:w="2880"/>
          </w:tcPr>
          <w:p>
            <w:r>
              <w:rPr>
                <w:rFonts w:ascii="Times New Roman" w:hAnsi="Times New Roman" w:eastAsia="新細明體"/>
                <w:sz w:val="18"/>
              </w:rPr>
              <w:t>自變數</w:t>
            </w:r>
          </w:p>
        </w:tc>
      </w:tr>
      <w:tr>
        <w:tc>
          <w:tcPr>
            <w:tcW w:type="dxa" w:w="2880"/>
          </w:tcPr>
          <w:p>
            <w:r>
              <w:rPr>
                <w:rFonts w:ascii="Times New Roman" w:hAnsi="Times New Roman" w:eastAsia="新細明體"/>
                <w:sz w:val="18"/>
              </w:rPr>
              <w:t>Water_Disc_GRI</w:t>
            </w:r>
          </w:p>
        </w:tc>
        <w:tc>
          <w:tcPr>
            <w:tcW w:type="dxa" w:w="2880"/>
          </w:tcPr>
          <w:p>
            <w:r>
              <w:rPr>
                <w:rFonts w:ascii="Times New Roman" w:hAnsi="Times New Roman" w:eastAsia="新細明體"/>
                <w:sz w:val="18"/>
              </w:rPr>
              <w:t>水揭露虛擬-做法B（GRI揭露度&gt;0=1）</w:t>
            </w:r>
          </w:p>
        </w:tc>
        <w:tc>
          <w:tcPr>
            <w:tcW w:type="dxa" w:w="2880"/>
          </w:tcPr>
          <w:p>
            <w:r>
              <w:rPr>
                <w:rFonts w:ascii="Times New Roman" w:hAnsi="Times New Roman" w:eastAsia="新細明體"/>
                <w:sz w:val="18"/>
              </w:rPr>
              <w:t>自變數(穩健)</w:t>
            </w:r>
          </w:p>
        </w:tc>
      </w:tr>
      <w:tr>
        <w:tc>
          <w:tcPr>
            <w:tcW w:type="dxa" w:w="2880"/>
          </w:tcPr>
          <w:p>
            <w:r>
              <w:rPr>
                <w:rFonts w:ascii="Times New Roman" w:hAnsi="Times New Roman" w:eastAsia="新細明體"/>
                <w:sz w:val="18"/>
              </w:rPr>
              <w:t>WaterRate_D_dREV</w:t>
            </w:r>
          </w:p>
        </w:tc>
        <w:tc>
          <w:tcPr>
            <w:tcW w:type="dxa" w:w="2880"/>
          </w:tcPr>
          <w:p>
            <w:r>
              <w:rPr>
                <w:rFonts w:ascii="Times New Roman" w:hAnsi="Times New Roman" w:eastAsia="新細明體"/>
                <w:sz w:val="18"/>
              </w:rPr>
              <w:t>Water_Rate × D × ΔLNREV（β3：H1）</w:t>
            </w:r>
          </w:p>
        </w:tc>
        <w:tc>
          <w:tcPr>
            <w:tcW w:type="dxa" w:w="2880"/>
          </w:tcPr>
          <w:p>
            <w:r>
              <w:rPr>
                <w:rFonts w:ascii="Times New Roman" w:hAnsi="Times New Roman" w:eastAsia="新細明體"/>
                <w:sz w:val="18"/>
              </w:rPr>
              <w:t>三重交乘</w:t>
            </w:r>
          </w:p>
        </w:tc>
      </w:tr>
      <w:tr>
        <w:tc>
          <w:tcPr>
            <w:tcW w:type="dxa" w:w="2880"/>
          </w:tcPr>
          <w:p>
            <w:r>
              <w:rPr>
                <w:rFonts w:ascii="Times New Roman" w:hAnsi="Times New Roman" w:eastAsia="新細明體"/>
                <w:sz w:val="18"/>
              </w:rPr>
              <w:t>WaterDisc_D_dREV</w:t>
            </w:r>
          </w:p>
        </w:tc>
        <w:tc>
          <w:tcPr>
            <w:tcW w:type="dxa" w:w="2880"/>
          </w:tcPr>
          <w:p>
            <w:r>
              <w:rPr>
                <w:rFonts w:ascii="Times New Roman" w:hAnsi="Times New Roman" w:eastAsia="新細明體"/>
                <w:sz w:val="18"/>
              </w:rPr>
              <w:t>Water_Disc × D × ΔLNREV（β3：H2）</w:t>
            </w:r>
          </w:p>
        </w:tc>
        <w:tc>
          <w:tcPr>
            <w:tcW w:type="dxa" w:w="2880"/>
          </w:tcPr>
          <w:p>
            <w:r>
              <w:rPr>
                <w:rFonts w:ascii="Times New Roman" w:hAnsi="Times New Roman" w:eastAsia="新細明體"/>
                <w:sz w:val="18"/>
              </w:rPr>
              <w:t>三重交乘</w:t>
            </w:r>
          </w:p>
        </w:tc>
      </w:tr>
      <w:tr>
        <w:tc>
          <w:tcPr>
            <w:tcW w:type="dxa" w:w="2880"/>
          </w:tcPr>
          <w:p>
            <w:r>
              <w:rPr>
                <w:rFonts w:ascii="Times New Roman" w:hAnsi="Times New Roman" w:eastAsia="新細明體"/>
                <w:sz w:val="18"/>
              </w:rPr>
              <w:t>WaterDiscGRI_D_dREV</w:t>
            </w:r>
          </w:p>
        </w:tc>
        <w:tc>
          <w:tcPr>
            <w:tcW w:type="dxa" w:w="2880"/>
          </w:tcPr>
          <w:p>
            <w:r>
              <w:rPr>
                <w:rFonts w:ascii="Times New Roman" w:hAnsi="Times New Roman" w:eastAsia="新細明體"/>
                <w:sz w:val="18"/>
              </w:rPr>
              <w:t>Water_Disc_GRI × D × ΔLNREV（穩健）</w:t>
            </w:r>
          </w:p>
        </w:tc>
        <w:tc>
          <w:tcPr>
            <w:tcW w:type="dxa" w:w="2880"/>
          </w:tcPr>
          <w:p>
            <w:r>
              <w:rPr>
                <w:rFonts w:ascii="Times New Roman" w:hAnsi="Times New Roman" w:eastAsia="新細明體"/>
                <w:sz w:val="18"/>
              </w:rPr>
              <w:t>三重交乘</w:t>
            </w:r>
          </w:p>
        </w:tc>
      </w:tr>
      <w:tr>
        <w:tc>
          <w:tcPr>
            <w:tcW w:type="dxa" w:w="2880"/>
          </w:tcPr>
          <w:p>
            <w:r>
              <w:rPr>
                <w:rFonts w:ascii="Times New Roman" w:hAnsi="Times New Roman" w:eastAsia="新細明體"/>
                <w:sz w:val="18"/>
              </w:rPr>
              <w:t>Size</w:t>
            </w:r>
          </w:p>
        </w:tc>
        <w:tc>
          <w:tcPr>
            <w:tcW w:type="dxa" w:w="2880"/>
          </w:tcPr>
          <w:p>
            <w:r>
              <w:rPr>
                <w:rFonts w:ascii="Times New Roman" w:hAnsi="Times New Roman" w:eastAsia="新細明體"/>
                <w:sz w:val="18"/>
              </w:rPr>
              <w:t>LN(資產總額)（縮尾）</w:t>
            </w:r>
          </w:p>
        </w:tc>
        <w:tc>
          <w:tcPr>
            <w:tcW w:type="dxa" w:w="2880"/>
          </w:tcPr>
          <w:p>
            <w:r>
              <w:rPr>
                <w:rFonts w:ascii="Times New Roman" w:hAnsi="Times New Roman" w:eastAsia="新細明體"/>
                <w:sz w:val="18"/>
              </w:rPr>
              <w:t>控制</w:t>
            </w:r>
          </w:p>
        </w:tc>
      </w:tr>
      <w:tr>
        <w:tc>
          <w:tcPr>
            <w:tcW w:type="dxa" w:w="2880"/>
          </w:tcPr>
          <w:p>
            <w:r>
              <w:rPr>
                <w:rFonts w:ascii="Times New Roman" w:hAnsi="Times New Roman" w:eastAsia="新細明體"/>
                <w:sz w:val="18"/>
              </w:rPr>
              <w:t>AI</w:t>
            </w:r>
          </w:p>
        </w:tc>
        <w:tc>
          <w:tcPr>
            <w:tcW w:type="dxa" w:w="2880"/>
          </w:tcPr>
          <w:p>
            <w:r>
              <w:rPr>
                <w:rFonts w:ascii="Times New Roman" w:hAnsi="Times New Roman" w:eastAsia="新細明體"/>
                <w:sz w:val="18"/>
              </w:rPr>
              <w:t>資產密集度=資產總額/營收（縮尾）</w:t>
            </w:r>
          </w:p>
        </w:tc>
        <w:tc>
          <w:tcPr>
            <w:tcW w:type="dxa" w:w="2880"/>
          </w:tcPr>
          <w:p>
            <w:r>
              <w:rPr>
                <w:rFonts w:ascii="Times New Roman" w:hAnsi="Times New Roman" w:eastAsia="新細明體"/>
                <w:sz w:val="18"/>
              </w:rPr>
              <w:t>控制</w:t>
            </w:r>
          </w:p>
        </w:tc>
      </w:tr>
      <w:tr>
        <w:tc>
          <w:tcPr>
            <w:tcW w:type="dxa" w:w="2880"/>
          </w:tcPr>
          <w:p>
            <w:r>
              <w:rPr>
                <w:rFonts w:ascii="Times New Roman" w:hAnsi="Times New Roman" w:eastAsia="新細明體"/>
                <w:sz w:val="18"/>
              </w:rPr>
              <w:t>EI</w:t>
            </w:r>
          </w:p>
        </w:tc>
        <w:tc>
          <w:tcPr>
            <w:tcW w:type="dxa" w:w="2880"/>
          </w:tcPr>
          <w:p>
            <w:r>
              <w:rPr>
                <w:rFonts w:ascii="Times New Roman" w:hAnsi="Times New Roman" w:eastAsia="新細明體"/>
                <w:sz w:val="18"/>
              </w:rPr>
              <w:t>員工密集度=員工人數/營收（縮尾）</w:t>
            </w:r>
          </w:p>
        </w:tc>
        <w:tc>
          <w:tcPr>
            <w:tcW w:type="dxa" w:w="2880"/>
          </w:tcPr>
          <w:p>
            <w:r>
              <w:rPr>
                <w:rFonts w:ascii="Times New Roman" w:hAnsi="Times New Roman" w:eastAsia="新細明體"/>
                <w:sz w:val="18"/>
              </w:rPr>
              <w:t>控制</w:t>
            </w:r>
          </w:p>
        </w:tc>
      </w:tr>
      <w:tr>
        <w:tc>
          <w:tcPr>
            <w:tcW w:type="dxa" w:w="2880"/>
          </w:tcPr>
          <w:p>
            <w:r>
              <w:rPr>
                <w:rFonts w:ascii="Times New Roman" w:hAnsi="Times New Roman" w:eastAsia="新細明體"/>
                <w:sz w:val="18"/>
              </w:rPr>
              <w:t>ROA</w:t>
            </w:r>
          </w:p>
        </w:tc>
        <w:tc>
          <w:tcPr>
            <w:tcW w:type="dxa" w:w="2880"/>
          </w:tcPr>
          <w:p>
            <w:r>
              <w:rPr>
                <w:rFonts w:ascii="Times New Roman" w:hAnsi="Times New Roman" w:eastAsia="新細明體"/>
                <w:sz w:val="18"/>
              </w:rPr>
              <w:t>資產報酬率 ROA(A)稅後息前（縮尾）</w:t>
            </w:r>
          </w:p>
        </w:tc>
        <w:tc>
          <w:tcPr>
            <w:tcW w:type="dxa" w:w="2880"/>
          </w:tcPr>
          <w:p>
            <w:r>
              <w:rPr>
                <w:rFonts w:ascii="Times New Roman" w:hAnsi="Times New Roman" w:eastAsia="新細明體"/>
                <w:sz w:val="18"/>
              </w:rPr>
              <w:t>控制</w:t>
            </w:r>
          </w:p>
        </w:tc>
      </w:tr>
      <w:tr>
        <w:tc>
          <w:tcPr>
            <w:tcW w:type="dxa" w:w="2880"/>
          </w:tcPr>
          <w:p>
            <w:r>
              <w:rPr>
                <w:rFonts w:ascii="Times New Roman" w:hAnsi="Times New Roman" w:eastAsia="新細明體"/>
                <w:sz w:val="18"/>
              </w:rPr>
              <w:t>Lev</w:t>
            </w:r>
          </w:p>
        </w:tc>
        <w:tc>
          <w:tcPr>
            <w:tcW w:type="dxa" w:w="2880"/>
          </w:tcPr>
          <w:p>
            <w:r>
              <w:rPr>
                <w:rFonts w:ascii="Times New Roman" w:hAnsi="Times New Roman" w:eastAsia="新細明體"/>
                <w:sz w:val="18"/>
              </w:rPr>
              <w:t>財務槓桿=負債比率（縮尾）</w:t>
            </w:r>
          </w:p>
        </w:tc>
        <w:tc>
          <w:tcPr>
            <w:tcW w:type="dxa" w:w="2880"/>
          </w:tcPr>
          <w:p>
            <w:r>
              <w:rPr>
                <w:rFonts w:ascii="Times New Roman" w:hAnsi="Times New Roman" w:eastAsia="新細明體"/>
                <w:sz w:val="18"/>
              </w:rPr>
              <w:t>控制</w:t>
            </w:r>
          </w:p>
        </w:tc>
      </w:tr>
      <w:tr>
        <w:tc>
          <w:tcPr>
            <w:tcW w:type="dxa" w:w="2880"/>
          </w:tcPr>
          <w:p>
            <w:r>
              <w:rPr>
                <w:rFonts w:ascii="Times New Roman" w:hAnsi="Times New Roman" w:eastAsia="新細明體"/>
                <w:sz w:val="18"/>
              </w:rPr>
              <w:t>Decrease</w:t>
            </w:r>
          </w:p>
        </w:tc>
        <w:tc>
          <w:tcPr>
            <w:tcW w:type="dxa" w:w="2880"/>
          </w:tcPr>
          <w:p>
            <w:r>
              <w:rPr>
                <w:rFonts w:ascii="Times New Roman" w:hAnsi="Times New Roman" w:eastAsia="新細明體"/>
                <w:sz w:val="18"/>
              </w:rPr>
              <w:t>連續兩年營收下降虛擬</w:t>
            </w:r>
          </w:p>
        </w:tc>
        <w:tc>
          <w:tcPr>
            <w:tcW w:type="dxa" w:w="2880"/>
          </w:tcPr>
          <w:p>
            <w:r>
              <w:rPr>
                <w:rFonts w:ascii="Times New Roman" w:hAnsi="Times New Roman" w:eastAsia="新細明體"/>
                <w:sz w:val="18"/>
              </w:rPr>
              <w:t>控制</w:t>
            </w:r>
          </w:p>
        </w:tc>
      </w:tr>
      <w:tr>
        <w:tc>
          <w:tcPr>
            <w:tcW w:type="dxa" w:w="2880"/>
          </w:tcPr>
          <w:p>
            <w:r>
              <w:rPr>
                <w:rFonts w:ascii="Times New Roman" w:hAnsi="Times New Roman" w:eastAsia="新細明體"/>
                <w:sz w:val="18"/>
              </w:rPr>
              <w:t>Size_D_dREV</w:t>
            </w:r>
          </w:p>
        </w:tc>
        <w:tc>
          <w:tcPr>
            <w:tcW w:type="dxa" w:w="2880"/>
          </w:tcPr>
          <w:p>
            <w:r>
              <w:rPr>
                <w:rFonts w:ascii="Times New Roman" w:hAnsi="Times New Roman" w:eastAsia="新細明體"/>
                <w:sz w:val="18"/>
              </w:rPr>
              <w:t>Size × D × ΔLNREV</w:t>
            </w:r>
          </w:p>
        </w:tc>
        <w:tc>
          <w:tcPr>
            <w:tcW w:type="dxa" w:w="2880"/>
          </w:tcPr>
          <w:p>
            <w:r>
              <w:rPr>
                <w:rFonts w:ascii="Times New Roman" w:hAnsi="Times New Roman" w:eastAsia="新細明體"/>
                <w:sz w:val="18"/>
              </w:rPr>
              <w:t>控制交乘</w:t>
            </w:r>
          </w:p>
        </w:tc>
      </w:tr>
      <w:tr>
        <w:tc>
          <w:tcPr>
            <w:tcW w:type="dxa" w:w="2880"/>
          </w:tcPr>
          <w:p>
            <w:r>
              <w:rPr>
                <w:rFonts w:ascii="Times New Roman" w:hAnsi="Times New Roman" w:eastAsia="新細明體"/>
                <w:sz w:val="18"/>
              </w:rPr>
              <w:t>AI_D_dREV</w:t>
            </w:r>
          </w:p>
        </w:tc>
        <w:tc>
          <w:tcPr>
            <w:tcW w:type="dxa" w:w="2880"/>
          </w:tcPr>
          <w:p>
            <w:r>
              <w:rPr>
                <w:rFonts w:ascii="Times New Roman" w:hAnsi="Times New Roman" w:eastAsia="新細明體"/>
                <w:sz w:val="18"/>
              </w:rPr>
              <w:t>AI × D × ΔLNREV</w:t>
            </w:r>
          </w:p>
        </w:tc>
        <w:tc>
          <w:tcPr>
            <w:tcW w:type="dxa" w:w="2880"/>
          </w:tcPr>
          <w:p>
            <w:r>
              <w:rPr>
                <w:rFonts w:ascii="Times New Roman" w:hAnsi="Times New Roman" w:eastAsia="新細明體"/>
                <w:sz w:val="18"/>
              </w:rPr>
              <w:t>控制交乘</w:t>
            </w:r>
          </w:p>
        </w:tc>
      </w:tr>
      <w:tr>
        <w:tc>
          <w:tcPr>
            <w:tcW w:type="dxa" w:w="2880"/>
          </w:tcPr>
          <w:p>
            <w:r>
              <w:rPr>
                <w:rFonts w:ascii="Times New Roman" w:hAnsi="Times New Roman" w:eastAsia="新細明體"/>
                <w:sz w:val="18"/>
              </w:rPr>
              <w:t>EI_D_dREV</w:t>
            </w:r>
          </w:p>
        </w:tc>
        <w:tc>
          <w:tcPr>
            <w:tcW w:type="dxa" w:w="2880"/>
          </w:tcPr>
          <w:p>
            <w:r>
              <w:rPr>
                <w:rFonts w:ascii="Times New Roman" w:hAnsi="Times New Roman" w:eastAsia="新細明體"/>
                <w:sz w:val="18"/>
              </w:rPr>
              <w:t>EI × D × ΔLNREV</w:t>
            </w:r>
          </w:p>
        </w:tc>
        <w:tc>
          <w:tcPr>
            <w:tcW w:type="dxa" w:w="2880"/>
          </w:tcPr>
          <w:p>
            <w:r>
              <w:rPr>
                <w:rFonts w:ascii="Times New Roman" w:hAnsi="Times New Roman" w:eastAsia="新細明體"/>
                <w:sz w:val="18"/>
              </w:rPr>
              <w:t>控制交乘</w:t>
            </w:r>
          </w:p>
        </w:tc>
      </w:tr>
      <w:tr>
        <w:tc>
          <w:tcPr>
            <w:tcW w:type="dxa" w:w="2880"/>
          </w:tcPr>
          <w:p>
            <w:r>
              <w:rPr>
                <w:rFonts w:ascii="Times New Roman" w:hAnsi="Times New Roman" w:eastAsia="新細明體"/>
                <w:sz w:val="18"/>
              </w:rPr>
              <w:t>ROA_D_dREV</w:t>
            </w:r>
          </w:p>
        </w:tc>
        <w:tc>
          <w:tcPr>
            <w:tcW w:type="dxa" w:w="2880"/>
          </w:tcPr>
          <w:p>
            <w:r>
              <w:rPr>
                <w:rFonts w:ascii="Times New Roman" w:hAnsi="Times New Roman" w:eastAsia="新細明體"/>
                <w:sz w:val="18"/>
              </w:rPr>
              <w:t>ROA × D × ΔLNREV</w:t>
            </w:r>
          </w:p>
        </w:tc>
        <w:tc>
          <w:tcPr>
            <w:tcW w:type="dxa" w:w="2880"/>
          </w:tcPr>
          <w:p>
            <w:r>
              <w:rPr>
                <w:rFonts w:ascii="Times New Roman" w:hAnsi="Times New Roman" w:eastAsia="新細明體"/>
                <w:sz w:val="18"/>
              </w:rPr>
              <w:t>控制交乘</w:t>
            </w:r>
          </w:p>
        </w:tc>
      </w:tr>
      <w:tr>
        <w:tc>
          <w:tcPr>
            <w:tcW w:type="dxa" w:w="2880"/>
          </w:tcPr>
          <w:p>
            <w:r>
              <w:rPr>
                <w:rFonts w:ascii="Times New Roman" w:hAnsi="Times New Roman" w:eastAsia="新細明體"/>
                <w:sz w:val="18"/>
              </w:rPr>
              <w:t>Lev_D_dREV</w:t>
            </w:r>
          </w:p>
        </w:tc>
        <w:tc>
          <w:tcPr>
            <w:tcW w:type="dxa" w:w="2880"/>
          </w:tcPr>
          <w:p>
            <w:r>
              <w:rPr>
                <w:rFonts w:ascii="Times New Roman" w:hAnsi="Times New Roman" w:eastAsia="新細明體"/>
                <w:sz w:val="18"/>
              </w:rPr>
              <w:t>Lev × D × ΔLNREV</w:t>
            </w:r>
          </w:p>
        </w:tc>
        <w:tc>
          <w:tcPr>
            <w:tcW w:type="dxa" w:w="2880"/>
          </w:tcPr>
          <w:p>
            <w:r>
              <w:rPr>
                <w:rFonts w:ascii="Times New Roman" w:hAnsi="Times New Roman" w:eastAsia="新細明體"/>
                <w:sz w:val="18"/>
              </w:rPr>
              <w:t>控制交乘</w:t>
            </w:r>
          </w:p>
        </w:tc>
      </w:tr>
      <w:tr>
        <w:tc>
          <w:tcPr>
            <w:tcW w:type="dxa" w:w="2880"/>
          </w:tcPr>
          <w:p>
            <w:r>
              <w:rPr>
                <w:rFonts w:ascii="Times New Roman" w:hAnsi="Times New Roman" w:eastAsia="新細明體"/>
                <w:sz w:val="18"/>
              </w:rPr>
              <w:t>Decrease_D_dREV</w:t>
            </w:r>
          </w:p>
        </w:tc>
        <w:tc>
          <w:tcPr>
            <w:tcW w:type="dxa" w:w="2880"/>
          </w:tcPr>
          <w:p>
            <w:r>
              <w:rPr>
                <w:rFonts w:ascii="Times New Roman" w:hAnsi="Times New Roman" w:eastAsia="新細明體"/>
                <w:sz w:val="18"/>
              </w:rPr>
              <w:t>Decrease × D × ΔLNREV</w:t>
            </w:r>
          </w:p>
        </w:tc>
        <w:tc>
          <w:tcPr>
            <w:tcW w:type="dxa" w:w="2880"/>
          </w:tcPr>
          <w:p>
            <w:r>
              <w:rPr>
                <w:rFonts w:ascii="Times New Roman" w:hAnsi="Times New Roman" w:eastAsia="新細明體"/>
                <w:sz w:val="18"/>
              </w:rPr>
              <w:t>控制交乘</w:t>
            </w:r>
          </w:p>
        </w:tc>
      </w:tr>
      <w:tr>
        <w:tc>
          <w:tcPr>
            <w:tcW w:type="dxa" w:w="2880"/>
          </w:tcPr>
          <w:p>
            <w:r>
              <w:rPr>
                <w:rFonts w:ascii="Times New Roman" w:hAnsi="Times New Roman" w:eastAsia="新細明體"/>
                <w:sz w:val="18"/>
              </w:rPr>
              <w:t>WaterRate_D_dREV_l1</w:t>
            </w:r>
          </w:p>
        </w:tc>
        <w:tc>
          <w:tcPr>
            <w:tcW w:type="dxa" w:w="2880"/>
          </w:tcPr>
          <w:p>
            <w:r>
              <w:rPr>
                <w:rFonts w:ascii="Times New Roman" w:hAnsi="Times New Roman" w:eastAsia="新細明體"/>
                <w:sz w:val="18"/>
              </w:rPr>
              <w:t>Water_Rate(t-1) × D × ΔLNREV（遞延一期，方向四）</w:t>
            </w:r>
          </w:p>
        </w:tc>
        <w:tc>
          <w:tcPr>
            <w:tcW w:type="dxa" w:w="2880"/>
          </w:tcPr>
          <w:p>
            <w:r>
              <w:rPr>
                <w:rFonts w:ascii="Times New Roman" w:hAnsi="Times New Roman" w:eastAsia="新細明體"/>
                <w:sz w:val="18"/>
              </w:rPr>
              <w:t>遞延交乘</w:t>
            </w:r>
          </w:p>
        </w:tc>
      </w:tr>
      <w:tr>
        <w:tc>
          <w:tcPr>
            <w:tcW w:type="dxa" w:w="2880"/>
          </w:tcPr>
          <w:p>
            <w:r>
              <w:rPr>
                <w:rFonts w:ascii="Times New Roman" w:hAnsi="Times New Roman" w:eastAsia="新細明體"/>
                <w:sz w:val="18"/>
              </w:rPr>
              <w:t>WaterRate_D_dREV_l2</w:t>
            </w:r>
          </w:p>
        </w:tc>
        <w:tc>
          <w:tcPr>
            <w:tcW w:type="dxa" w:w="2880"/>
          </w:tcPr>
          <w:p>
            <w:r>
              <w:rPr>
                <w:rFonts w:ascii="Times New Roman" w:hAnsi="Times New Roman" w:eastAsia="新細明體"/>
                <w:sz w:val="18"/>
              </w:rPr>
              <w:t>Water_Rate(t-2) × D × ΔLNREV（遞延兩期，方向四）</w:t>
            </w:r>
          </w:p>
        </w:tc>
        <w:tc>
          <w:tcPr>
            <w:tcW w:type="dxa" w:w="2880"/>
          </w:tcPr>
          <w:p>
            <w:r>
              <w:rPr>
                <w:rFonts w:ascii="Times New Roman" w:hAnsi="Times New Roman" w:eastAsia="新細明體"/>
                <w:sz w:val="18"/>
              </w:rPr>
              <w:t>遞延交乘</w:t>
            </w:r>
          </w:p>
        </w:tc>
      </w:tr>
      <w:tr>
        <w:tc>
          <w:tcPr>
            <w:tcW w:type="dxa" w:w="2880"/>
          </w:tcPr>
          <w:p>
            <w:r>
              <w:rPr>
                <w:rFonts w:ascii="Times New Roman" w:hAnsi="Times New Roman" w:eastAsia="新細明體"/>
                <w:sz w:val="18"/>
              </w:rPr>
              <w:t>WaterDisc_D_dREV_l1</w:t>
            </w:r>
          </w:p>
        </w:tc>
        <w:tc>
          <w:tcPr>
            <w:tcW w:type="dxa" w:w="2880"/>
          </w:tcPr>
          <w:p>
            <w:r>
              <w:rPr>
                <w:rFonts w:ascii="Times New Roman" w:hAnsi="Times New Roman" w:eastAsia="新細明體"/>
                <w:sz w:val="18"/>
              </w:rPr>
              <w:t>Water_Disc(t-1) × D × ΔLNREV（遞延一期）</w:t>
            </w:r>
          </w:p>
        </w:tc>
        <w:tc>
          <w:tcPr>
            <w:tcW w:type="dxa" w:w="2880"/>
          </w:tcPr>
          <w:p>
            <w:r>
              <w:rPr>
                <w:rFonts w:ascii="Times New Roman" w:hAnsi="Times New Roman" w:eastAsia="新細明體"/>
                <w:sz w:val="18"/>
              </w:rPr>
              <w:t>遞延交乘</w:t>
            </w:r>
          </w:p>
        </w:tc>
      </w:tr>
      <w:tr>
        <w:tc>
          <w:tcPr>
            <w:tcW w:type="dxa" w:w="2880"/>
          </w:tcPr>
          <w:p>
            <w:r>
              <w:rPr>
                <w:rFonts w:ascii="Times New Roman" w:hAnsi="Times New Roman" w:eastAsia="新細明體"/>
                <w:sz w:val="18"/>
              </w:rPr>
              <w:t>WaterDisc_D_dREV_l2</w:t>
            </w:r>
          </w:p>
        </w:tc>
        <w:tc>
          <w:tcPr>
            <w:tcW w:type="dxa" w:w="2880"/>
          </w:tcPr>
          <w:p>
            <w:r>
              <w:rPr>
                <w:rFonts w:ascii="Times New Roman" w:hAnsi="Times New Roman" w:eastAsia="新細明體"/>
                <w:sz w:val="18"/>
              </w:rPr>
              <w:t>Water_Disc(t-2) × D × ΔLNREV（遞延兩期）</w:t>
            </w:r>
          </w:p>
        </w:tc>
        <w:tc>
          <w:tcPr>
            <w:tcW w:type="dxa" w:w="2880"/>
          </w:tcPr>
          <w:p>
            <w:r>
              <w:rPr>
                <w:rFonts w:ascii="Times New Roman" w:hAnsi="Times New Roman" w:eastAsia="新細明體"/>
                <w:sz w:val="18"/>
              </w:rPr>
              <w:t>遞延交乘</w:t>
            </w:r>
          </w:p>
        </w:tc>
      </w:tr>
      <w:tr>
        <w:tc>
          <w:tcPr>
            <w:tcW w:type="dxa" w:w="2880"/>
          </w:tcPr>
          <w:p>
            <w:r>
              <w:rPr>
                <w:rFonts w:ascii="Times New Roman" w:hAnsi="Times New Roman" w:eastAsia="新細明體"/>
                <w:sz w:val="18"/>
              </w:rPr>
              <w:t>WaterUse</w:t>
            </w:r>
          </w:p>
        </w:tc>
        <w:tc>
          <w:tcPr>
            <w:tcW w:type="dxa" w:w="2880"/>
          </w:tcPr>
          <w:p>
            <w:r>
              <w:rPr>
                <w:rFonts w:ascii="Times New Roman" w:hAnsi="Times New Roman" w:eastAsia="新細明體"/>
                <w:sz w:val="18"/>
              </w:rPr>
              <w:t>耗水分組（高/低耗水產業，方向五）</w:t>
            </w:r>
          </w:p>
        </w:tc>
        <w:tc>
          <w:tcPr>
            <w:tcW w:type="dxa" w:w="2880"/>
          </w:tcPr>
          <w:p>
            <w:r>
              <w:rPr>
                <w:rFonts w:ascii="Times New Roman" w:hAnsi="Times New Roman" w:eastAsia="新細明體"/>
                <w:sz w:val="18"/>
              </w:rPr>
              <w:t>分組</w:t>
            </w:r>
          </w:p>
        </w:tc>
      </w:tr>
      <w:tr>
        <w:tc>
          <w:tcPr>
            <w:tcW w:type="dxa" w:w="2880"/>
          </w:tcPr>
          <w:p>
            <w:r>
              <w:rPr>
                <w:rFonts w:ascii="Times New Roman" w:hAnsi="Times New Roman" w:eastAsia="新細明體"/>
                <w:sz w:val="18"/>
              </w:rPr>
              <w:t>Industry</w:t>
            </w:r>
          </w:p>
        </w:tc>
        <w:tc>
          <w:tcPr>
            <w:tcW w:type="dxa" w:w="2880"/>
          </w:tcPr>
          <w:p>
            <w:r>
              <w:rPr>
                <w:rFonts w:ascii="Times New Roman" w:hAnsi="Times New Roman" w:eastAsia="新細明體"/>
                <w:sz w:val="18"/>
              </w:rPr>
              <w:t>SASB主產業（產業固定效果）</w:t>
            </w:r>
          </w:p>
        </w:tc>
        <w:tc>
          <w:tcPr>
            <w:tcW w:type="dxa" w:w="2880"/>
          </w:tcPr>
          <w:p>
            <w:r>
              <w:rPr>
                <w:rFonts w:ascii="Times New Roman" w:hAnsi="Times New Roman" w:eastAsia="新細明體"/>
                <w:sz w:val="18"/>
              </w:rPr>
              <w:t>固定效果</w:t>
            </w:r>
          </w:p>
        </w:tc>
      </w:tr>
      <w:tr>
        <w:tc>
          <w:tcPr>
            <w:tcW w:type="dxa" w:w="2880"/>
          </w:tcPr>
          <w:p>
            <w:r>
              <w:rPr>
                <w:rFonts w:ascii="Times New Roman" w:hAnsi="Times New Roman" w:eastAsia="新細明體"/>
                <w:sz w:val="18"/>
              </w:rPr>
              <w:t>Year</w:t>
            </w:r>
          </w:p>
        </w:tc>
        <w:tc>
          <w:tcPr>
            <w:tcW w:type="dxa" w:w="2880"/>
          </w:tcPr>
          <w:p>
            <w:r>
              <w:rPr>
                <w:rFonts w:ascii="Times New Roman" w:hAnsi="Times New Roman" w:eastAsia="新細明體"/>
                <w:sz w:val="18"/>
              </w:rPr>
              <w:t>西元年份（年份固定效果）</w:t>
            </w:r>
          </w:p>
        </w:tc>
        <w:tc>
          <w:tcPr>
            <w:tcW w:type="dxa" w:w="2880"/>
          </w:tcPr>
          <w:p>
            <w:r>
              <w:rPr>
                <w:rFonts w:ascii="Times New Roman" w:hAnsi="Times New Roman" w:eastAsia="新細明體"/>
                <w:sz w:val="18"/>
              </w:rPr>
              <w:t>固定效果</w:t>
            </w:r>
          </w:p>
        </w:tc>
      </w:tr>
    </w:tbl>
    <w:p/>
    <w:p>
      <w:pPr>
        <w:pStyle w:val="Heading2"/>
      </w:pPr>
      <w:r>
        <w:rPr>
          <w:rFonts w:ascii="Times New Roman" w:hAnsi="Times New Roman" w:eastAsia="新細明體"/>
        </w:rPr>
        <w:t>第三節 實證模型</w:t>
      </w:r>
    </w:p>
    <w:p>
      <w:pPr>
        <w:spacing w:line="360" w:lineRule="auto"/>
      </w:pPr>
      <w:r>
        <w:rPr>
          <w:rFonts w:ascii="Times New Roman" w:hAnsi="Times New Roman" w:eastAsia="新細明體"/>
          <w:b w:val="0"/>
          <w:sz w:val="24"/>
        </w:rPr>
        <w:t>本研究採 ABJ 成本黏性模型，以營業費用變動對營收變動之敏感度捕捉黏性，並加入水管理變數之三重交乘：</w:t>
      </w:r>
    </w:p>
    <w:p>
      <w:pPr>
        <w:spacing w:line="360" w:lineRule="auto"/>
      </w:pPr>
      <w:r>
        <w:rPr>
          <w:rFonts w:ascii="Times New Roman" w:hAnsi="Times New Roman" w:eastAsia="新細明體"/>
          <w:b w:val="0"/>
          <w:sz w:val="24"/>
        </w:rPr>
        <w:t>ΔLNSGA = β0 + β1·ΔLNREV + β2·(D×ΔLNREV) + β3·(Water_Var×D×ΔLNREV) + β4·Water_Var + Σ Controls×(D×ΔLNREV) + Σ Industry + Σ Year + ε</w:t>
      </w:r>
    </w:p>
    <w:p>
      <w:pPr>
        <w:spacing w:line="360" w:lineRule="auto"/>
        <w:ind w:firstLine="480"/>
      </w:pPr>
      <w:r>
        <w:rPr>
          <w:rFonts w:ascii="Times New Roman" w:hAnsi="Times New Roman" w:eastAsia="新細明體"/>
          <w:b w:val="0"/>
          <w:sz w:val="24"/>
        </w:rPr>
        <w:t>其中 D 為收入下降虛擬變數（當期營收低於前期為1）。β2 捕捉整體成本黏性（預期為負）；β3 為核心係數：主分析以水回收率代入，次分析以水揭露虛擬變數代入。估計採 OLS 併入產業與年份固定效果，並以公司層級叢集穩健標準誤。</w:t>
      </w:r>
    </w:p>
    <w:p>
      <w:pPr>
        <w:spacing w:line="360" w:lineRule="auto"/>
        <w:ind w:firstLine="480"/>
      </w:pPr>
      <w:r>
        <w:rPr>
          <w:rFonts w:ascii="Times New Roman" w:hAnsi="Times New Roman" w:eastAsia="新細明體"/>
          <w:b w:val="0"/>
          <w:sz w:val="24"/>
        </w:rPr>
        <w:t>此外，為檢驗時間落差效應，將 Water_Var 分別遞延一期（t-1）與兩期（t-2）代入；並依產業耗水程度將樣本分為高／低耗水兩組進行異質性檢定，比較各組 β3。</w:t>
      </w:r>
    </w:p>
    <w:p>
      <w:pPr>
        <w:pStyle w:val="Heading1"/>
      </w:pPr>
      <w:r>
        <w:rPr>
          <w:rFonts w:ascii="Times New Roman" w:hAnsi="Times New Roman" w:eastAsia="新細明體"/>
        </w:rPr>
        <w:t>第四章 實證結果</w:t>
      </w:r>
    </w:p>
    <w:p>
      <w:pPr>
        <w:pStyle w:val="Heading2"/>
      </w:pPr>
      <w:r>
        <w:rPr>
          <w:rFonts w:ascii="Times New Roman" w:hAnsi="Times New Roman" w:eastAsia="新細明體"/>
        </w:rPr>
        <w:t>第一節 敘述統計</w:t>
      </w:r>
    </w:p>
    <w:p>
      <w:pPr>
        <w:jc w:val="left"/>
      </w:pPr>
      <w:r>
        <w:rPr>
          <w:rFonts w:ascii="Times New Roman" w:hAnsi="Times New Roman" w:eastAsia="新細明體"/>
          <w:b/>
          <w:sz w:val="22"/>
        </w:rPr>
        <w:t>表4-1 主要變數敘述統計</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eastAsia="新細明體"/>
                <w:b/>
                <w:sz w:val="18"/>
              </w:rPr>
              <w:t>變數</w:t>
            </w:r>
          </w:p>
        </w:tc>
        <w:tc>
          <w:tcPr>
            <w:tcW w:type="dxa" w:w="1234"/>
          </w:tcPr>
          <w:p>
            <w:r>
              <w:rPr>
                <w:rFonts w:ascii="Times New Roman" w:hAnsi="Times New Roman" w:eastAsia="新細明體"/>
                <w:b/>
                <w:sz w:val="18"/>
              </w:rPr>
              <w:t>N</w:t>
            </w:r>
          </w:p>
        </w:tc>
        <w:tc>
          <w:tcPr>
            <w:tcW w:type="dxa" w:w="1234"/>
          </w:tcPr>
          <w:p>
            <w:r>
              <w:rPr>
                <w:rFonts w:ascii="Times New Roman" w:hAnsi="Times New Roman" w:eastAsia="新細明體"/>
                <w:b/>
                <w:sz w:val="18"/>
              </w:rPr>
              <w:t>平均數</w:t>
            </w:r>
          </w:p>
        </w:tc>
        <w:tc>
          <w:tcPr>
            <w:tcW w:type="dxa" w:w="1234"/>
          </w:tcPr>
          <w:p>
            <w:r>
              <w:rPr>
                <w:rFonts w:ascii="Times New Roman" w:hAnsi="Times New Roman" w:eastAsia="新細明體"/>
                <w:b/>
                <w:sz w:val="18"/>
              </w:rPr>
              <w:t>標準差</w:t>
            </w:r>
          </w:p>
        </w:tc>
        <w:tc>
          <w:tcPr>
            <w:tcW w:type="dxa" w:w="1234"/>
          </w:tcPr>
          <w:p>
            <w:r>
              <w:rPr>
                <w:rFonts w:ascii="Times New Roman" w:hAnsi="Times New Roman" w:eastAsia="新細明體"/>
                <w:b/>
                <w:sz w:val="18"/>
              </w:rPr>
              <w:t>最小值</w:t>
            </w:r>
          </w:p>
        </w:tc>
        <w:tc>
          <w:tcPr>
            <w:tcW w:type="dxa" w:w="1234"/>
          </w:tcPr>
          <w:p>
            <w:r>
              <w:rPr>
                <w:rFonts w:ascii="Times New Roman" w:hAnsi="Times New Roman" w:eastAsia="新細明體"/>
                <w:b/>
                <w:sz w:val="18"/>
              </w:rPr>
              <w:t>中位數</w:t>
            </w:r>
          </w:p>
        </w:tc>
        <w:tc>
          <w:tcPr>
            <w:tcW w:type="dxa" w:w="1234"/>
          </w:tcPr>
          <w:p>
            <w:r>
              <w:rPr>
                <w:rFonts w:ascii="Times New Roman" w:hAnsi="Times New Roman" w:eastAsia="新細明體"/>
                <w:b/>
                <w:sz w:val="18"/>
              </w:rPr>
              <w:t>最大值</w:t>
            </w:r>
          </w:p>
        </w:tc>
      </w:tr>
      <w:tr>
        <w:tc>
          <w:tcPr>
            <w:tcW w:type="dxa" w:w="1234"/>
          </w:tcPr>
          <w:p>
            <w:r>
              <w:rPr>
                <w:rFonts w:ascii="Times New Roman" w:hAnsi="Times New Roman" w:eastAsia="新細明體"/>
                <w:sz w:val="18"/>
              </w:rPr>
              <w:t>Y_dLNSGA</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0.0315</w:t>
            </w:r>
          </w:p>
        </w:tc>
        <w:tc>
          <w:tcPr>
            <w:tcW w:type="dxa" w:w="1234"/>
          </w:tcPr>
          <w:p>
            <w:r>
              <w:rPr>
                <w:rFonts w:ascii="Times New Roman" w:hAnsi="Times New Roman" w:eastAsia="新細明體"/>
                <w:sz w:val="18"/>
              </w:rPr>
              <w:t>0.1943</w:t>
            </w:r>
          </w:p>
        </w:tc>
        <w:tc>
          <w:tcPr>
            <w:tcW w:type="dxa" w:w="1234"/>
          </w:tcPr>
          <w:p>
            <w:r>
              <w:rPr>
                <w:rFonts w:ascii="Times New Roman" w:hAnsi="Times New Roman" w:eastAsia="新細明體"/>
                <w:sz w:val="18"/>
              </w:rPr>
              <w:t>-0.6466</w:t>
            </w:r>
          </w:p>
        </w:tc>
        <w:tc>
          <w:tcPr>
            <w:tcW w:type="dxa" w:w="1234"/>
          </w:tcPr>
          <w:p>
            <w:r>
              <w:rPr>
                <w:rFonts w:ascii="Times New Roman" w:hAnsi="Times New Roman" w:eastAsia="新細明體"/>
                <w:sz w:val="18"/>
              </w:rPr>
              <w:t>0.0299</w:t>
            </w:r>
          </w:p>
        </w:tc>
        <w:tc>
          <w:tcPr>
            <w:tcW w:type="dxa" w:w="1234"/>
          </w:tcPr>
          <w:p>
            <w:r>
              <w:rPr>
                <w:rFonts w:ascii="Times New Roman" w:hAnsi="Times New Roman" w:eastAsia="新細明體"/>
                <w:sz w:val="18"/>
              </w:rPr>
              <w:t>0.7375</w:t>
            </w:r>
          </w:p>
        </w:tc>
      </w:tr>
      <w:tr>
        <w:tc>
          <w:tcPr>
            <w:tcW w:type="dxa" w:w="1234"/>
          </w:tcPr>
          <w:p>
            <w:r>
              <w:rPr>
                <w:rFonts w:ascii="Times New Roman" w:hAnsi="Times New Roman" w:eastAsia="新細明體"/>
                <w:sz w:val="18"/>
              </w:rPr>
              <w:t>dLNREV</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0.0137</w:t>
            </w:r>
          </w:p>
        </w:tc>
        <w:tc>
          <w:tcPr>
            <w:tcW w:type="dxa" w:w="1234"/>
          </w:tcPr>
          <w:p>
            <w:r>
              <w:rPr>
                <w:rFonts w:ascii="Times New Roman" w:hAnsi="Times New Roman" w:eastAsia="新細明體"/>
                <w:sz w:val="18"/>
              </w:rPr>
              <w:t>0.3233</w:t>
            </w:r>
          </w:p>
        </w:tc>
        <w:tc>
          <w:tcPr>
            <w:tcW w:type="dxa" w:w="1234"/>
          </w:tcPr>
          <w:p>
            <w:r>
              <w:rPr>
                <w:rFonts w:ascii="Times New Roman" w:hAnsi="Times New Roman" w:eastAsia="新細明體"/>
                <w:sz w:val="18"/>
              </w:rPr>
              <w:t>-1.2337</w:t>
            </w:r>
          </w:p>
        </w:tc>
        <w:tc>
          <w:tcPr>
            <w:tcW w:type="dxa" w:w="1234"/>
          </w:tcPr>
          <w:p>
            <w:r>
              <w:rPr>
                <w:rFonts w:ascii="Times New Roman" w:hAnsi="Times New Roman" w:eastAsia="新細明體"/>
                <w:sz w:val="18"/>
              </w:rPr>
              <w:t>0.0208</w:t>
            </w:r>
          </w:p>
        </w:tc>
        <w:tc>
          <w:tcPr>
            <w:tcW w:type="dxa" w:w="1234"/>
          </w:tcPr>
          <w:p>
            <w:r>
              <w:rPr>
                <w:rFonts w:ascii="Times New Roman" w:hAnsi="Times New Roman" w:eastAsia="新細明體"/>
                <w:sz w:val="18"/>
              </w:rPr>
              <w:t>1.3080</w:t>
            </w:r>
          </w:p>
        </w:tc>
      </w:tr>
      <w:tr>
        <w:tc>
          <w:tcPr>
            <w:tcW w:type="dxa" w:w="1234"/>
          </w:tcPr>
          <w:p>
            <w:r>
              <w:rPr>
                <w:rFonts w:ascii="Times New Roman" w:hAnsi="Times New Roman" w:eastAsia="新細明體"/>
                <w:sz w:val="18"/>
              </w:rPr>
              <w:t>D</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0.4489</w:t>
            </w:r>
          </w:p>
        </w:tc>
        <w:tc>
          <w:tcPr>
            <w:tcW w:type="dxa" w:w="1234"/>
          </w:tcPr>
          <w:p>
            <w:r>
              <w:rPr>
                <w:rFonts w:ascii="Times New Roman" w:hAnsi="Times New Roman" w:eastAsia="新細明體"/>
                <w:sz w:val="18"/>
              </w:rPr>
              <w:t>0.4974</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1.0000</w:t>
            </w:r>
          </w:p>
        </w:tc>
      </w:tr>
      <w:tr>
        <w:tc>
          <w:tcPr>
            <w:tcW w:type="dxa" w:w="1234"/>
          </w:tcPr>
          <w:p>
            <w:r>
              <w:rPr>
                <w:rFonts w:ascii="Times New Roman" w:hAnsi="Times New Roman" w:eastAsia="新細明體"/>
                <w:sz w:val="18"/>
              </w:rPr>
              <w:t>Water_Rate</w:t>
            </w:r>
          </w:p>
        </w:tc>
        <w:tc>
          <w:tcPr>
            <w:tcW w:type="dxa" w:w="1234"/>
          </w:tcPr>
          <w:p>
            <w:r>
              <w:rPr>
                <w:rFonts w:ascii="Times New Roman" w:hAnsi="Times New Roman" w:eastAsia="新細明體"/>
                <w:sz w:val="18"/>
              </w:rPr>
              <w:t>1,039</w:t>
            </w:r>
          </w:p>
        </w:tc>
        <w:tc>
          <w:tcPr>
            <w:tcW w:type="dxa" w:w="1234"/>
          </w:tcPr>
          <w:p>
            <w:r>
              <w:rPr>
                <w:rFonts w:ascii="Times New Roman" w:hAnsi="Times New Roman" w:eastAsia="新細明體"/>
                <w:sz w:val="18"/>
              </w:rPr>
              <w:t>35.0842</w:t>
            </w:r>
          </w:p>
        </w:tc>
        <w:tc>
          <w:tcPr>
            <w:tcW w:type="dxa" w:w="1234"/>
          </w:tcPr>
          <w:p>
            <w:r>
              <w:rPr>
                <w:rFonts w:ascii="Times New Roman" w:hAnsi="Times New Roman" w:eastAsia="新細明體"/>
                <w:sz w:val="18"/>
              </w:rPr>
              <w:t>31.6708</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23.3000</w:t>
            </w:r>
          </w:p>
        </w:tc>
        <w:tc>
          <w:tcPr>
            <w:tcW w:type="dxa" w:w="1234"/>
          </w:tcPr>
          <w:p>
            <w:r>
              <w:rPr>
                <w:rFonts w:ascii="Times New Roman" w:hAnsi="Times New Roman" w:eastAsia="新細明體"/>
                <w:sz w:val="18"/>
              </w:rPr>
              <w:t>99.8638</w:t>
            </w:r>
          </w:p>
        </w:tc>
      </w:tr>
      <w:tr>
        <w:tc>
          <w:tcPr>
            <w:tcW w:type="dxa" w:w="1234"/>
          </w:tcPr>
          <w:p>
            <w:r>
              <w:rPr>
                <w:rFonts w:ascii="Times New Roman" w:hAnsi="Times New Roman" w:eastAsia="新細明體"/>
                <w:sz w:val="18"/>
              </w:rPr>
              <w:t>Water_Disc</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0.1118</w:t>
            </w:r>
          </w:p>
        </w:tc>
        <w:tc>
          <w:tcPr>
            <w:tcW w:type="dxa" w:w="1234"/>
          </w:tcPr>
          <w:p>
            <w:r>
              <w:rPr>
                <w:rFonts w:ascii="Times New Roman" w:hAnsi="Times New Roman" w:eastAsia="新細明體"/>
                <w:sz w:val="18"/>
              </w:rPr>
              <w:t>0.3151</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1.0000</w:t>
            </w:r>
          </w:p>
        </w:tc>
      </w:tr>
      <w:tr>
        <w:tc>
          <w:tcPr>
            <w:tcW w:type="dxa" w:w="1234"/>
          </w:tcPr>
          <w:p>
            <w:r>
              <w:rPr>
                <w:rFonts w:ascii="Times New Roman" w:hAnsi="Times New Roman" w:eastAsia="新細明體"/>
                <w:sz w:val="18"/>
              </w:rPr>
              <w:t>Size</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15.4202</w:t>
            </w:r>
          </w:p>
        </w:tc>
        <w:tc>
          <w:tcPr>
            <w:tcW w:type="dxa" w:w="1234"/>
          </w:tcPr>
          <w:p>
            <w:r>
              <w:rPr>
                <w:rFonts w:ascii="Times New Roman" w:hAnsi="Times New Roman" w:eastAsia="新細明體"/>
                <w:sz w:val="18"/>
              </w:rPr>
              <w:t>1.4638</w:t>
            </w:r>
          </w:p>
        </w:tc>
        <w:tc>
          <w:tcPr>
            <w:tcW w:type="dxa" w:w="1234"/>
          </w:tcPr>
          <w:p>
            <w:r>
              <w:rPr>
                <w:rFonts w:ascii="Times New Roman" w:hAnsi="Times New Roman" w:eastAsia="新細明體"/>
                <w:sz w:val="18"/>
              </w:rPr>
              <w:t>12.0148</w:t>
            </w:r>
          </w:p>
        </w:tc>
        <w:tc>
          <w:tcPr>
            <w:tcW w:type="dxa" w:w="1234"/>
          </w:tcPr>
          <w:p>
            <w:r>
              <w:rPr>
                <w:rFonts w:ascii="Times New Roman" w:hAnsi="Times New Roman" w:eastAsia="新細明體"/>
                <w:sz w:val="18"/>
              </w:rPr>
              <w:t>15.2476</w:t>
            </w:r>
          </w:p>
        </w:tc>
        <w:tc>
          <w:tcPr>
            <w:tcW w:type="dxa" w:w="1234"/>
          </w:tcPr>
          <w:p>
            <w:r>
              <w:rPr>
                <w:rFonts w:ascii="Times New Roman" w:hAnsi="Times New Roman" w:eastAsia="新細明體"/>
                <w:sz w:val="18"/>
              </w:rPr>
              <w:t>20.6463</w:t>
            </w:r>
          </w:p>
        </w:tc>
      </w:tr>
      <w:tr>
        <w:tc>
          <w:tcPr>
            <w:tcW w:type="dxa" w:w="1234"/>
          </w:tcPr>
          <w:p>
            <w:r>
              <w:rPr>
                <w:rFonts w:ascii="Times New Roman" w:hAnsi="Times New Roman" w:eastAsia="新細明體"/>
                <w:sz w:val="18"/>
              </w:rPr>
              <w:t>AI</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3.1067</w:t>
            </w:r>
          </w:p>
        </w:tc>
        <w:tc>
          <w:tcPr>
            <w:tcW w:type="dxa" w:w="1234"/>
          </w:tcPr>
          <w:p>
            <w:r>
              <w:rPr>
                <w:rFonts w:ascii="Times New Roman" w:hAnsi="Times New Roman" w:eastAsia="新細明體"/>
                <w:sz w:val="18"/>
              </w:rPr>
              <w:t>6.8015</w:t>
            </w:r>
          </w:p>
        </w:tc>
        <w:tc>
          <w:tcPr>
            <w:tcW w:type="dxa" w:w="1234"/>
          </w:tcPr>
          <w:p>
            <w:r>
              <w:rPr>
                <w:rFonts w:ascii="Times New Roman" w:hAnsi="Times New Roman" w:eastAsia="新細明體"/>
                <w:sz w:val="18"/>
              </w:rPr>
              <w:t>0.3325</w:t>
            </w:r>
          </w:p>
        </w:tc>
        <w:tc>
          <w:tcPr>
            <w:tcW w:type="dxa" w:w="1234"/>
          </w:tcPr>
          <w:p>
            <w:r>
              <w:rPr>
                <w:rFonts w:ascii="Times New Roman" w:hAnsi="Times New Roman" w:eastAsia="新細明體"/>
                <w:sz w:val="18"/>
              </w:rPr>
              <w:t>1.5004</w:t>
            </w:r>
          </w:p>
        </w:tc>
        <w:tc>
          <w:tcPr>
            <w:tcW w:type="dxa" w:w="1234"/>
          </w:tcPr>
          <w:p>
            <w:r>
              <w:rPr>
                <w:rFonts w:ascii="Times New Roman" w:hAnsi="Times New Roman" w:eastAsia="新細明體"/>
                <w:sz w:val="18"/>
              </w:rPr>
              <w:t>53.0478</w:t>
            </w:r>
          </w:p>
        </w:tc>
      </w:tr>
      <w:tr>
        <w:tc>
          <w:tcPr>
            <w:tcW w:type="dxa" w:w="1234"/>
          </w:tcPr>
          <w:p>
            <w:r>
              <w:rPr>
                <w:rFonts w:ascii="Times New Roman" w:hAnsi="Times New Roman" w:eastAsia="新細明體"/>
                <w:sz w:val="18"/>
              </w:rPr>
              <w:t>EI</w:t>
            </w:r>
          </w:p>
        </w:tc>
        <w:tc>
          <w:tcPr>
            <w:tcW w:type="dxa" w:w="1234"/>
          </w:tcPr>
          <w:p>
            <w:r>
              <w:rPr>
                <w:rFonts w:ascii="Times New Roman" w:hAnsi="Times New Roman" w:eastAsia="新細明體"/>
                <w:sz w:val="18"/>
              </w:rPr>
              <w:t>17,105</w:t>
            </w:r>
          </w:p>
        </w:tc>
        <w:tc>
          <w:tcPr>
            <w:tcW w:type="dxa" w:w="1234"/>
          </w:tcPr>
          <w:p>
            <w:r>
              <w:rPr>
                <w:rFonts w:ascii="Times New Roman" w:hAnsi="Times New Roman" w:eastAsia="新細明體"/>
                <w:sz w:val="18"/>
              </w:rPr>
              <w:t>0.0002</w:t>
            </w:r>
          </w:p>
        </w:tc>
        <w:tc>
          <w:tcPr>
            <w:tcW w:type="dxa" w:w="1234"/>
          </w:tcPr>
          <w:p>
            <w:r>
              <w:rPr>
                <w:rFonts w:ascii="Times New Roman" w:hAnsi="Times New Roman" w:eastAsia="新細明體"/>
                <w:sz w:val="18"/>
              </w:rPr>
              <w:t>0.0002</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0.0001</w:t>
            </w:r>
          </w:p>
        </w:tc>
        <w:tc>
          <w:tcPr>
            <w:tcW w:type="dxa" w:w="1234"/>
          </w:tcPr>
          <w:p>
            <w:r>
              <w:rPr>
                <w:rFonts w:ascii="Times New Roman" w:hAnsi="Times New Roman" w:eastAsia="新細明體"/>
                <w:sz w:val="18"/>
              </w:rPr>
              <w:t>0.0015</w:t>
            </w:r>
          </w:p>
        </w:tc>
      </w:tr>
      <w:tr>
        <w:tc>
          <w:tcPr>
            <w:tcW w:type="dxa" w:w="1234"/>
          </w:tcPr>
          <w:p>
            <w:r>
              <w:rPr>
                <w:rFonts w:ascii="Times New Roman" w:hAnsi="Times New Roman" w:eastAsia="新細明體"/>
                <w:sz w:val="18"/>
              </w:rPr>
              <w:t>ROA</w:t>
            </w:r>
          </w:p>
        </w:tc>
        <w:tc>
          <w:tcPr>
            <w:tcW w:type="dxa" w:w="1234"/>
          </w:tcPr>
          <w:p>
            <w:r>
              <w:rPr>
                <w:rFonts w:ascii="Times New Roman" w:hAnsi="Times New Roman" w:eastAsia="新細明體"/>
                <w:sz w:val="18"/>
              </w:rPr>
              <w:t>18,130</w:t>
            </w:r>
          </w:p>
        </w:tc>
        <w:tc>
          <w:tcPr>
            <w:tcW w:type="dxa" w:w="1234"/>
          </w:tcPr>
          <w:p>
            <w:r>
              <w:rPr>
                <w:rFonts w:ascii="Times New Roman" w:hAnsi="Times New Roman" w:eastAsia="新細明體"/>
                <w:sz w:val="18"/>
              </w:rPr>
              <w:t>0.8227</w:t>
            </w:r>
          </w:p>
        </w:tc>
        <w:tc>
          <w:tcPr>
            <w:tcW w:type="dxa" w:w="1234"/>
          </w:tcPr>
          <w:p>
            <w:r>
              <w:rPr>
                <w:rFonts w:ascii="Times New Roman" w:hAnsi="Times New Roman" w:eastAsia="新細明體"/>
                <w:sz w:val="18"/>
              </w:rPr>
              <w:t>3.2517</w:t>
            </w:r>
          </w:p>
        </w:tc>
        <w:tc>
          <w:tcPr>
            <w:tcW w:type="dxa" w:w="1234"/>
          </w:tcPr>
          <w:p>
            <w:r>
              <w:rPr>
                <w:rFonts w:ascii="Times New Roman" w:hAnsi="Times New Roman" w:eastAsia="新細明體"/>
                <w:sz w:val="18"/>
              </w:rPr>
              <w:t>-22.3660</w:t>
            </w:r>
          </w:p>
        </w:tc>
        <w:tc>
          <w:tcPr>
            <w:tcW w:type="dxa" w:w="1234"/>
          </w:tcPr>
          <w:p>
            <w:r>
              <w:rPr>
                <w:rFonts w:ascii="Times New Roman" w:hAnsi="Times New Roman" w:eastAsia="新細明體"/>
                <w:sz w:val="18"/>
              </w:rPr>
              <w:t>1.0200</w:t>
            </w:r>
          </w:p>
        </w:tc>
        <w:tc>
          <w:tcPr>
            <w:tcW w:type="dxa" w:w="1234"/>
          </w:tcPr>
          <w:p>
            <w:r>
              <w:rPr>
                <w:rFonts w:ascii="Times New Roman" w:hAnsi="Times New Roman" w:eastAsia="新細明體"/>
                <w:sz w:val="18"/>
              </w:rPr>
              <w:t>14.2100</w:t>
            </w:r>
          </w:p>
        </w:tc>
      </w:tr>
      <w:tr>
        <w:tc>
          <w:tcPr>
            <w:tcW w:type="dxa" w:w="1234"/>
          </w:tcPr>
          <w:p>
            <w:r>
              <w:rPr>
                <w:rFonts w:ascii="Times New Roman" w:hAnsi="Times New Roman" w:eastAsia="新細明體"/>
                <w:sz w:val="18"/>
              </w:rPr>
              <w:t>Lev</w:t>
            </w:r>
          </w:p>
        </w:tc>
        <w:tc>
          <w:tcPr>
            <w:tcW w:type="dxa" w:w="1234"/>
          </w:tcPr>
          <w:p>
            <w:r>
              <w:rPr>
                <w:rFonts w:ascii="Times New Roman" w:hAnsi="Times New Roman" w:eastAsia="新細明體"/>
                <w:sz w:val="18"/>
              </w:rPr>
              <w:t>18,137</w:t>
            </w:r>
          </w:p>
        </w:tc>
        <w:tc>
          <w:tcPr>
            <w:tcW w:type="dxa" w:w="1234"/>
          </w:tcPr>
          <w:p>
            <w:r>
              <w:rPr>
                <w:rFonts w:ascii="Times New Roman" w:hAnsi="Times New Roman" w:eastAsia="新細明體"/>
                <w:sz w:val="18"/>
              </w:rPr>
              <w:t>41.4062</w:t>
            </w:r>
          </w:p>
        </w:tc>
        <w:tc>
          <w:tcPr>
            <w:tcW w:type="dxa" w:w="1234"/>
          </w:tcPr>
          <w:p>
            <w:r>
              <w:rPr>
                <w:rFonts w:ascii="Times New Roman" w:hAnsi="Times New Roman" w:eastAsia="新細明體"/>
                <w:sz w:val="18"/>
              </w:rPr>
              <w:t>18.5445</w:t>
            </w:r>
          </w:p>
        </w:tc>
        <w:tc>
          <w:tcPr>
            <w:tcW w:type="dxa" w:w="1234"/>
          </w:tcPr>
          <w:p>
            <w:r>
              <w:rPr>
                <w:rFonts w:ascii="Times New Roman" w:hAnsi="Times New Roman" w:eastAsia="新細明體"/>
                <w:sz w:val="18"/>
              </w:rPr>
              <w:t>4.4000</w:t>
            </w:r>
          </w:p>
        </w:tc>
        <w:tc>
          <w:tcPr>
            <w:tcW w:type="dxa" w:w="1234"/>
          </w:tcPr>
          <w:p>
            <w:r>
              <w:rPr>
                <w:rFonts w:ascii="Times New Roman" w:hAnsi="Times New Roman" w:eastAsia="新細明體"/>
                <w:sz w:val="18"/>
              </w:rPr>
              <w:t>41.4400</w:t>
            </w:r>
          </w:p>
        </w:tc>
        <w:tc>
          <w:tcPr>
            <w:tcW w:type="dxa" w:w="1234"/>
          </w:tcPr>
          <w:p>
            <w:r>
              <w:rPr>
                <w:rFonts w:ascii="Times New Roman" w:hAnsi="Times New Roman" w:eastAsia="新細明體"/>
                <w:sz w:val="18"/>
              </w:rPr>
              <w:t>93.3838</w:t>
            </w:r>
          </w:p>
        </w:tc>
      </w:tr>
      <w:tr>
        <w:tc>
          <w:tcPr>
            <w:tcW w:type="dxa" w:w="1234"/>
          </w:tcPr>
          <w:p>
            <w:r>
              <w:rPr>
                <w:rFonts w:ascii="Times New Roman" w:hAnsi="Times New Roman" w:eastAsia="新細明體"/>
                <w:sz w:val="18"/>
              </w:rPr>
              <w:t>Decrease</w:t>
            </w:r>
          </w:p>
        </w:tc>
        <w:tc>
          <w:tcPr>
            <w:tcW w:type="dxa" w:w="1234"/>
          </w:tcPr>
          <w:p>
            <w:r>
              <w:rPr>
                <w:rFonts w:ascii="Times New Roman" w:hAnsi="Times New Roman" w:eastAsia="新細明體"/>
                <w:sz w:val="18"/>
              </w:rPr>
              <w:t>17,620</w:t>
            </w:r>
          </w:p>
        </w:tc>
        <w:tc>
          <w:tcPr>
            <w:tcW w:type="dxa" w:w="1234"/>
          </w:tcPr>
          <w:p>
            <w:r>
              <w:rPr>
                <w:rFonts w:ascii="Times New Roman" w:hAnsi="Times New Roman" w:eastAsia="新細明體"/>
                <w:sz w:val="18"/>
              </w:rPr>
              <w:t>0.2322</w:t>
            </w:r>
          </w:p>
        </w:tc>
        <w:tc>
          <w:tcPr>
            <w:tcW w:type="dxa" w:w="1234"/>
          </w:tcPr>
          <w:p>
            <w:r>
              <w:rPr>
                <w:rFonts w:ascii="Times New Roman" w:hAnsi="Times New Roman" w:eastAsia="新細明體"/>
                <w:sz w:val="18"/>
              </w:rPr>
              <w:t>0.4222</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0.0000</w:t>
            </w:r>
          </w:p>
        </w:tc>
        <w:tc>
          <w:tcPr>
            <w:tcW w:type="dxa" w:w="1234"/>
          </w:tcPr>
          <w:p>
            <w:r>
              <w:rPr>
                <w:rFonts w:ascii="Times New Roman" w:hAnsi="Times New Roman" w:eastAsia="新細明體"/>
                <w:sz w:val="18"/>
              </w:rPr>
              <w:t>1.0000</w:t>
            </w:r>
          </w:p>
        </w:tc>
      </w:tr>
    </w:tbl>
    <w:p/>
    <w:p>
      <w:pPr>
        <w:pStyle w:val="Heading2"/>
      </w:pPr>
      <w:r>
        <w:rPr>
          <w:rFonts w:ascii="Times New Roman" w:hAnsi="Times New Roman" w:eastAsia="新細明體"/>
        </w:rPr>
        <w:t>第二節 相關係數矩陣</w:t>
      </w:r>
    </w:p>
    <w:p>
      <w:pPr>
        <w:jc w:val="left"/>
      </w:pPr>
      <w:r>
        <w:rPr>
          <w:rFonts w:ascii="Times New Roman" w:hAnsi="Times New Roman" w:eastAsia="新細明體"/>
          <w:b/>
          <w:sz w:val="22"/>
        </w:rPr>
        <w:t>表4-2 主要連續變數相關係數矩陣</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rFonts w:ascii="Times New Roman" w:hAnsi="Times New Roman" w:eastAsia="新細明體"/>
                <w:b/>
                <w:sz w:val="18"/>
              </w:rPr>
              <w:t>變數</w:t>
            </w:r>
          </w:p>
        </w:tc>
        <w:tc>
          <w:tcPr>
            <w:tcW w:type="dxa" w:w="960"/>
          </w:tcPr>
          <w:p>
            <w:r>
              <w:rPr>
                <w:rFonts w:ascii="Times New Roman" w:hAnsi="Times New Roman" w:eastAsia="新細明體"/>
                <w:b/>
                <w:sz w:val="18"/>
              </w:rPr>
              <w:t>Y_dLNSGA</w:t>
            </w:r>
          </w:p>
        </w:tc>
        <w:tc>
          <w:tcPr>
            <w:tcW w:type="dxa" w:w="960"/>
          </w:tcPr>
          <w:p>
            <w:r>
              <w:rPr>
                <w:rFonts w:ascii="Times New Roman" w:hAnsi="Times New Roman" w:eastAsia="新細明體"/>
                <w:b/>
                <w:sz w:val="18"/>
              </w:rPr>
              <w:t>dLNREV</w:t>
            </w:r>
          </w:p>
        </w:tc>
        <w:tc>
          <w:tcPr>
            <w:tcW w:type="dxa" w:w="960"/>
          </w:tcPr>
          <w:p>
            <w:r>
              <w:rPr>
                <w:rFonts w:ascii="Times New Roman" w:hAnsi="Times New Roman" w:eastAsia="新細明體"/>
                <w:b/>
                <w:sz w:val="18"/>
              </w:rPr>
              <w:t>Water_Rate</w:t>
            </w:r>
          </w:p>
        </w:tc>
        <w:tc>
          <w:tcPr>
            <w:tcW w:type="dxa" w:w="960"/>
          </w:tcPr>
          <w:p>
            <w:r>
              <w:rPr>
                <w:rFonts w:ascii="Times New Roman" w:hAnsi="Times New Roman" w:eastAsia="新細明體"/>
                <w:b/>
                <w:sz w:val="18"/>
              </w:rPr>
              <w:t>Size</w:t>
            </w:r>
          </w:p>
        </w:tc>
        <w:tc>
          <w:tcPr>
            <w:tcW w:type="dxa" w:w="960"/>
          </w:tcPr>
          <w:p>
            <w:r>
              <w:rPr>
                <w:rFonts w:ascii="Times New Roman" w:hAnsi="Times New Roman" w:eastAsia="新細明體"/>
                <w:b/>
                <w:sz w:val="18"/>
              </w:rPr>
              <w:t>AI</w:t>
            </w:r>
          </w:p>
        </w:tc>
        <w:tc>
          <w:tcPr>
            <w:tcW w:type="dxa" w:w="960"/>
          </w:tcPr>
          <w:p>
            <w:r>
              <w:rPr>
                <w:rFonts w:ascii="Times New Roman" w:hAnsi="Times New Roman" w:eastAsia="新細明體"/>
                <w:b/>
                <w:sz w:val="18"/>
              </w:rPr>
              <w:t>EI</w:t>
            </w:r>
          </w:p>
        </w:tc>
        <w:tc>
          <w:tcPr>
            <w:tcW w:type="dxa" w:w="960"/>
          </w:tcPr>
          <w:p>
            <w:r>
              <w:rPr>
                <w:rFonts w:ascii="Times New Roman" w:hAnsi="Times New Roman" w:eastAsia="新細明體"/>
                <w:b/>
                <w:sz w:val="18"/>
              </w:rPr>
              <w:t>ROA</w:t>
            </w:r>
          </w:p>
        </w:tc>
        <w:tc>
          <w:tcPr>
            <w:tcW w:type="dxa" w:w="960"/>
          </w:tcPr>
          <w:p>
            <w:r>
              <w:rPr>
                <w:rFonts w:ascii="Times New Roman" w:hAnsi="Times New Roman" w:eastAsia="新細明體"/>
                <w:b/>
                <w:sz w:val="18"/>
              </w:rPr>
              <w:t>Lev</w:t>
            </w:r>
          </w:p>
        </w:tc>
      </w:tr>
      <w:tr>
        <w:tc>
          <w:tcPr>
            <w:tcW w:type="dxa" w:w="960"/>
          </w:tcPr>
          <w:p>
            <w:r>
              <w:rPr>
                <w:rFonts w:ascii="Times New Roman" w:hAnsi="Times New Roman" w:eastAsia="新細明體"/>
                <w:sz w:val="18"/>
              </w:rPr>
              <w:t>Y_dLNSGA</w:t>
            </w:r>
          </w:p>
        </w:tc>
        <w:tc>
          <w:tcPr>
            <w:tcW w:type="dxa" w:w="960"/>
          </w:tcPr>
          <w:p>
            <w:r>
              <w:rPr>
                <w:rFonts w:ascii="Times New Roman" w:hAnsi="Times New Roman" w:eastAsia="新細明體"/>
                <w:sz w:val="18"/>
              </w:rPr>
              <w:t>1.000</w:t>
            </w:r>
          </w:p>
        </w:tc>
        <w:tc>
          <w:tcPr>
            <w:tcW w:type="dxa" w:w="960"/>
          </w:tcPr>
          <w:p>
            <w:r>
              <w:rPr>
                <w:rFonts w:ascii="Times New Roman" w:hAnsi="Times New Roman" w:eastAsia="新細明體"/>
                <w:sz w:val="18"/>
              </w:rPr>
              <w:t>0.534</w:t>
            </w:r>
          </w:p>
        </w:tc>
        <w:tc>
          <w:tcPr>
            <w:tcW w:type="dxa" w:w="960"/>
          </w:tcPr>
          <w:p>
            <w:r>
              <w:rPr>
                <w:rFonts w:ascii="Times New Roman" w:hAnsi="Times New Roman" w:eastAsia="新細明體"/>
                <w:sz w:val="18"/>
              </w:rPr>
              <w:t>-0.040</w:t>
            </w:r>
          </w:p>
        </w:tc>
        <w:tc>
          <w:tcPr>
            <w:tcW w:type="dxa" w:w="960"/>
          </w:tcPr>
          <w:p>
            <w:r>
              <w:rPr>
                <w:rFonts w:ascii="Times New Roman" w:hAnsi="Times New Roman" w:eastAsia="新細明體"/>
                <w:sz w:val="18"/>
              </w:rPr>
              <w:t>0.089</w:t>
            </w:r>
          </w:p>
        </w:tc>
        <w:tc>
          <w:tcPr>
            <w:tcW w:type="dxa" w:w="960"/>
          </w:tcPr>
          <w:p>
            <w:r>
              <w:rPr>
                <w:rFonts w:ascii="Times New Roman" w:hAnsi="Times New Roman" w:eastAsia="新細明體"/>
                <w:sz w:val="18"/>
              </w:rPr>
              <w:t>-0.065</w:t>
            </w:r>
          </w:p>
        </w:tc>
        <w:tc>
          <w:tcPr>
            <w:tcW w:type="dxa" w:w="960"/>
          </w:tcPr>
          <w:p>
            <w:r>
              <w:rPr>
                <w:rFonts w:ascii="Times New Roman" w:hAnsi="Times New Roman" w:eastAsia="新細明體"/>
                <w:sz w:val="18"/>
              </w:rPr>
              <w:t>-0.105</w:t>
            </w:r>
          </w:p>
        </w:tc>
        <w:tc>
          <w:tcPr>
            <w:tcW w:type="dxa" w:w="960"/>
          </w:tcPr>
          <w:p>
            <w:r>
              <w:rPr>
                <w:rFonts w:ascii="Times New Roman" w:hAnsi="Times New Roman" w:eastAsia="新細明體"/>
                <w:sz w:val="18"/>
              </w:rPr>
              <w:t>0.151</w:t>
            </w:r>
          </w:p>
        </w:tc>
        <w:tc>
          <w:tcPr>
            <w:tcW w:type="dxa" w:w="960"/>
          </w:tcPr>
          <w:p>
            <w:r>
              <w:rPr>
                <w:rFonts w:ascii="Times New Roman" w:hAnsi="Times New Roman" w:eastAsia="新細明體"/>
                <w:sz w:val="18"/>
              </w:rPr>
              <w:t>0.037</w:t>
            </w:r>
          </w:p>
        </w:tc>
      </w:tr>
      <w:tr>
        <w:tc>
          <w:tcPr>
            <w:tcW w:type="dxa" w:w="960"/>
          </w:tcPr>
          <w:p>
            <w:r>
              <w:rPr>
                <w:rFonts w:ascii="Times New Roman" w:hAnsi="Times New Roman" w:eastAsia="新細明體"/>
                <w:sz w:val="18"/>
              </w:rPr>
              <w:t>dLNREV</w:t>
            </w:r>
          </w:p>
        </w:tc>
        <w:tc>
          <w:tcPr>
            <w:tcW w:type="dxa" w:w="960"/>
          </w:tcPr>
          <w:p>
            <w:r>
              <w:rPr>
                <w:rFonts w:ascii="Times New Roman" w:hAnsi="Times New Roman" w:eastAsia="新細明體"/>
                <w:sz w:val="18"/>
              </w:rPr>
              <w:t>0.534</w:t>
            </w:r>
          </w:p>
        </w:tc>
        <w:tc>
          <w:tcPr>
            <w:tcW w:type="dxa" w:w="960"/>
          </w:tcPr>
          <w:p>
            <w:r>
              <w:rPr>
                <w:rFonts w:ascii="Times New Roman" w:hAnsi="Times New Roman" w:eastAsia="新細明體"/>
                <w:sz w:val="18"/>
              </w:rPr>
              <w:t>1.000</w:t>
            </w:r>
          </w:p>
        </w:tc>
        <w:tc>
          <w:tcPr>
            <w:tcW w:type="dxa" w:w="960"/>
          </w:tcPr>
          <w:p>
            <w:r>
              <w:rPr>
                <w:rFonts w:ascii="Times New Roman" w:hAnsi="Times New Roman" w:eastAsia="新細明體"/>
                <w:sz w:val="18"/>
              </w:rPr>
              <w:t>-0.008</w:t>
            </w:r>
          </w:p>
        </w:tc>
        <w:tc>
          <w:tcPr>
            <w:tcW w:type="dxa" w:w="960"/>
          </w:tcPr>
          <w:p>
            <w:r>
              <w:rPr>
                <w:rFonts w:ascii="Times New Roman" w:hAnsi="Times New Roman" w:eastAsia="新細明體"/>
                <w:sz w:val="18"/>
              </w:rPr>
              <w:t>0.075</w:t>
            </w:r>
          </w:p>
        </w:tc>
        <w:tc>
          <w:tcPr>
            <w:tcW w:type="dxa" w:w="960"/>
          </w:tcPr>
          <w:p>
            <w:r>
              <w:rPr>
                <w:rFonts w:ascii="Times New Roman" w:hAnsi="Times New Roman" w:eastAsia="新細明體"/>
                <w:sz w:val="18"/>
              </w:rPr>
              <w:t>-0.159</w:t>
            </w:r>
          </w:p>
        </w:tc>
        <w:tc>
          <w:tcPr>
            <w:tcW w:type="dxa" w:w="960"/>
          </w:tcPr>
          <w:p>
            <w:r>
              <w:rPr>
                <w:rFonts w:ascii="Times New Roman" w:hAnsi="Times New Roman" w:eastAsia="新細明體"/>
                <w:sz w:val="18"/>
              </w:rPr>
              <w:t>-0.189</w:t>
            </w:r>
          </w:p>
        </w:tc>
        <w:tc>
          <w:tcPr>
            <w:tcW w:type="dxa" w:w="960"/>
          </w:tcPr>
          <w:p>
            <w:r>
              <w:rPr>
                <w:rFonts w:ascii="Times New Roman" w:hAnsi="Times New Roman" w:eastAsia="新細明體"/>
                <w:sz w:val="18"/>
              </w:rPr>
              <w:t>0.253</w:t>
            </w:r>
          </w:p>
        </w:tc>
        <w:tc>
          <w:tcPr>
            <w:tcW w:type="dxa" w:w="960"/>
          </w:tcPr>
          <w:p>
            <w:r>
              <w:rPr>
                <w:rFonts w:ascii="Times New Roman" w:hAnsi="Times New Roman" w:eastAsia="新細明體"/>
                <w:sz w:val="18"/>
              </w:rPr>
              <w:t>0.057</w:t>
            </w:r>
          </w:p>
        </w:tc>
      </w:tr>
      <w:tr>
        <w:tc>
          <w:tcPr>
            <w:tcW w:type="dxa" w:w="960"/>
          </w:tcPr>
          <w:p>
            <w:r>
              <w:rPr>
                <w:rFonts w:ascii="Times New Roman" w:hAnsi="Times New Roman" w:eastAsia="新細明體"/>
                <w:sz w:val="18"/>
              </w:rPr>
              <w:t>Water_Rate</w:t>
            </w:r>
          </w:p>
        </w:tc>
        <w:tc>
          <w:tcPr>
            <w:tcW w:type="dxa" w:w="960"/>
          </w:tcPr>
          <w:p>
            <w:r>
              <w:rPr>
                <w:rFonts w:ascii="Times New Roman" w:hAnsi="Times New Roman" w:eastAsia="新細明體"/>
                <w:sz w:val="18"/>
              </w:rPr>
              <w:t>-0.040</w:t>
            </w:r>
          </w:p>
        </w:tc>
        <w:tc>
          <w:tcPr>
            <w:tcW w:type="dxa" w:w="960"/>
          </w:tcPr>
          <w:p>
            <w:r>
              <w:rPr>
                <w:rFonts w:ascii="Times New Roman" w:hAnsi="Times New Roman" w:eastAsia="新細明體"/>
                <w:sz w:val="18"/>
              </w:rPr>
              <w:t>-0.008</w:t>
            </w:r>
          </w:p>
        </w:tc>
        <w:tc>
          <w:tcPr>
            <w:tcW w:type="dxa" w:w="960"/>
          </w:tcPr>
          <w:p>
            <w:r>
              <w:rPr>
                <w:rFonts w:ascii="Times New Roman" w:hAnsi="Times New Roman" w:eastAsia="新細明體"/>
                <w:sz w:val="18"/>
              </w:rPr>
              <w:t>1.000</w:t>
            </w:r>
          </w:p>
        </w:tc>
        <w:tc>
          <w:tcPr>
            <w:tcW w:type="dxa" w:w="960"/>
          </w:tcPr>
          <w:p>
            <w:r>
              <w:rPr>
                <w:rFonts w:ascii="Times New Roman" w:hAnsi="Times New Roman" w:eastAsia="新細明體"/>
                <w:sz w:val="18"/>
              </w:rPr>
              <w:t>0.119</w:t>
            </w:r>
          </w:p>
        </w:tc>
        <w:tc>
          <w:tcPr>
            <w:tcW w:type="dxa" w:w="960"/>
          </w:tcPr>
          <w:p>
            <w:r>
              <w:rPr>
                <w:rFonts w:ascii="Times New Roman" w:hAnsi="Times New Roman" w:eastAsia="新細明體"/>
                <w:sz w:val="18"/>
              </w:rPr>
              <w:t>-0.021</w:t>
            </w:r>
          </w:p>
        </w:tc>
        <w:tc>
          <w:tcPr>
            <w:tcW w:type="dxa" w:w="960"/>
          </w:tcPr>
          <w:p>
            <w:r>
              <w:rPr>
                <w:rFonts w:ascii="Times New Roman" w:hAnsi="Times New Roman" w:eastAsia="新細明體"/>
                <w:sz w:val="18"/>
              </w:rPr>
              <w:t>-0.089</w:t>
            </w:r>
          </w:p>
        </w:tc>
        <w:tc>
          <w:tcPr>
            <w:tcW w:type="dxa" w:w="960"/>
          </w:tcPr>
          <w:p>
            <w:r>
              <w:rPr>
                <w:rFonts w:ascii="Times New Roman" w:hAnsi="Times New Roman" w:eastAsia="新細明體"/>
                <w:sz w:val="18"/>
              </w:rPr>
              <w:t>-0.017</w:t>
            </w:r>
          </w:p>
        </w:tc>
        <w:tc>
          <w:tcPr>
            <w:tcW w:type="dxa" w:w="960"/>
          </w:tcPr>
          <w:p>
            <w:r>
              <w:rPr>
                <w:rFonts w:ascii="Times New Roman" w:hAnsi="Times New Roman" w:eastAsia="新細明體"/>
                <w:sz w:val="18"/>
              </w:rPr>
              <w:t>-0.084</w:t>
            </w:r>
          </w:p>
        </w:tc>
      </w:tr>
      <w:tr>
        <w:tc>
          <w:tcPr>
            <w:tcW w:type="dxa" w:w="960"/>
          </w:tcPr>
          <w:p>
            <w:r>
              <w:rPr>
                <w:rFonts w:ascii="Times New Roman" w:hAnsi="Times New Roman" w:eastAsia="新細明體"/>
                <w:sz w:val="18"/>
              </w:rPr>
              <w:t>Size</w:t>
            </w:r>
          </w:p>
        </w:tc>
        <w:tc>
          <w:tcPr>
            <w:tcW w:type="dxa" w:w="960"/>
          </w:tcPr>
          <w:p>
            <w:r>
              <w:rPr>
                <w:rFonts w:ascii="Times New Roman" w:hAnsi="Times New Roman" w:eastAsia="新細明體"/>
                <w:sz w:val="18"/>
              </w:rPr>
              <w:t>0.089</w:t>
            </w:r>
          </w:p>
        </w:tc>
        <w:tc>
          <w:tcPr>
            <w:tcW w:type="dxa" w:w="960"/>
          </w:tcPr>
          <w:p>
            <w:r>
              <w:rPr>
                <w:rFonts w:ascii="Times New Roman" w:hAnsi="Times New Roman" w:eastAsia="新細明體"/>
                <w:sz w:val="18"/>
              </w:rPr>
              <w:t>0.075</w:t>
            </w:r>
          </w:p>
        </w:tc>
        <w:tc>
          <w:tcPr>
            <w:tcW w:type="dxa" w:w="960"/>
          </w:tcPr>
          <w:p>
            <w:r>
              <w:rPr>
                <w:rFonts w:ascii="Times New Roman" w:hAnsi="Times New Roman" w:eastAsia="新細明體"/>
                <w:sz w:val="18"/>
              </w:rPr>
              <w:t>0.119</w:t>
            </w:r>
          </w:p>
        </w:tc>
        <w:tc>
          <w:tcPr>
            <w:tcW w:type="dxa" w:w="960"/>
          </w:tcPr>
          <w:p>
            <w:r>
              <w:rPr>
                <w:rFonts w:ascii="Times New Roman" w:hAnsi="Times New Roman" w:eastAsia="新細明體"/>
                <w:sz w:val="18"/>
              </w:rPr>
              <w:t>1.000</w:t>
            </w:r>
          </w:p>
        </w:tc>
        <w:tc>
          <w:tcPr>
            <w:tcW w:type="dxa" w:w="960"/>
          </w:tcPr>
          <w:p>
            <w:r>
              <w:rPr>
                <w:rFonts w:ascii="Times New Roman" w:hAnsi="Times New Roman" w:eastAsia="新細明體"/>
                <w:sz w:val="18"/>
              </w:rPr>
              <w:t>-0.032</w:t>
            </w:r>
          </w:p>
        </w:tc>
        <w:tc>
          <w:tcPr>
            <w:tcW w:type="dxa" w:w="960"/>
          </w:tcPr>
          <w:p>
            <w:r>
              <w:rPr>
                <w:rFonts w:ascii="Times New Roman" w:hAnsi="Times New Roman" w:eastAsia="新細明體"/>
                <w:sz w:val="18"/>
              </w:rPr>
              <w:t>-0.373</w:t>
            </w:r>
          </w:p>
        </w:tc>
        <w:tc>
          <w:tcPr>
            <w:tcW w:type="dxa" w:w="960"/>
          </w:tcPr>
          <w:p>
            <w:r>
              <w:rPr>
                <w:rFonts w:ascii="Times New Roman" w:hAnsi="Times New Roman" w:eastAsia="新細明體"/>
                <w:sz w:val="18"/>
              </w:rPr>
              <w:t>0.183</w:t>
            </w:r>
          </w:p>
        </w:tc>
        <w:tc>
          <w:tcPr>
            <w:tcW w:type="dxa" w:w="960"/>
          </w:tcPr>
          <w:p>
            <w:r>
              <w:rPr>
                <w:rFonts w:ascii="Times New Roman" w:hAnsi="Times New Roman" w:eastAsia="新細明體"/>
                <w:sz w:val="18"/>
              </w:rPr>
              <w:t>0.309</w:t>
            </w:r>
          </w:p>
        </w:tc>
      </w:tr>
      <w:tr>
        <w:tc>
          <w:tcPr>
            <w:tcW w:type="dxa" w:w="960"/>
          </w:tcPr>
          <w:p>
            <w:r>
              <w:rPr>
                <w:rFonts w:ascii="Times New Roman" w:hAnsi="Times New Roman" w:eastAsia="新細明體"/>
                <w:sz w:val="18"/>
              </w:rPr>
              <w:t>AI</w:t>
            </w:r>
          </w:p>
        </w:tc>
        <w:tc>
          <w:tcPr>
            <w:tcW w:type="dxa" w:w="960"/>
          </w:tcPr>
          <w:p>
            <w:r>
              <w:rPr>
                <w:rFonts w:ascii="Times New Roman" w:hAnsi="Times New Roman" w:eastAsia="新細明體"/>
                <w:sz w:val="18"/>
              </w:rPr>
              <w:t>-0.065</w:t>
            </w:r>
          </w:p>
        </w:tc>
        <w:tc>
          <w:tcPr>
            <w:tcW w:type="dxa" w:w="960"/>
          </w:tcPr>
          <w:p>
            <w:r>
              <w:rPr>
                <w:rFonts w:ascii="Times New Roman" w:hAnsi="Times New Roman" w:eastAsia="新細明體"/>
                <w:sz w:val="18"/>
              </w:rPr>
              <w:t>-0.159</w:t>
            </w:r>
          </w:p>
        </w:tc>
        <w:tc>
          <w:tcPr>
            <w:tcW w:type="dxa" w:w="960"/>
          </w:tcPr>
          <w:p>
            <w:r>
              <w:rPr>
                <w:rFonts w:ascii="Times New Roman" w:hAnsi="Times New Roman" w:eastAsia="新細明體"/>
                <w:sz w:val="18"/>
              </w:rPr>
              <w:t>-0.021</w:t>
            </w:r>
          </w:p>
        </w:tc>
        <w:tc>
          <w:tcPr>
            <w:tcW w:type="dxa" w:w="960"/>
          </w:tcPr>
          <w:p>
            <w:r>
              <w:rPr>
                <w:rFonts w:ascii="Times New Roman" w:hAnsi="Times New Roman" w:eastAsia="新細明體"/>
                <w:sz w:val="18"/>
              </w:rPr>
              <w:t>-0.032</w:t>
            </w:r>
          </w:p>
        </w:tc>
        <w:tc>
          <w:tcPr>
            <w:tcW w:type="dxa" w:w="960"/>
          </w:tcPr>
          <w:p>
            <w:r>
              <w:rPr>
                <w:rFonts w:ascii="Times New Roman" w:hAnsi="Times New Roman" w:eastAsia="新細明體"/>
                <w:sz w:val="18"/>
              </w:rPr>
              <w:t>1.000</w:t>
            </w:r>
          </w:p>
        </w:tc>
        <w:tc>
          <w:tcPr>
            <w:tcW w:type="dxa" w:w="960"/>
          </w:tcPr>
          <w:p>
            <w:r>
              <w:rPr>
                <w:rFonts w:ascii="Times New Roman" w:hAnsi="Times New Roman" w:eastAsia="新細明體"/>
                <w:sz w:val="18"/>
              </w:rPr>
              <w:t>0.571</w:t>
            </w:r>
          </w:p>
        </w:tc>
        <w:tc>
          <w:tcPr>
            <w:tcW w:type="dxa" w:w="960"/>
          </w:tcPr>
          <w:p>
            <w:r>
              <w:rPr>
                <w:rFonts w:ascii="Times New Roman" w:hAnsi="Times New Roman" w:eastAsia="新細明體"/>
                <w:sz w:val="18"/>
              </w:rPr>
              <w:t>-0.196</w:t>
            </w:r>
          </w:p>
        </w:tc>
        <w:tc>
          <w:tcPr>
            <w:tcW w:type="dxa" w:w="960"/>
          </w:tcPr>
          <w:p>
            <w:r>
              <w:rPr>
                <w:rFonts w:ascii="Times New Roman" w:hAnsi="Times New Roman" w:eastAsia="新細明體"/>
                <w:sz w:val="18"/>
              </w:rPr>
              <w:t>-0.091</w:t>
            </w:r>
          </w:p>
        </w:tc>
      </w:tr>
      <w:tr>
        <w:tc>
          <w:tcPr>
            <w:tcW w:type="dxa" w:w="960"/>
          </w:tcPr>
          <w:p>
            <w:r>
              <w:rPr>
                <w:rFonts w:ascii="Times New Roman" w:hAnsi="Times New Roman" w:eastAsia="新細明體"/>
                <w:sz w:val="18"/>
              </w:rPr>
              <w:t>EI</w:t>
            </w:r>
          </w:p>
        </w:tc>
        <w:tc>
          <w:tcPr>
            <w:tcW w:type="dxa" w:w="960"/>
          </w:tcPr>
          <w:p>
            <w:r>
              <w:rPr>
                <w:rFonts w:ascii="Times New Roman" w:hAnsi="Times New Roman" w:eastAsia="新細明體"/>
                <w:sz w:val="18"/>
              </w:rPr>
              <w:t>-0.105</w:t>
            </w:r>
          </w:p>
        </w:tc>
        <w:tc>
          <w:tcPr>
            <w:tcW w:type="dxa" w:w="960"/>
          </w:tcPr>
          <w:p>
            <w:r>
              <w:rPr>
                <w:rFonts w:ascii="Times New Roman" w:hAnsi="Times New Roman" w:eastAsia="新細明體"/>
                <w:sz w:val="18"/>
              </w:rPr>
              <w:t>-0.189</w:t>
            </w:r>
          </w:p>
        </w:tc>
        <w:tc>
          <w:tcPr>
            <w:tcW w:type="dxa" w:w="960"/>
          </w:tcPr>
          <w:p>
            <w:r>
              <w:rPr>
                <w:rFonts w:ascii="Times New Roman" w:hAnsi="Times New Roman" w:eastAsia="新細明體"/>
                <w:sz w:val="18"/>
              </w:rPr>
              <w:t>-0.089</w:t>
            </w:r>
          </w:p>
        </w:tc>
        <w:tc>
          <w:tcPr>
            <w:tcW w:type="dxa" w:w="960"/>
          </w:tcPr>
          <w:p>
            <w:r>
              <w:rPr>
                <w:rFonts w:ascii="Times New Roman" w:hAnsi="Times New Roman" w:eastAsia="新細明體"/>
                <w:sz w:val="18"/>
              </w:rPr>
              <w:t>-0.373</w:t>
            </w:r>
          </w:p>
        </w:tc>
        <w:tc>
          <w:tcPr>
            <w:tcW w:type="dxa" w:w="960"/>
          </w:tcPr>
          <w:p>
            <w:r>
              <w:rPr>
                <w:rFonts w:ascii="Times New Roman" w:hAnsi="Times New Roman" w:eastAsia="新細明體"/>
                <w:sz w:val="18"/>
              </w:rPr>
              <w:t>0.571</w:t>
            </w:r>
          </w:p>
        </w:tc>
        <w:tc>
          <w:tcPr>
            <w:tcW w:type="dxa" w:w="960"/>
          </w:tcPr>
          <w:p>
            <w:r>
              <w:rPr>
                <w:rFonts w:ascii="Times New Roman" w:hAnsi="Times New Roman" w:eastAsia="新細明體"/>
                <w:sz w:val="18"/>
              </w:rPr>
              <w:t>1.000</w:t>
            </w:r>
          </w:p>
        </w:tc>
        <w:tc>
          <w:tcPr>
            <w:tcW w:type="dxa" w:w="960"/>
          </w:tcPr>
          <w:p>
            <w:r>
              <w:rPr>
                <w:rFonts w:ascii="Times New Roman" w:hAnsi="Times New Roman" w:eastAsia="新細明體"/>
                <w:sz w:val="18"/>
              </w:rPr>
              <w:t>-0.271</w:t>
            </w:r>
          </w:p>
        </w:tc>
        <w:tc>
          <w:tcPr>
            <w:tcW w:type="dxa" w:w="960"/>
          </w:tcPr>
          <w:p>
            <w:r>
              <w:rPr>
                <w:rFonts w:ascii="Times New Roman" w:hAnsi="Times New Roman" w:eastAsia="新細明體"/>
                <w:sz w:val="18"/>
              </w:rPr>
              <w:t>-0.203</w:t>
            </w:r>
          </w:p>
        </w:tc>
      </w:tr>
      <w:tr>
        <w:tc>
          <w:tcPr>
            <w:tcW w:type="dxa" w:w="960"/>
          </w:tcPr>
          <w:p>
            <w:r>
              <w:rPr>
                <w:rFonts w:ascii="Times New Roman" w:hAnsi="Times New Roman" w:eastAsia="新細明體"/>
                <w:sz w:val="18"/>
              </w:rPr>
              <w:t>ROA</w:t>
            </w:r>
          </w:p>
        </w:tc>
        <w:tc>
          <w:tcPr>
            <w:tcW w:type="dxa" w:w="960"/>
          </w:tcPr>
          <w:p>
            <w:r>
              <w:rPr>
                <w:rFonts w:ascii="Times New Roman" w:hAnsi="Times New Roman" w:eastAsia="新細明體"/>
                <w:sz w:val="18"/>
              </w:rPr>
              <w:t>0.151</w:t>
            </w:r>
          </w:p>
        </w:tc>
        <w:tc>
          <w:tcPr>
            <w:tcW w:type="dxa" w:w="960"/>
          </w:tcPr>
          <w:p>
            <w:r>
              <w:rPr>
                <w:rFonts w:ascii="Times New Roman" w:hAnsi="Times New Roman" w:eastAsia="新細明體"/>
                <w:sz w:val="18"/>
              </w:rPr>
              <w:t>0.253</w:t>
            </w:r>
          </w:p>
        </w:tc>
        <w:tc>
          <w:tcPr>
            <w:tcW w:type="dxa" w:w="960"/>
          </w:tcPr>
          <w:p>
            <w:r>
              <w:rPr>
                <w:rFonts w:ascii="Times New Roman" w:hAnsi="Times New Roman" w:eastAsia="新細明體"/>
                <w:sz w:val="18"/>
              </w:rPr>
              <w:t>-0.017</w:t>
            </w:r>
          </w:p>
        </w:tc>
        <w:tc>
          <w:tcPr>
            <w:tcW w:type="dxa" w:w="960"/>
          </w:tcPr>
          <w:p>
            <w:r>
              <w:rPr>
                <w:rFonts w:ascii="Times New Roman" w:hAnsi="Times New Roman" w:eastAsia="新細明體"/>
                <w:sz w:val="18"/>
              </w:rPr>
              <w:t>0.183</w:t>
            </w:r>
          </w:p>
        </w:tc>
        <w:tc>
          <w:tcPr>
            <w:tcW w:type="dxa" w:w="960"/>
          </w:tcPr>
          <w:p>
            <w:r>
              <w:rPr>
                <w:rFonts w:ascii="Times New Roman" w:hAnsi="Times New Roman" w:eastAsia="新細明體"/>
                <w:sz w:val="18"/>
              </w:rPr>
              <w:t>-0.196</w:t>
            </w:r>
          </w:p>
        </w:tc>
        <w:tc>
          <w:tcPr>
            <w:tcW w:type="dxa" w:w="960"/>
          </w:tcPr>
          <w:p>
            <w:r>
              <w:rPr>
                <w:rFonts w:ascii="Times New Roman" w:hAnsi="Times New Roman" w:eastAsia="新細明體"/>
                <w:sz w:val="18"/>
              </w:rPr>
              <w:t>-0.271</w:t>
            </w:r>
          </w:p>
        </w:tc>
        <w:tc>
          <w:tcPr>
            <w:tcW w:type="dxa" w:w="960"/>
          </w:tcPr>
          <w:p>
            <w:r>
              <w:rPr>
                <w:rFonts w:ascii="Times New Roman" w:hAnsi="Times New Roman" w:eastAsia="新細明體"/>
                <w:sz w:val="18"/>
              </w:rPr>
              <w:t>1.000</w:t>
            </w:r>
          </w:p>
        </w:tc>
        <w:tc>
          <w:tcPr>
            <w:tcW w:type="dxa" w:w="960"/>
          </w:tcPr>
          <w:p>
            <w:r>
              <w:rPr>
                <w:rFonts w:ascii="Times New Roman" w:hAnsi="Times New Roman" w:eastAsia="新細明體"/>
                <w:sz w:val="18"/>
              </w:rPr>
              <w:t>-0.103</w:t>
            </w:r>
          </w:p>
        </w:tc>
      </w:tr>
      <w:tr>
        <w:tc>
          <w:tcPr>
            <w:tcW w:type="dxa" w:w="960"/>
          </w:tcPr>
          <w:p>
            <w:r>
              <w:rPr>
                <w:rFonts w:ascii="Times New Roman" w:hAnsi="Times New Roman" w:eastAsia="新細明體"/>
                <w:sz w:val="18"/>
              </w:rPr>
              <w:t>Lev</w:t>
            </w:r>
          </w:p>
        </w:tc>
        <w:tc>
          <w:tcPr>
            <w:tcW w:type="dxa" w:w="960"/>
          </w:tcPr>
          <w:p>
            <w:r>
              <w:rPr>
                <w:rFonts w:ascii="Times New Roman" w:hAnsi="Times New Roman" w:eastAsia="新細明體"/>
                <w:sz w:val="18"/>
              </w:rPr>
              <w:t>0.037</w:t>
            </w:r>
          </w:p>
        </w:tc>
        <w:tc>
          <w:tcPr>
            <w:tcW w:type="dxa" w:w="960"/>
          </w:tcPr>
          <w:p>
            <w:r>
              <w:rPr>
                <w:rFonts w:ascii="Times New Roman" w:hAnsi="Times New Roman" w:eastAsia="新細明體"/>
                <w:sz w:val="18"/>
              </w:rPr>
              <w:t>0.057</w:t>
            </w:r>
          </w:p>
        </w:tc>
        <w:tc>
          <w:tcPr>
            <w:tcW w:type="dxa" w:w="960"/>
          </w:tcPr>
          <w:p>
            <w:r>
              <w:rPr>
                <w:rFonts w:ascii="Times New Roman" w:hAnsi="Times New Roman" w:eastAsia="新細明體"/>
                <w:sz w:val="18"/>
              </w:rPr>
              <w:t>-0.084</w:t>
            </w:r>
          </w:p>
        </w:tc>
        <w:tc>
          <w:tcPr>
            <w:tcW w:type="dxa" w:w="960"/>
          </w:tcPr>
          <w:p>
            <w:r>
              <w:rPr>
                <w:rFonts w:ascii="Times New Roman" w:hAnsi="Times New Roman" w:eastAsia="新細明體"/>
                <w:sz w:val="18"/>
              </w:rPr>
              <w:t>0.309</w:t>
            </w:r>
          </w:p>
        </w:tc>
        <w:tc>
          <w:tcPr>
            <w:tcW w:type="dxa" w:w="960"/>
          </w:tcPr>
          <w:p>
            <w:r>
              <w:rPr>
                <w:rFonts w:ascii="Times New Roman" w:hAnsi="Times New Roman" w:eastAsia="新細明體"/>
                <w:sz w:val="18"/>
              </w:rPr>
              <w:t>-0.091</w:t>
            </w:r>
          </w:p>
        </w:tc>
        <w:tc>
          <w:tcPr>
            <w:tcW w:type="dxa" w:w="960"/>
          </w:tcPr>
          <w:p>
            <w:r>
              <w:rPr>
                <w:rFonts w:ascii="Times New Roman" w:hAnsi="Times New Roman" w:eastAsia="新細明體"/>
                <w:sz w:val="18"/>
              </w:rPr>
              <w:t>-0.203</w:t>
            </w:r>
          </w:p>
        </w:tc>
        <w:tc>
          <w:tcPr>
            <w:tcW w:type="dxa" w:w="960"/>
          </w:tcPr>
          <w:p>
            <w:r>
              <w:rPr>
                <w:rFonts w:ascii="Times New Roman" w:hAnsi="Times New Roman" w:eastAsia="新細明體"/>
                <w:sz w:val="18"/>
              </w:rPr>
              <w:t>-0.103</w:t>
            </w:r>
          </w:p>
        </w:tc>
        <w:tc>
          <w:tcPr>
            <w:tcW w:type="dxa" w:w="960"/>
          </w:tcPr>
          <w:p>
            <w:r>
              <w:rPr>
                <w:rFonts w:ascii="Times New Roman" w:hAnsi="Times New Roman" w:eastAsia="新細明體"/>
                <w:sz w:val="18"/>
              </w:rPr>
              <w:t>1.000</w:t>
            </w:r>
          </w:p>
        </w:tc>
      </w:tr>
    </w:tbl>
    <w:p/>
    <w:p>
      <w:pPr>
        <w:pStyle w:val="Heading2"/>
      </w:pPr>
      <w:r>
        <w:rPr>
          <w:rFonts w:ascii="Times New Roman" w:hAnsi="Times New Roman" w:eastAsia="新細明體"/>
        </w:rPr>
        <w:t>第三節 主迴歸結果（當期）</w:t>
      </w:r>
    </w:p>
    <w:p>
      <w:pPr>
        <w:spacing w:line="360" w:lineRule="auto"/>
        <w:ind w:firstLine="480"/>
      </w:pPr>
      <w:r>
        <w:rPr>
          <w:rFonts w:ascii="Times New Roman" w:hAnsi="Times New Roman" w:eastAsia="新細明體"/>
          <w:b w:val="0"/>
          <w:sz w:val="24"/>
        </w:rPr>
        <w:t>表4-3 為當期（t）主迴歸結果，括號內為叢集穩健 t 值，*、**、*** 分別代表 10%、5%、1% 顯著水準。模型1（水回收率）之 D×ΔLNREV 顯著為負，顯示樣本存在成本黏性；然當期水管理三重交乘（β3）在兩模型中皆不顯著。</w:t>
      </w:r>
    </w:p>
    <w:p>
      <w:pPr>
        <w:jc w:val="left"/>
      </w:pPr>
      <w:r>
        <w:rPr>
          <w:rFonts w:ascii="Times New Roman" w:hAnsi="Times New Roman" w:eastAsia="新細明體"/>
          <w:b/>
          <w:sz w:val="22"/>
        </w:rPr>
        <w:t>表4-3 成本黏性主迴歸結果（當期，模型1／模型2）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新細明體"/>
                <w:b/>
                <w:sz w:val="18"/>
              </w:rPr>
              <w:t>變數</w:t>
            </w:r>
          </w:p>
        </w:tc>
        <w:tc>
          <w:tcPr>
            <w:tcW w:type="dxa" w:w="2880"/>
          </w:tcPr>
          <w:p>
            <w:r>
              <w:rPr>
                <w:rFonts w:ascii="Times New Roman" w:hAnsi="Times New Roman" w:eastAsia="新細明體"/>
                <w:b/>
                <w:sz w:val="18"/>
              </w:rPr>
              <w:t>模型1(水回收率%)</w:t>
            </w:r>
          </w:p>
        </w:tc>
        <w:tc>
          <w:tcPr>
            <w:tcW w:type="dxa" w:w="2880"/>
          </w:tcPr>
          <w:p>
            <w:r>
              <w:rPr>
                <w:rFonts w:ascii="Times New Roman" w:hAnsi="Times New Roman" w:eastAsia="新細明體"/>
                <w:b/>
                <w:sz w:val="18"/>
              </w:rPr>
              <w:t>模型2(水揭露)</w:t>
            </w:r>
          </w:p>
        </w:tc>
      </w:tr>
      <w:tr>
        <w:tc>
          <w:tcPr>
            <w:tcW w:type="dxa" w:w="2880"/>
          </w:tcPr>
          <w:p>
            <w:r>
              <w:rPr>
                <w:rFonts w:ascii="Times New Roman" w:hAnsi="Times New Roman" w:eastAsia="新細明體"/>
                <w:sz w:val="18"/>
              </w:rPr>
              <w:t>dLNREV</w:t>
            </w:r>
          </w:p>
        </w:tc>
        <w:tc>
          <w:tcPr>
            <w:tcW w:type="dxa" w:w="2880"/>
          </w:tcPr>
          <w:p>
            <w:r>
              <w:rPr>
                <w:rFonts w:ascii="Times New Roman" w:hAnsi="Times New Roman" w:eastAsia="新細明體"/>
                <w:sz w:val="18"/>
              </w:rPr>
              <w:t>0.3208*** (4.21)</w:t>
            </w:r>
          </w:p>
        </w:tc>
        <w:tc>
          <w:tcPr>
            <w:tcW w:type="dxa" w:w="2880"/>
          </w:tcPr>
          <w:p>
            <w:r>
              <w:rPr>
                <w:rFonts w:ascii="Times New Roman" w:hAnsi="Times New Roman" w:eastAsia="新細明體"/>
                <w:sz w:val="18"/>
              </w:rPr>
              <w:t>0.3448*** (25.96)</w:t>
            </w:r>
          </w:p>
        </w:tc>
      </w:tr>
      <w:tr>
        <w:tc>
          <w:tcPr>
            <w:tcW w:type="dxa" w:w="2880"/>
          </w:tcPr>
          <w:p>
            <w:r>
              <w:rPr>
                <w:rFonts w:ascii="Times New Roman" w:hAnsi="Times New Roman" w:eastAsia="新細明體"/>
                <w:sz w:val="18"/>
              </w:rPr>
              <w:t>D_x_dREV</w:t>
            </w:r>
          </w:p>
        </w:tc>
        <w:tc>
          <w:tcPr>
            <w:tcW w:type="dxa" w:w="2880"/>
          </w:tcPr>
          <w:p>
            <w:r>
              <w:rPr>
                <w:rFonts w:ascii="Times New Roman" w:hAnsi="Times New Roman" w:eastAsia="新細明體"/>
                <w:sz w:val="18"/>
              </w:rPr>
              <w:t>-1.2681*** (-2.69)</w:t>
            </w:r>
          </w:p>
        </w:tc>
        <w:tc>
          <w:tcPr>
            <w:tcW w:type="dxa" w:w="2880"/>
          </w:tcPr>
          <w:p>
            <w:r>
              <w:rPr>
                <w:rFonts w:ascii="Times New Roman" w:hAnsi="Times New Roman" w:eastAsia="新細明體"/>
                <w:sz w:val="18"/>
              </w:rPr>
              <w:t>-0.1473nan (-1.09)</w:t>
            </w:r>
          </w:p>
        </w:tc>
      </w:tr>
      <w:tr>
        <w:tc>
          <w:tcPr>
            <w:tcW w:type="dxa" w:w="2880"/>
          </w:tcPr>
          <w:p>
            <w:r>
              <w:rPr>
                <w:rFonts w:ascii="Times New Roman" w:hAnsi="Times New Roman" w:eastAsia="新細明體"/>
                <w:sz w:val="18"/>
              </w:rPr>
              <w:t>WaterRate_D_dREV</w:t>
            </w:r>
          </w:p>
        </w:tc>
        <w:tc>
          <w:tcPr>
            <w:tcW w:type="dxa" w:w="2880"/>
          </w:tcPr>
          <w:p>
            <w:r>
              <w:rPr>
                <w:rFonts w:ascii="Times New Roman" w:hAnsi="Times New Roman" w:eastAsia="新細明體"/>
                <w:sz w:val="18"/>
              </w:rPr>
              <w:t>0.0004nan (0.22)</w:t>
            </w:r>
          </w:p>
        </w:tc>
        <w:tc>
          <w:tcPr>
            <w:tcW w:type="dxa" w:w="2880"/>
          </w:tcPr>
          <w:p>
            <w:r>
              <w:rPr>
                <w:rFonts w:ascii="Times New Roman" w:hAnsi="Times New Roman" w:eastAsia="新細明體"/>
                <w:sz w:val="18"/>
              </w:rPr>
            </w:r>
          </w:p>
        </w:tc>
      </w:tr>
      <w:tr>
        <w:tc>
          <w:tcPr>
            <w:tcW w:type="dxa" w:w="2880"/>
          </w:tcPr>
          <w:p>
            <w:r>
              <w:rPr>
                <w:rFonts w:ascii="Times New Roman" w:hAnsi="Times New Roman" w:eastAsia="新細明體"/>
                <w:sz w:val="18"/>
              </w:rPr>
              <w:t>WaterDisc_D_dREV</w:t>
            </w:r>
          </w:p>
        </w:tc>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0.0354nan (0.89)</w:t>
            </w:r>
          </w:p>
        </w:tc>
      </w:tr>
      <w:tr>
        <w:tc>
          <w:tcPr>
            <w:tcW w:type="dxa" w:w="2880"/>
          </w:tcPr>
          <w:p>
            <w:r>
              <w:rPr>
                <w:rFonts w:ascii="Times New Roman" w:hAnsi="Times New Roman" w:eastAsia="新細明體"/>
                <w:sz w:val="18"/>
              </w:rPr>
              <w:t>Water_Rate</w:t>
            </w:r>
          </w:p>
        </w:tc>
        <w:tc>
          <w:tcPr>
            <w:tcW w:type="dxa" w:w="2880"/>
          </w:tcPr>
          <w:p>
            <w:r>
              <w:rPr>
                <w:rFonts w:ascii="Times New Roman" w:hAnsi="Times New Roman" w:eastAsia="新細明體"/>
                <w:sz w:val="18"/>
              </w:rPr>
              <w:t>-0.0001nan (-0.49)</w:t>
            </w:r>
          </w:p>
        </w:tc>
        <w:tc>
          <w:tcPr>
            <w:tcW w:type="dxa" w:w="2880"/>
          </w:tcPr>
          <w:p>
            <w:r>
              <w:rPr>
                <w:rFonts w:ascii="Times New Roman" w:hAnsi="Times New Roman" w:eastAsia="新細明體"/>
                <w:sz w:val="18"/>
              </w:rPr>
            </w:r>
          </w:p>
        </w:tc>
      </w:tr>
      <w:tr>
        <w:tc>
          <w:tcPr>
            <w:tcW w:type="dxa" w:w="2880"/>
          </w:tcPr>
          <w:p>
            <w:r>
              <w:rPr>
                <w:rFonts w:ascii="Times New Roman" w:hAnsi="Times New Roman" w:eastAsia="新細明體"/>
                <w:sz w:val="18"/>
              </w:rPr>
              <w:t>Water_Disc</w:t>
            </w:r>
          </w:p>
        </w:tc>
        <w:tc>
          <w:tcPr>
            <w:tcW w:type="dxa" w:w="2880"/>
          </w:tcPr>
          <w:p>
            <w:r>
              <w:rPr>
                <w:rFonts w:ascii="Times New Roman" w:hAnsi="Times New Roman" w:eastAsia="新細明體"/>
                <w:sz w:val="18"/>
              </w:rPr>
            </w:r>
          </w:p>
        </w:tc>
        <w:tc>
          <w:tcPr>
            <w:tcW w:type="dxa" w:w="2880"/>
          </w:tcPr>
          <w:p>
            <w:r>
              <w:rPr>
                <w:rFonts w:ascii="Times New Roman" w:hAnsi="Times New Roman" w:eastAsia="新細明體"/>
                <w:sz w:val="18"/>
              </w:rPr>
              <w:t>0.0052nan (1.28)</w:t>
            </w:r>
          </w:p>
        </w:tc>
      </w:tr>
      <w:tr>
        <w:tc>
          <w:tcPr>
            <w:tcW w:type="dxa" w:w="2880"/>
          </w:tcPr>
          <w:p>
            <w:r>
              <w:rPr>
                <w:rFonts w:ascii="Times New Roman" w:hAnsi="Times New Roman" w:eastAsia="新細明體"/>
                <w:sz w:val="18"/>
              </w:rPr>
              <w:t>Size_D_dREV</w:t>
            </w:r>
          </w:p>
        </w:tc>
        <w:tc>
          <w:tcPr>
            <w:tcW w:type="dxa" w:w="2880"/>
          </w:tcPr>
          <w:p>
            <w:r>
              <w:rPr>
                <w:rFonts w:ascii="Times New Roman" w:hAnsi="Times New Roman" w:eastAsia="新細明體"/>
                <w:sz w:val="18"/>
              </w:rPr>
              <w:t>0.0823*** (2.84)</w:t>
            </w:r>
          </w:p>
        </w:tc>
        <w:tc>
          <w:tcPr>
            <w:tcW w:type="dxa" w:w="2880"/>
          </w:tcPr>
          <w:p>
            <w:r>
              <w:rPr>
                <w:rFonts w:ascii="Times New Roman" w:hAnsi="Times New Roman" w:eastAsia="新細明體"/>
                <w:sz w:val="18"/>
              </w:rPr>
              <w:t>0.0092nan (1.02)</w:t>
            </w:r>
          </w:p>
        </w:tc>
      </w:tr>
      <w:tr>
        <w:tc>
          <w:tcPr>
            <w:tcW w:type="dxa" w:w="2880"/>
          </w:tcPr>
          <w:p>
            <w:r>
              <w:rPr>
                <w:rFonts w:ascii="Times New Roman" w:hAnsi="Times New Roman" w:eastAsia="新細明體"/>
                <w:sz w:val="18"/>
              </w:rPr>
              <w:t>AI_D_dREV</w:t>
            </w:r>
          </w:p>
        </w:tc>
        <w:tc>
          <w:tcPr>
            <w:tcW w:type="dxa" w:w="2880"/>
          </w:tcPr>
          <w:p>
            <w:r>
              <w:rPr>
                <w:rFonts w:ascii="Times New Roman" w:hAnsi="Times New Roman" w:eastAsia="新細明體"/>
                <w:sz w:val="18"/>
              </w:rPr>
              <w:t>-0.0433*** (-3.79)</w:t>
            </w:r>
          </w:p>
        </w:tc>
        <w:tc>
          <w:tcPr>
            <w:tcW w:type="dxa" w:w="2880"/>
          </w:tcPr>
          <w:p>
            <w:r>
              <w:rPr>
                <w:rFonts w:ascii="Times New Roman" w:hAnsi="Times New Roman" w:eastAsia="新細明體"/>
                <w:sz w:val="18"/>
              </w:rPr>
              <w:t>-0.0052*** (-5.65)</w:t>
            </w:r>
          </w:p>
        </w:tc>
      </w:tr>
      <w:tr>
        <w:tc>
          <w:tcPr>
            <w:tcW w:type="dxa" w:w="2880"/>
          </w:tcPr>
          <w:p>
            <w:r>
              <w:rPr>
                <w:rFonts w:ascii="Times New Roman" w:hAnsi="Times New Roman" w:eastAsia="新細明體"/>
                <w:sz w:val="18"/>
              </w:rPr>
              <w:t>EI_D_dREV</w:t>
            </w:r>
          </w:p>
        </w:tc>
        <w:tc>
          <w:tcPr>
            <w:tcW w:type="dxa" w:w="2880"/>
          </w:tcPr>
          <w:p>
            <w:r>
              <w:rPr>
                <w:rFonts w:ascii="Times New Roman" w:hAnsi="Times New Roman" w:eastAsia="新細明體"/>
                <w:sz w:val="18"/>
              </w:rPr>
              <w:t>374.4080nan (1.37)</w:t>
            </w:r>
          </w:p>
        </w:tc>
        <w:tc>
          <w:tcPr>
            <w:tcW w:type="dxa" w:w="2880"/>
          </w:tcPr>
          <w:p>
            <w:r>
              <w:rPr>
                <w:rFonts w:ascii="Times New Roman" w:hAnsi="Times New Roman" w:eastAsia="新細明體"/>
                <w:sz w:val="18"/>
              </w:rPr>
              <w:t>12.1236nan (0.33)</w:t>
            </w:r>
          </w:p>
        </w:tc>
      </w:tr>
      <w:tr>
        <w:tc>
          <w:tcPr>
            <w:tcW w:type="dxa" w:w="2880"/>
          </w:tcPr>
          <w:p>
            <w:r>
              <w:rPr>
                <w:rFonts w:ascii="Times New Roman" w:hAnsi="Times New Roman" w:eastAsia="新細明體"/>
                <w:sz w:val="18"/>
              </w:rPr>
              <w:t>ROA_D_dREV</w:t>
            </w:r>
          </w:p>
        </w:tc>
        <w:tc>
          <w:tcPr>
            <w:tcW w:type="dxa" w:w="2880"/>
          </w:tcPr>
          <w:p>
            <w:r>
              <w:rPr>
                <w:rFonts w:ascii="Times New Roman" w:hAnsi="Times New Roman" w:eastAsia="新細明體"/>
                <w:sz w:val="18"/>
              </w:rPr>
              <w:t>0.0104nan (0.58)</w:t>
            </w:r>
          </w:p>
        </w:tc>
        <w:tc>
          <w:tcPr>
            <w:tcW w:type="dxa" w:w="2880"/>
          </w:tcPr>
          <w:p>
            <w:r>
              <w:rPr>
                <w:rFonts w:ascii="Times New Roman" w:hAnsi="Times New Roman" w:eastAsia="新細明體"/>
                <w:sz w:val="18"/>
              </w:rPr>
              <w:t>0.0126*** (4.24)</w:t>
            </w:r>
          </w:p>
        </w:tc>
      </w:tr>
      <w:tr>
        <w:tc>
          <w:tcPr>
            <w:tcW w:type="dxa" w:w="2880"/>
          </w:tcPr>
          <w:p>
            <w:r>
              <w:rPr>
                <w:rFonts w:ascii="Times New Roman" w:hAnsi="Times New Roman" w:eastAsia="新細明體"/>
                <w:sz w:val="18"/>
              </w:rPr>
              <w:t>Lev_D_dREV</w:t>
            </w:r>
          </w:p>
        </w:tc>
        <w:tc>
          <w:tcPr>
            <w:tcW w:type="dxa" w:w="2880"/>
          </w:tcPr>
          <w:p>
            <w:r>
              <w:rPr>
                <w:rFonts w:ascii="Times New Roman" w:hAnsi="Times New Roman" w:eastAsia="新細明體"/>
                <w:sz w:val="18"/>
              </w:rPr>
              <w:t>-0.0007nan (-0.31)</w:t>
            </w:r>
          </w:p>
        </w:tc>
        <w:tc>
          <w:tcPr>
            <w:tcW w:type="dxa" w:w="2880"/>
          </w:tcPr>
          <w:p>
            <w:r>
              <w:rPr>
                <w:rFonts w:ascii="Times New Roman" w:hAnsi="Times New Roman" w:eastAsia="新細明體"/>
                <w:sz w:val="18"/>
              </w:rPr>
              <w:t>0.0004nan (0.83)</w:t>
            </w:r>
          </w:p>
        </w:tc>
      </w:tr>
      <w:tr>
        <w:tc>
          <w:tcPr>
            <w:tcW w:type="dxa" w:w="2880"/>
          </w:tcPr>
          <w:p>
            <w:r>
              <w:rPr>
                <w:rFonts w:ascii="Times New Roman" w:hAnsi="Times New Roman" w:eastAsia="新細明體"/>
                <w:sz w:val="18"/>
              </w:rPr>
              <w:t>Decrease_D_dREV</w:t>
            </w:r>
          </w:p>
        </w:tc>
        <w:tc>
          <w:tcPr>
            <w:tcW w:type="dxa" w:w="2880"/>
          </w:tcPr>
          <w:p>
            <w:r>
              <w:rPr>
                <w:rFonts w:ascii="Times New Roman" w:hAnsi="Times New Roman" w:eastAsia="新細明體"/>
                <w:sz w:val="18"/>
              </w:rPr>
              <w:t>0.1595** (2.18)</w:t>
            </w:r>
          </w:p>
        </w:tc>
        <w:tc>
          <w:tcPr>
            <w:tcW w:type="dxa" w:w="2880"/>
          </w:tcPr>
          <w:p>
            <w:r>
              <w:rPr>
                <w:rFonts w:ascii="Times New Roman" w:hAnsi="Times New Roman" w:eastAsia="新細明體"/>
                <w:sz w:val="18"/>
              </w:rPr>
              <w:t>0.0618*** (3.26)</w:t>
            </w:r>
          </w:p>
        </w:tc>
      </w:tr>
      <w:tr>
        <w:tc>
          <w:tcPr>
            <w:tcW w:type="dxa" w:w="2880"/>
          </w:tcPr>
          <w:p>
            <w:r>
              <w:rPr>
                <w:rFonts w:ascii="Times New Roman" w:hAnsi="Times New Roman" w:eastAsia="新細明體"/>
                <w:sz w:val="18"/>
              </w:rPr>
              <w:t>N</w:t>
            </w:r>
          </w:p>
        </w:tc>
        <w:tc>
          <w:tcPr>
            <w:tcW w:type="dxa" w:w="2880"/>
          </w:tcPr>
          <w:p>
            <w:r>
              <w:rPr>
                <w:rFonts w:ascii="Times New Roman" w:hAnsi="Times New Roman" w:eastAsia="新細明體"/>
                <w:sz w:val="18"/>
              </w:rPr>
              <w:t>996</w:t>
            </w:r>
          </w:p>
        </w:tc>
        <w:tc>
          <w:tcPr>
            <w:tcW w:type="dxa" w:w="2880"/>
          </w:tcPr>
          <w:p>
            <w:r>
              <w:rPr>
                <w:rFonts w:ascii="Times New Roman" w:hAnsi="Times New Roman" w:eastAsia="新細明體"/>
                <w:sz w:val="18"/>
              </w:rPr>
              <w:t>16,661</w:t>
            </w:r>
          </w:p>
        </w:tc>
      </w:tr>
      <w:tr>
        <w:tc>
          <w:tcPr>
            <w:tcW w:type="dxa" w:w="2880"/>
          </w:tcPr>
          <w:p>
            <w:r>
              <w:rPr>
                <w:rFonts w:ascii="Times New Roman" w:hAnsi="Times New Roman" w:eastAsia="新細明體"/>
                <w:sz w:val="18"/>
              </w:rPr>
              <w:t>adj. R²</w:t>
            </w:r>
          </w:p>
        </w:tc>
        <w:tc>
          <w:tcPr>
            <w:tcW w:type="dxa" w:w="2880"/>
          </w:tcPr>
          <w:p>
            <w:r>
              <w:rPr>
                <w:rFonts w:ascii="Times New Roman" w:hAnsi="Times New Roman" w:eastAsia="新細明體"/>
                <w:sz w:val="18"/>
              </w:rPr>
              <w:t>0.3442</w:t>
            </w:r>
          </w:p>
        </w:tc>
        <w:tc>
          <w:tcPr>
            <w:tcW w:type="dxa" w:w="2880"/>
          </w:tcPr>
          <w:p>
            <w:r>
              <w:rPr>
                <w:rFonts w:ascii="Times New Roman" w:hAnsi="Times New Roman" w:eastAsia="新細明體"/>
                <w:sz w:val="18"/>
              </w:rPr>
              <w:t>0.3213</w:t>
            </w:r>
          </w:p>
        </w:tc>
      </w:tr>
    </w:tbl>
    <w:p/>
    <w:p>
      <w:pPr>
        <w:pStyle w:val="Heading2"/>
      </w:pPr>
      <w:r>
        <w:rPr>
          <w:rFonts w:ascii="Times New Roman" w:hAnsi="Times New Roman" w:eastAsia="新細明體"/>
        </w:rPr>
        <w:t>第四節 時間落差效應（遞延期分析）</w:t>
      </w:r>
    </w:p>
    <w:p>
      <w:pPr>
        <w:spacing w:line="360" w:lineRule="auto"/>
        <w:ind w:firstLine="480"/>
      </w:pPr>
      <w:r>
        <w:rPr>
          <w:rFonts w:ascii="Times New Roman" w:hAnsi="Times New Roman" w:eastAsia="新細明體"/>
          <w:b w:val="0"/>
          <w:sz w:val="24"/>
        </w:rPr>
        <w:t>考量水管理投資效益需時間發酵——當期投入的環保設備，可能於 1 至 2 年後方轉為難以裁撤的沈沒成本或發揮降本效益——本研究將核心水變數分別遞延一期（t-1）與兩期（t-2）後重新估計三重交乘 β3。表4-4 彙整各遞延期之 β3。</w:t>
      </w:r>
    </w:p>
    <w:p>
      <w:pPr>
        <w:jc w:val="left"/>
      </w:pPr>
      <w:r>
        <w:rPr>
          <w:rFonts w:ascii="Times New Roman" w:hAnsi="Times New Roman" w:eastAsia="新細明體"/>
          <w:b/>
          <w:sz w:val="22"/>
        </w:rPr>
        <w:t>表4-4 時間落差效應：各遞延期之 β3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eastAsia="新細明體"/>
                <w:b/>
                <w:sz w:val="18"/>
              </w:rPr>
              <w:t>遞延期</w:t>
            </w:r>
          </w:p>
        </w:tc>
        <w:tc>
          <w:tcPr>
            <w:tcW w:type="dxa" w:w="2880"/>
          </w:tcPr>
          <w:p>
            <w:r>
              <w:rPr>
                <w:rFonts w:ascii="Times New Roman" w:hAnsi="Times New Roman" w:eastAsia="新細明體"/>
                <w:b/>
                <w:sz w:val="18"/>
              </w:rPr>
              <w:t>模型1 β3(水回收率%)</w:t>
            </w:r>
          </w:p>
        </w:tc>
        <w:tc>
          <w:tcPr>
            <w:tcW w:type="dxa" w:w="2880"/>
          </w:tcPr>
          <w:p>
            <w:r>
              <w:rPr>
                <w:rFonts w:ascii="Times New Roman" w:hAnsi="Times New Roman" w:eastAsia="新細明體"/>
                <w:b/>
                <w:sz w:val="18"/>
              </w:rPr>
              <w:t>模型2 β3(水揭露)</w:t>
            </w:r>
          </w:p>
        </w:tc>
      </w:tr>
      <w:tr>
        <w:tc>
          <w:tcPr>
            <w:tcW w:type="dxa" w:w="2880"/>
          </w:tcPr>
          <w:p>
            <w:r>
              <w:rPr>
                <w:rFonts w:ascii="Times New Roman" w:hAnsi="Times New Roman" w:eastAsia="新細明體"/>
                <w:sz w:val="18"/>
              </w:rPr>
              <w:t>t-0（當期）</w:t>
            </w:r>
          </w:p>
        </w:tc>
        <w:tc>
          <w:tcPr>
            <w:tcW w:type="dxa" w:w="2880"/>
          </w:tcPr>
          <w:p>
            <w:r>
              <w:rPr>
                <w:rFonts w:ascii="Times New Roman" w:hAnsi="Times New Roman" w:eastAsia="新細明體"/>
                <w:sz w:val="18"/>
              </w:rPr>
              <w:t>0.0004nan (t=0.22, N=996)</w:t>
            </w:r>
          </w:p>
        </w:tc>
        <w:tc>
          <w:tcPr>
            <w:tcW w:type="dxa" w:w="2880"/>
          </w:tcPr>
          <w:p>
            <w:r>
              <w:rPr>
                <w:rFonts w:ascii="Times New Roman" w:hAnsi="Times New Roman" w:eastAsia="新細明體"/>
                <w:sz w:val="18"/>
              </w:rPr>
              <w:t>0.0354nan (t=0.89, N=16,661)</w:t>
            </w:r>
          </w:p>
        </w:tc>
      </w:tr>
      <w:tr>
        <w:tc>
          <w:tcPr>
            <w:tcW w:type="dxa" w:w="2880"/>
          </w:tcPr>
          <w:p>
            <w:r>
              <w:rPr>
                <w:rFonts w:ascii="Times New Roman" w:hAnsi="Times New Roman" w:eastAsia="新細明體"/>
                <w:sz w:val="18"/>
              </w:rPr>
              <w:t>t-1（1期前）</w:t>
            </w:r>
          </w:p>
        </w:tc>
        <w:tc>
          <w:tcPr>
            <w:tcW w:type="dxa" w:w="2880"/>
          </w:tcPr>
          <w:p>
            <w:r>
              <w:rPr>
                <w:rFonts w:ascii="Times New Roman" w:hAnsi="Times New Roman" w:eastAsia="新細明體"/>
                <w:sz w:val="18"/>
              </w:rPr>
              <w:t>0.0015nan (t=1.09, N=863)</w:t>
            </w:r>
          </w:p>
        </w:tc>
        <w:tc>
          <w:tcPr>
            <w:tcW w:type="dxa" w:w="2880"/>
          </w:tcPr>
          <w:p>
            <w:r>
              <w:rPr>
                <w:rFonts w:ascii="Times New Roman" w:hAnsi="Times New Roman" w:eastAsia="新細明體"/>
                <w:sz w:val="18"/>
              </w:rPr>
              <w:t>0.0062nan (t=0.18, N=16,661)</w:t>
            </w:r>
          </w:p>
        </w:tc>
      </w:tr>
      <w:tr>
        <w:tc>
          <w:tcPr>
            <w:tcW w:type="dxa" w:w="2880"/>
          </w:tcPr>
          <w:p>
            <w:r>
              <w:rPr>
                <w:rFonts w:ascii="Times New Roman" w:hAnsi="Times New Roman" w:eastAsia="新細明體"/>
                <w:sz w:val="18"/>
              </w:rPr>
              <w:t>t-2（2期前）</w:t>
            </w:r>
          </w:p>
        </w:tc>
        <w:tc>
          <w:tcPr>
            <w:tcW w:type="dxa" w:w="2880"/>
          </w:tcPr>
          <w:p>
            <w:r>
              <w:rPr>
                <w:rFonts w:ascii="Times New Roman" w:hAnsi="Times New Roman" w:eastAsia="新細明體"/>
                <w:sz w:val="18"/>
              </w:rPr>
              <w:t>0.0014nan (t=1.03, N=731)</w:t>
            </w:r>
          </w:p>
        </w:tc>
        <w:tc>
          <w:tcPr>
            <w:tcW w:type="dxa" w:w="2880"/>
          </w:tcPr>
          <w:p>
            <w:r>
              <w:rPr>
                <w:rFonts w:ascii="Times New Roman" w:hAnsi="Times New Roman" w:eastAsia="新細明體"/>
                <w:sz w:val="18"/>
              </w:rPr>
              <w:t>0.0103nan (t=0.28, N=16,661)</w:t>
            </w:r>
          </w:p>
        </w:tc>
      </w:tr>
    </w:tbl>
    <w:p/>
    <w:p>
      <w:pPr>
        <w:pStyle w:val="Heading2"/>
      </w:pPr>
      <w:r>
        <w:rPr>
          <w:rFonts w:ascii="Times New Roman" w:hAnsi="Times New Roman" w:eastAsia="新細明體"/>
        </w:rPr>
        <w:t>第五節 產業異質性（高／低耗水產業）</w:t>
      </w:r>
    </w:p>
    <w:p>
      <w:pPr>
        <w:spacing w:line="360" w:lineRule="auto"/>
        <w:ind w:firstLine="480"/>
      </w:pPr>
      <w:r>
        <w:rPr>
          <w:rFonts w:ascii="Times New Roman" w:hAnsi="Times New Roman" w:eastAsia="新細明體"/>
          <w:b w:val="0"/>
          <w:sz w:val="24"/>
        </w:rPr>
        <w:t>台灣製造業次產業之水資源依賴度差異甚大，全樣本可能稀釋高耗水產業之效應。本研究依產業水資料密度（各產業有水資料之觀測比例）之中位數，將 SASB 主產業劃分為高耗水與低耗水兩組，分別於當期與遞延期估計，比較 β3，結果如表4-5。（註：因資料僅含 SASB 主產業分類，未取得 TEJ 之 TSE／子產業別，故以 SASB 產業之水資料密度作為耗水程度之代理。）</w:t>
      </w:r>
    </w:p>
    <w:p>
      <w:pPr>
        <w:jc w:val="left"/>
      </w:pPr>
      <w:r>
        <w:rPr>
          <w:rFonts w:ascii="Times New Roman" w:hAnsi="Times New Roman" w:eastAsia="新細明體"/>
          <w:b/>
          <w:sz w:val="22"/>
        </w:rPr>
        <w:t>表4-5 產業異質性 × 時間落差：β2 與 β3 對照</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eastAsia="新細明體"/>
                <w:b/>
                <w:sz w:val="18"/>
              </w:rPr>
              <w:t>水衡量</w:t>
            </w:r>
          </w:p>
        </w:tc>
        <w:tc>
          <w:tcPr>
            <w:tcW w:type="dxa" w:w="1080"/>
          </w:tcPr>
          <w:p>
            <w:r>
              <w:rPr>
                <w:rFonts w:ascii="Times New Roman" w:hAnsi="Times New Roman" w:eastAsia="新細明體"/>
                <w:b/>
                <w:sz w:val="18"/>
              </w:rPr>
              <w:t>產業組</w:t>
            </w:r>
          </w:p>
        </w:tc>
        <w:tc>
          <w:tcPr>
            <w:tcW w:type="dxa" w:w="1080"/>
          </w:tcPr>
          <w:p>
            <w:r>
              <w:rPr>
                <w:rFonts w:ascii="Times New Roman" w:hAnsi="Times New Roman" w:eastAsia="新細明體"/>
                <w:b/>
                <w:sz w:val="18"/>
              </w:rPr>
              <w:t>遞延期</w:t>
            </w:r>
          </w:p>
        </w:tc>
        <w:tc>
          <w:tcPr>
            <w:tcW w:type="dxa" w:w="1080"/>
          </w:tcPr>
          <w:p>
            <w:r>
              <w:rPr>
                <w:rFonts w:ascii="Times New Roman" w:hAnsi="Times New Roman" w:eastAsia="新細明體"/>
                <w:b/>
                <w:sz w:val="18"/>
              </w:rPr>
              <w:t>β2(D×ΔREV)</w:t>
            </w:r>
          </w:p>
        </w:tc>
        <w:tc>
          <w:tcPr>
            <w:tcW w:type="dxa" w:w="1080"/>
          </w:tcPr>
          <w:p>
            <w:r>
              <w:rPr>
                <w:rFonts w:ascii="Times New Roman" w:hAnsi="Times New Roman" w:eastAsia="新細明體"/>
                <w:b/>
                <w:sz w:val="18"/>
              </w:rPr>
              <w:t>β2_sig</w:t>
            </w:r>
          </w:p>
        </w:tc>
        <w:tc>
          <w:tcPr>
            <w:tcW w:type="dxa" w:w="1080"/>
          </w:tcPr>
          <w:p>
            <w:r>
              <w:rPr>
                <w:rFonts w:ascii="Times New Roman" w:hAnsi="Times New Roman" w:eastAsia="新細明體"/>
                <w:b/>
                <w:sz w:val="18"/>
              </w:rPr>
              <w:t>β3(Water×D×ΔREV)</w:t>
            </w:r>
          </w:p>
        </w:tc>
        <w:tc>
          <w:tcPr>
            <w:tcW w:type="dxa" w:w="1080"/>
          </w:tcPr>
          <w:p>
            <w:r>
              <w:rPr>
                <w:rFonts w:ascii="Times New Roman" w:hAnsi="Times New Roman" w:eastAsia="新細明體"/>
                <w:b/>
                <w:sz w:val="18"/>
              </w:rPr>
              <w:t>β3_sig</w:t>
            </w:r>
          </w:p>
        </w:tc>
        <w:tc>
          <w:tcPr>
            <w:tcW w:type="dxa" w:w="1080"/>
          </w:tcPr>
          <w:p>
            <w:r>
              <w:rPr>
                <w:rFonts w:ascii="Times New Roman" w:hAnsi="Times New Roman" w:eastAsia="新細明體"/>
                <w:b/>
                <w:sz w:val="18"/>
              </w:rPr>
              <w:t>N</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-1.2681</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0.0004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996</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-0.6925</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0.0015</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863</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-0.7174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731</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-1.4791</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0.0014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707</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-0.9405</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0.0027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619</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-1.1518</w:t>
            </w:r>
          </w:p>
        </w:tc>
        <w:tc>
          <w:tcPr>
            <w:tcW w:type="dxa" w:w="1080"/>
          </w:tcPr>
          <w:p>
            <w:r>
              <w:rPr>
                <w:rFonts w:ascii="Times New Roman" w:hAnsi="Times New Roman" w:eastAsia="新細明體"/>
                <w:sz w:val="18"/>
              </w:rPr>
              <w:t>***</w:t>
            </w:r>
          </w:p>
        </w:tc>
        <w:tc>
          <w:tcPr>
            <w:tcW w:type="dxa" w:w="1080"/>
          </w:tcPr>
          <w:p>
            <w:r>
              <w:rPr>
                <w:rFonts w:ascii="Times New Roman" w:hAnsi="Times New Roman" w:eastAsia="新細明體"/>
                <w:sz w:val="18"/>
              </w:rPr>
              <w:t>0.0013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527</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-0.5442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-0.0031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289</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-0.8746</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0.0015</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244</w:t>
            </w:r>
          </w:p>
        </w:tc>
      </w:tr>
      <w:tr>
        <w:tc>
          <w:tcPr>
            <w:tcW w:type="dxa" w:w="1080"/>
          </w:tcPr>
          <w:p>
            <w:r>
              <w:rPr>
                <w:rFonts w:ascii="Times New Roman" w:hAnsi="Times New Roman" w:eastAsia="新細明體"/>
                <w:sz w:val="18"/>
              </w:rPr>
              <w:t>水回收率%</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-0.2827</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-0.0011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204</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-0.1473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0.0354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16,661</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-0.1636</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0.0062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16,661</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全樣本</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-0.1588</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0.0103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16,661</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-0.0634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0.0572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7,252</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-0.1013</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0.0248</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7,252</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高耗水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-0.1004</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0.0241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7,252</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t-0</w:t>
            </w:r>
          </w:p>
        </w:tc>
        <w:tc>
          <w:tcPr>
            <w:tcW w:type="dxa" w:w="1080"/>
          </w:tcPr>
          <w:p>
            <w:r>
              <w:rPr>
                <w:rFonts w:ascii="Times New Roman" w:hAnsi="Times New Roman" w:eastAsia="新細明體"/>
                <w:sz w:val="18"/>
              </w:rPr>
              <w:t>-0.1966</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-0.0170</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9,409</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t-1</w:t>
            </w:r>
          </w:p>
        </w:tc>
        <w:tc>
          <w:tcPr>
            <w:tcW w:type="dxa" w:w="1080"/>
          </w:tcPr>
          <w:p>
            <w:r>
              <w:rPr>
                <w:rFonts w:ascii="Times New Roman" w:hAnsi="Times New Roman" w:eastAsia="新細明體"/>
                <w:sz w:val="18"/>
              </w:rPr>
              <w:t>-0.2068</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-0.0372</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9,409</w:t>
            </w:r>
          </w:p>
        </w:tc>
      </w:tr>
      <w:tr>
        <w:tc>
          <w:tcPr>
            <w:tcW w:type="dxa" w:w="1080"/>
          </w:tcPr>
          <w:p>
            <w:r>
              <w:rPr>
                <w:rFonts w:ascii="Times New Roman" w:hAnsi="Times New Roman" w:eastAsia="新細明體"/>
                <w:sz w:val="18"/>
              </w:rPr>
              <w:t>水揭露</w:t>
            </w:r>
          </w:p>
        </w:tc>
        <w:tc>
          <w:tcPr>
            <w:tcW w:type="dxa" w:w="1080"/>
          </w:tcPr>
          <w:p>
            <w:r>
              <w:rPr>
                <w:rFonts w:ascii="Times New Roman" w:hAnsi="Times New Roman" w:eastAsia="新細明體"/>
                <w:sz w:val="18"/>
              </w:rPr>
              <w:t>低耗水</w:t>
            </w:r>
          </w:p>
        </w:tc>
        <w:tc>
          <w:tcPr>
            <w:tcW w:type="dxa" w:w="1080"/>
          </w:tcPr>
          <w:p>
            <w:r>
              <w:rPr>
                <w:rFonts w:ascii="Times New Roman" w:hAnsi="Times New Roman" w:eastAsia="新細明體"/>
                <w:sz w:val="18"/>
              </w:rPr>
              <w:t>t-2</w:t>
            </w:r>
          </w:p>
        </w:tc>
        <w:tc>
          <w:tcPr>
            <w:tcW w:type="dxa" w:w="1080"/>
          </w:tcPr>
          <w:p>
            <w:r>
              <w:rPr>
                <w:rFonts w:ascii="Times New Roman" w:hAnsi="Times New Roman" w:eastAsia="新細明體"/>
                <w:sz w:val="18"/>
              </w:rPr>
              <w:t>-0.2011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-0.0261</w:t>
            </w:r>
          </w:p>
        </w:tc>
        <w:tc>
          <w:tcPr>
            <w:tcW w:type="dxa" w:w="1080"/>
          </w:tcPr>
          <w:p>
            <w:r>
              <w:rPr>
                <w:rFonts w:ascii="Times New Roman" w:hAnsi="Times New Roman" w:eastAsia="新細明體"/>
                <w:sz w:val="18"/>
              </w:rPr>
              <w:t>n.s.</w:t>
            </w:r>
          </w:p>
        </w:tc>
        <w:tc>
          <w:tcPr>
            <w:tcW w:type="dxa" w:w="1080"/>
          </w:tcPr>
          <w:p>
            <w:r>
              <w:rPr>
                <w:rFonts w:ascii="Times New Roman" w:hAnsi="Times New Roman" w:eastAsia="新細明體"/>
                <w:sz w:val="18"/>
              </w:rPr>
              <w:t>9,409</w:t>
            </w:r>
          </w:p>
        </w:tc>
      </w:tr>
    </w:tbl>
    <w:p/>
    <w:p>
      <w:pPr>
        <w:pStyle w:val="Heading1"/>
      </w:pPr>
      <w:r>
        <w:rPr>
          <w:rFonts w:ascii="Times New Roman" w:hAnsi="Times New Roman" w:eastAsia="新細明體"/>
        </w:rPr>
        <w:t>第五章 結論與建議</w:t>
      </w:r>
    </w:p>
    <w:p>
      <w:pPr>
        <w:spacing w:line="360" w:lineRule="auto"/>
        <w:ind w:firstLine="480"/>
      </w:pPr>
      <w:r>
        <w:rPr>
          <w:rFonts w:ascii="Times New Roman" w:hAnsi="Times New Roman" w:eastAsia="新細明體"/>
          <w:b w:val="0"/>
          <w:sz w:val="24"/>
        </w:rPr>
        <w:t>本研究延伸成本黏性架構，納入水管理變數之遞延效果與高／低耗水產業異質性。結果顯示樣本整體存在顯著成本黏性，但水管理之調節效果在當期、遞延期與各產業子樣本中均不顯著。可能原因包括具水資料揭露之樣本仍相對有限、水回收率變異不足，以及水管理投資對成本結構的影響需更長期間或更精細之衡量方能顯現。</w:t>
      </w:r>
    </w:p>
    <w:p>
      <w:pPr>
        <w:spacing w:line="360" w:lineRule="auto"/>
        <w:ind w:firstLine="480"/>
      </w:pPr>
      <w:r>
        <w:rPr>
          <w:rFonts w:ascii="Times New Roman" w:hAnsi="Times New Roman" w:eastAsia="新細明體"/>
          <w:b w:val="0"/>
          <w:sz w:val="24"/>
        </w:rPr>
        <w:t>研究貢獻在於將「水」此一具體環境構面納入成本黏性研究，並以時間落差與產業異質性設計檢視其效果，提供台灣製造業之實證證據。實務上建議主管機關持續推動水資訊揭露標準化；後續研究可延長樣本期間、細分水資源投資類型，或改採更精細的揭露品質衡量，以進一步檢驗其效果。</w:t>
      </w:r>
    </w:p>
    <w:p>
      <w:pPr>
        <w:pStyle w:val="Heading1"/>
      </w:pPr>
      <w:r>
        <w:rPr>
          <w:rFonts w:ascii="Times New Roman" w:hAnsi="Times New Roman" w:eastAsia="新細明體"/>
        </w:rPr>
        <w:t>參考文獻</w:t>
      </w:r>
    </w:p>
    <w:p>
      <w:pPr>
        <w:spacing w:line="360" w:lineRule="auto"/>
        <w:ind w:left="480" w:hanging="480"/>
      </w:pPr>
      <w:r>
        <w:rPr>
          <w:rFonts w:ascii="Times New Roman" w:hAnsi="Times New Roman" w:eastAsia="新細明體"/>
          <w:sz w:val="22"/>
        </w:rPr>
        <w:t>Anderson, M. C., Banker, R. D., &amp; Janakiraman, S. N. (2003). Are selling, general, and administrative costs “sticky”? Journal of Accounting Research, 41(1), 47–63.</w:t>
      </w:r>
    </w:p>
    <w:p>
      <w:pPr>
        <w:spacing w:line="360" w:lineRule="auto"/>
        <w:ind w:left="480" w:hanging="480"/>
      </w:pPr>
      <w:r>
        <w:rPr>
          <w:rFonts w:ascii="Times New Roman" w:hAnsi="Times New Roman" w:eastAsia="新細明體"/>
          <w:sz w:val="22"/>
        </w:rPr>
        <w:t>Jiang, W., &amp; Yang, W. (2024). ESG disclosure and corporate cost stickiness: Evidence from supply-chain relationships. Economics Letters, 238, 111697.</w:t>
      </w:r>
    </w:p>
    <w:p>
      <w:pPr>
        <w:spacing w:line="360" w:lineRule="auto"/>
        <w:ind w:left="480" w:hanging="480"/>
      </w:pPr>
      <w:r>
        <w:rPr>
          <w:rFonts w:ascii="Times New Roman" w:hAnsi="Times New Roman" w:eastAsia="新細明體"/>
          <w:sz w:val="22"/>
        </w:rPr>
        <w:t>Zeng, J., Peng, M., &amp; Chan, K. C. The impact of low-carbon city policy on corporate cost stickiness. (working paper).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