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4"/>
        </w:rPr>
        <w:t>研究進度報告：水管理與廢棄物管理對成本黏性之影響</w:t>
      </w:r>
    </w:p>
    <w:p>
      <w:pPr>
        <w:jc w:val="center"/>
      </w:pPr>
      <w:r>
        <w:rPr>
          <w:rFonts w:ascii="Times New Roman" w:hAnsi="Times New Roman" w:eastAsia="新細明體"/>
        </w:rPr>
        <w:t>——以 TEJ 台灣上市櫃製造業實際資料之初步驗證</w:t>
      </w:r>
    </w:p>
    <w:p>
      <w:pPr>
        <w:spacing w:line="360" w:lineRule="auto"/>
        <w:ind w:firstLine="480"/>
      </w:pPr>
      <w:r>
        <w:rPr>
          <w:rFonts w:ascii="Times New Roman" w:hAnsi="Times New Roman" w:eastAsia="新細明體"/>
          <w:b w:val="0"/>
          <w:sz w:val="24"/>
        </w:rPr>
        <w:t>敬呈 指導教授。前次以「水管理」為題之驗證顯示核心調節效果不顯著；依老師建議，本次在原水管理基礎上再納入「廢棄物管理」指標（實質投入、揭露品質、違規罰鍰），並維持產業與年份固定效果。以下彙報最終設計、結果，以及「僅水管理」與「水＋廢棄物」之對照，懇請老師指示後續方向。</w:t>
      </w:r>
    </w:p>
    <w:p>
      <w:pPr>
        <w:pStyle w:val="Heading2"/>
      </w:pPr>
      <w:r>
        <w:rPr>
          <w:rFonts w:ascii="Times New Roman" w:hAnsi="Times New Roman" w:eastAsia="新細明體"/>
        </w:rPr>
        <w:t>一、研究設計（延續成本黏性 ABJ 模型）</w:t>
      </w:r>
    </w:p>
    <w:p>
      <w:pPr>
        <w:spacing w:line="360" w:lineRule="auto"/>
        <w:ind w:firstLine="480"/>
      </w:pPr>
      <w:r>
        <w:rPr>
          <w:rFonts w:ascii="Times New Roman" w:hAnsi="Times New Roman" w:eastAsia="新細明體"/>
          <w:b w:val="0"/>
          <w:sz w:val="24"/>
        </w:rPr>
        <w:t>應變數 ΔLNSGA（營業費用變動）；核心為 ΔLNREV、收入下降虛擬 D，與環境變數 Env_Var 之三重交乘。實證模型如下：</w:t>
      </w:r>
    </w:p>
    <w:p>
      <w:pPr>
        <w:spacing w:line="360" w:lineRule="auto"/>
      </w:pPr>
      <w:r>
        <w:rPr>
          <w:rFonts w:ascii="Times New Roman" w:hAnsi="Times New Roman" w:eastAsia="新細明體"/>
          <w:b w:val="0"/>
          <w:sz w:val="24"/>
        </w:rPr>
        <w:t>ΔLNSGA = β0 + β1·ΔLNREV + β2·(D×ΔLNREV) + β3·(Env_Var×D×ΔLNREV) + β4·Env_Var + Σ Controls×(D×ΔLNREV) + Σ Industry + Σ Year + ε</w:t>
      </w:r>
    </w:p>
    <w:p>
      <w:pPr>
        <w:spacing w:line="360" w:lineRule="auto"/>
      </w:pPr>
      <w:r>
        <w:rPr>
          <w:rFonts w:ascii="Times New Roman" w:hAnsi="Times New Roman" w:eastAsia="新細明體"/>
          <w:b w:val="0"/>
          <w:sz w:val="24"/>
        </w:rPr>
        <w:t>β2 捕捉整體成本黏性（預期為負）；β3 為核心係數。Env_Var 依模型分別代入六項環境管理變數：模型1 水回收率%(H1)、模型2 水揭露(H2)、模型3 每百萬營收廢棄物(H3)、模型4 GRI廢棄物揭露度(H4)、模型5 事業廢棄物罰鍰次數(H5)。</w:t>
      </w:r>
    </w:p>
    <w:p>
      <w:pPr>
        <w:spacing w:line="360" w:lineRule="auto"/>
        <w:ind w:firstLine="480"/>
      </w:pPr>
      <w:r>
        <w:rPr>
          <w:rFonts w:ascii="Times New Roman" w:hAnsi="Times New Roman" w:eastAsia="新細明體"/>
          <w:b w:val="0"/>
          <w:sz w:val="24"/>
        </w:rPr>
        <w:t>控制變數：企業規模、資產密集度、員工密集度、ROA、財務槓桿、連續兩年營收下降；並控制產業(SASB)與年份固定效果，採公司叢集穩健標準誤、連續變數縮尾 1%。另檢驗當期與遞延（t-1、t-2），並依 TSE 產業別分高／低耗水（高污染）兩組檢驗異質性。資料取自 TEJ，台灣製造業、排除金融、2014–2024，面板 18,137 觀測（1,945 家）。</w:t>
      </w:r>
    </w:p>
    <w:p>
      <w:pPr>
        <w:pStyle w:val="Heading2"/>
      </w:pPr>
      <w:r>
        <w:rPr>
          <w:rFonts w:ascii="Times New Roman" w:hAnsi="Times New Roman" w:eastAsia="新細明體"/>
        </w:rPr>
        <w:t>二、變數與假設（水 vs 廢棄物）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新細明體"/>
                <w:b/>
                <w:sz w:val="18"/>
              </w:rPr>
              <w:t>構面</w:t>
            </w:r>
          </w:p>
        </w:tc>
        <w:tc>
          <w:tcPr>
            <w:tcW w:type="dxa" w:w="1728"/>
          </w:tcPr>
          <w:p>
            <w:r>
              <w:rPr>
                <w:rFonts w:ascii="Times New Roman" w:hAnsi="Times New Roman" w:eastAsia="新細明體"/>
                <w:b/>
                <w:sz w:val="18"/>
              </w:rPr>
              <w:t>主分析 X（實質投入）</w:t>
            </w:r>
          </w:p>
        </w:tc>
        <w:tc>
          <w:tcPr>
            <w:tcW w:type="dxa" w:w="1728"/>
          </w:tcPr>
          <w:p>
            <w:r>
              <w:rPr>
                <w:rFonts w:ascii="Times New Roman" w:hAnsi="Times New Roman" w:eastAsia="新細明體"/>
                <w:b/>
                <w:sz w:val="18"/>
              </w:rPr>
              <w:t>次分析 X（資訊透明度）</w:t>
            </w:r>
          </w:p>
        </w:tc>
        <w:tc>
          <w:tcPr>
            <w:tcW w:type="dxa" w:w="1728"/>
          </w:tcPr>
          <w:p>
            <w:r>
              <w:rPr>
                <w:rFonts w:ascii="Times New Roman" w:hAnsi="Times New Roman" w:eastAsia="新細明體"/>
                <w:b/>
                <w:sz w:val="18"/>
              </w:rPr>
              <w:t>穩健 X（風險）</w:t>
            </w:r>
          </w:p>
        </w:tc>
        <w:tc>
          <w:tcPr>
            <w:tcW w:type="dxa" w:w="1728"/>
          </w:tcPr>
          <w:p>
            <w:r>
              <w:rPr>
                <w:rFonts w:ascii="Times New Roman" w:hAnsi="Times New Roman" w:eastAsia="新細明體"/>
                <w:b/>
                <w:sz w:val="18"/>
              </w:rPr>
              <w:t>假設方向</w:t>
            </w:r>
          </w:p>
        </w:tc>
      </w:tr>
      <w:tr>
        <w:tc>
          <w:tcPr>
            <w:tcW w:type="dxa" w:w="1728"/>
          </w:tcPr>
          <w:p>
            <w:r>
              <w:rPr>
                <w:rFonts w:ascii="Times New Roman" w:hAnsi="Times New Roman" w:eastAsia="新細明體"/>
                <w:sz w:val="18"/>
              </w:rPr>
              <w:t>水管理</w:t>
            </w:r>
          </w:p>
        </w:tc>
        <w:tc>
          <w:tcPr>
            <w:tcW w:type="dxa" w:w="1728"/>
          </w:tcPr>
          <w:p>
            <w:r>
              <w:rPr>
                <w:rFonts w:ascii="Times New Roman" w:hAnsi="Times New Roman" w:eastAsia="新細明體"/>
                <w:sz w:val="18"/>
              </w:rPr>
              <w:t>水回收率%</w:t>
            </w:r>
          </w:p>
        </w:tc>
        <w:tc>
          <w:tcPr>
            <w:tcW w:type="dxa" w:w="1728"/>
          </w:tcPr>
          <w:p>
            <w:r>
              <w:rPr>
                <w:rFonts w:ascii="Times New Roman" w:hAnsi="Times New Roman" w:eastAsia="新細明體"/>
                <w:sz w:val="18"/>
              </w:rPr>
              <w:t>水揭露(有/無)</w:t>
            </w:r>
          </w:p>
        </w:tc>
        <w:tc>
          <w:tcPr>
            <w:tcW w:type="dxa" w:w="1728"/>
          </w:tcPr>
          <w:p>
            <w:r>
              <w:rPr>
                <w:rFonts w:ascii="Times New Roman" w:hAnsi="Times New Roman" w:eastAsia="新細明體"/>
                <w:sz w:val="18"/>
              </w:rPr>
              <w:t>—</w:t>
            </w:r>
          </w:p>
        </w:tc>
        <w:tc>
          <w:tcPr>
            <w:tcW w:type="dxa" w:w="1728"/>
          </w:tcPr>
          <w:p>
            <w:r>
              <w:rPr>
                <w:rFonts w:ascii="Times New Roman" w:hAnsi="Times New Roman" w:eastAsia="新細明體"/>
                <w:sz w:val="18"/>
              </w:rPr>
              <w:t>H1 β3&lt;0、H2 β3&gt;0</w:t>
            </w:r>
          </w:p>
        </w:tc>
      </w:tr>
      <w:tr>
        <w:tc>
          <w:tcPr>
            <w:tcW w:type="dxa" w:w="1728"/>
          </w:tcPr>
          <w:p>
            <w:r>
              <w:rPr>
                <w:rFonts w:ascii="Times New Roman" w:hAnsi="Times New Roman" w:eastAsia="新細明體"/>
                <w:sz w:val="18"/>
              </w:rPr>
              <w:t>廢棄物管理</w:t>
            </w:r>
          </w:p>
        </w:tc>
        <w:tc>
          <w:tcPr>
            <w:tcW w:type="dxa" w:w="1728"/>
          </w:tcPr>
          <w:p>
            <w:r>
              <w:rPr>
                <w:rFonts w:ascii="Times New Roman" w:hAnsi="Times New Roman" w:eastAsia="新細明體"/>
                <w:sz w:val="18"/>
              </w:rPr>
              <w:t>每百萬營收廢棄物</w:t>
            </w:r>
          </w:p>
        </w:tc>
        <w:tc>
          <w:tcPr>
            <w:tcW w:type="dxa" w:w="1728"/>
          </w:tcPr>
          <w:p>
            <w:r>
              <w:rPr>
                <w:rFonts w:ascii="Times New Roman" w:hAnsi="Times New Roman" w:eastAsia="新細明體"/>
                <w:sz w:val="18"/>
              </w:rPr>
              <w:t>GRI廢棄物揭露度</w:t>
            </w:r>
          </w:p>
        </w:tc>
        <w:tc>
          <w:tcPr>
            <w:tcW w:type="dxa" w:w="1728"/>
          </w:tcPr>
          <w:p>
            <w:r>
              <w:rPr>
                <w:rFonts w:ascii="Times New Roman" w:hAnsi="Times New Roman" w:eastAsia="新細明體"/>
                <w:sz w:val="18"/>
              </w:rPr>
              <w:t>事業廢棄物罰鍰次數</w:t>
            </w:r>
          </w:p>
        </w:tc>
        <w:tc>
          <w:tcPr>
            <w:tcW w:type="dxa" w:w="1728"/>
          </w:tcPr>
          <w:p>
            <w:r>
              <w:rPr>
                <w:rFonts w:ascii="Times New Roman" w:hAnsi="Times New Roman" w:eastAsia="新細明體"/>
                <w:sz w:val="18"/>
              </w:rPr>
              <w:t>H3 β3&lt;0、H4 β3&gt;0、H5 β3&lt;0</w:t>
            </w:r>
          </w:p>
        </w:tc>
      </w:tr>
    </w:tbl>
    <w:p>
      <w:pPr>
        <w:spacing w:line="360" w:lineRule="auto"/>
      </w:pPr>
      <w:r>
        <w:rPr>
          <w:rFonts w:ascii="Times New Roman" w:hAnsi="Times New Roman" w:eastAsia="新細明體"/>
          <w:b w:val="0"/>
          <w:sz w:val="24"/>
        </w:rPr>
        <w:t>水管理：H1 水回收投資屬長期專用資產，難裁撤→加劇黏性；H2 揭露提升透明度→緩解黏性。廢棄物管理：H3 廢棄物處理仰賴長期委外合約與專用設施，費用僵固→加劇黏性；H4 高品質揭露具監督效果→緩解黏性；H5 環境違規（罰鍰）具強制降本阻力→加劇黏性。</w:t>
      </w:r>
    </w:p>
    <w:p>
      <w:pPr>
        <w:pStyle w:val="Heading2"/>
      </w:pPr>
      <w:r>
        <w:rPr>
          <w:rFonts w:ascii="Times New Roman" w:hAnsi="Times New Roman" w:eastAsia="新細明體"/>
        </w:rPr>
        <w:t>三、初步結果</w:t>
      </w:r>
    </w:p>
    <w:p>
      <w:pPr>
        <w:spacing w:line="360" w:lineRule="auto"/>
        <w:ind w:firstLine="480"/>
      </w:pPr>
      <w:r>
        <w:rPr>
          <w:rFonts w:ascii="Times New Roman" w:hAnsi="Times New Roman" w:eastAsia="新細明體"/>
          <w:b w:val="0"/>
          <w:sz w:val="24"/>
        </w:rPr>
        <w:t>1. 成本黏性穩健存在：β2（D×ΔLNREV）於水回收率與廢棄物密集度樣本均顯著為負（如廢棄物密集度全樣本 −0.64***、高耗水 t-1 −2.03***）。</w:t>
      </w:r>
    </w:p>
    <w:p>
      <w:pPr>
        <w:spacing w:line="360" w:lineRule="auto"/>
        <w:ind w:firstLine="480"/>
      </w:pPr>
      <w:r>
        <w:rPr>
          <w:rFonts w:ascii="Times New Roman" w:hAnsi="Times New Roman" w:eastAsia="新細明體"/>
          <w:b w:val="0"/>
          <w:sz w:val="24"/>
        </w:rPr>
        <w:t>2. 水管理調節（β3）：18 個設定中顯著者 0 個——即當期、遞延、及高／低耗水各設定下 H1／H2 均未獲支持。</w:t>
      </w:r>
    </w:p>
    <w:p>
      <w:pPr>
        <w:spacing w:line="360" w:lineRule="auto"/>
        <w:ind w:firstLine="480"/>
      </w:pPr>
      <w:r>
        <w:rPr>
          <w:rFonts w:ascii="Times New Roman" w:hAnsi="Times New Roman" w:eastAsia="新細明體"/>
          <w:b w:val="0"/>
          <w:sz w:val="24"/>
        </w:rPr>
        <w:t>3. 廢棄物管理調節（β3）：24 個設定中顯著者 3 個，且集中於高耗水（高污染）產業並具遞延性，方向多支持假設（詳附表二）。</w:t>
      </w:r>
    </w:p>
    <w:p>
      <w:pPr>
        <w:pStyle w:val="Heading2"/>
      </w:pPr>
      <w:r>
        <w:rPr>
          <w:rFonts w:ascii="Times New Roman" w:hAnsi="Times New Roman" w:eastAsia="新細明體"/>
        </w:rPr>
        <w:t>四、洞察</w:t>
      </w:r>
    </w:p>
    <w:p>
      <w:pPr>
        <w:pStyle w:val="ListBullet"/>
        <w:spacing w:line="360" w:lineRule="auto"/>
      </w:pPr>
      <w:r>
        <w:rPr>
          <w:rFonts w:ascii="Times New Roman" w:hAnsi="Times New Roman" w:eastAsia="新細明體"/>
          <w:sz w:val="24"/>
        </w:rPr>
        <w:t>納入廢棄物管理明顯強化研究：主分析有效樣本由水的約千筆擴增至數千筆（每百萬營收廢棄物 3,273、廢棄物揭露 13,875）。</w:t>
      </w:r>
    </w:p>
    <w:p>
      <w:pPr>
        <w:pStyle w:val="ListBullet"/>
        <w:spacing w:line="360" w:lineRule="auto"/>
      </w:pPr>
      <w:r>
        <w:rPr>
          <w:rFonts w:ascii="Times New Roman" w:hAnsi="Times New Roman" w:eastAsia="新細明體"/>
          <w:sz w:val="24"/>
        </w:rPr>
        <w:t>效果具『產業依存＋時間落差』特徵：在高耗水高污染產業、遞延一期（t-1）時，廢棄物密集度與罰鍰對成本黏性呈顯著加劇，符合台灣製造業（半導體、化工、鋼鐵等）廢棄物委外合約僵固與環境違規降本阻力之情境。</w:t>
      </w:r>
    </w:p>
    <w:p>
      <w:pPr>
        <w:pStyle w:val="ListBullet"/>
        <w:spacing w:line="360" w:lineRule="auto"/>
      </w:pPr>
      <w:r>
        <w:rPr>
          <w:rFonts w:ascii="Times New Roman" w:hAnsi="Times New Roman" w:eastAsia="新細明體"/>
          <w:sz w:val="24"/>
        </w:rPr>
        <w:t>純水管理指標於任何設定均不顯著，建議將主軸擴展為『水＋廢棄物』之環境成本行為。</w:t>
      </w:r>
    </w:p>
    <w:p>
      <w:pPr>
        <w:pStyle w:val="Heading2"/>
      </w:pPr>
      <w:r>
        <w:rPr>
          <w:rFonts w:ascii="Times New Roman" w:hAnsi="Times New Roman" w:eastAsia="新細明體"/>
        </w:rPr>
        <w:t>五、請示</w:t>
      </w:r>
    </w:p>
    <w:p>
      <w:pPr>
        <w:spacing w:line="360" w:lineRule="auto"/>
        <w:ind w:firstLine="480"/>
      </w:pPr>
      <w:r>
        <w:rPr>
          <w:rFonts w:ascii="Times New Roman" w:hAnsi="Times New Roman" w:eastAsia="新細明體"/>
          <w:b w:val="0"/>
          <w:sz w:val="24"/>
        </w:rPr>
        <w:t>懇請老師指示是否以『水＋廢棄物管理對成本黏性』為主軸持續深化。若可行，後續將強化衡量（廢棄物密集度、揭露品質指數）、檢視高污染產業與遞延結構之機制，並考慮以環境事件（如環保稽查／罰鍰）作為識別策略。</w:t>
      </w:r>
    </w:p>
    <w:p>
      <w:r>
        <w:br w:type="page"/>
      </w:r>
    </w:p>
    <w:p>
      <w:pPr>
        <w:pStyle w:val="Heading2"/>
      </w:pPr>
      <w:r>
        <w:rPr>
          <w:rFonts w:ascii="Times New Roman" w:hAnsi="Times New Roman" w:eastAsia="新細明體"/>
        </w:rPr>
        <w:t>附表一、水管理 vs 水＋廢棄物管理：整體對照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面向</w:t>
            </w:r>
          </w:p>
        </w:tc>
        <w:tc>
          <w:tcPr>
            <w:tcW w:type="dxa" w:w="2880"/>
          </w:tcPr>
          <w:p>
            <w:r>
              <w:rPr>
                <w:rFonts w:ascii="Times New Roman" w:hAnsi="Times New Roman" w:eastAsia="新細明體"/>
                <w:b/>
                <w:sz w:val="18"/>
              </w:rPr>
              <w:t>僅水管理（原）</w:t>
            </w:r>
          </w:p>
        </w:tc>
        <w:tc>
          <w:tcPr>
            <w:tcW w:type="dxa" w:w="2880"/>
          </w:tcPr>
          <w:p>
            <w:r>
              <w:rPr>
                <w:rFonts w:ascii="Times New Roman" w:hAnsi="Times New Roman" w:eastAsia="新細明體"/>
                <w:b/>
                <w:sz w:val="18"/>
              </w:rPr>
              <w:t>水＋廢棄物管理（新）</w:t>
            </w:r>
          </w:p>
        </w:tc>
      </w:tr>
      <w:tr>
        <w:tc>
          <w:tcPr>
            <w:tcW w:type="dxa" w:w="2880"/>
          </w:tcPr>
          <w:p>
            <w:r>
              <w:rPr>
                <w:rFonts w:ascii="Times New Roman" w:hAnsi="Times New Roman" w:eastAsia="新細明體"/>
                <w:sz w:val="18"/>
              </w:rPr>
              <w:t>環境構面</w:t>
            </w:r>
          </w:p>
        </w:tc>
        <w:tc>
          <w:tcPr>
            <w:tcW w:type="dxa" w:w="2880"/>
          </w:tcPr>
          <w:p>
            <w:r>
              <w:rPr>
                <w:rFonts w:ascii="Times New Roman" w:hAnsi="Times New Roman" w:eastAsia="新細明體"/>
                <w:sz w:val="18"/>
              </w:rPr>
              <w:t>水（回收率、揭露）</w:t>
            </w:r>
          </w:p>
        </w:tc>
        <w:tc>
          <w:tcPr>
            <w:tcW w:type="dxa" w:w="2880"/>
          </w:tcPr>
          <w:p>
            <w:r>
              <w:rPr>
                <w:rFonts w:ascii="Times New Roman" w:hAnsi="Times New Roman" w:eastAsia="新細明體"/>
                <w:sz w:val="18"/>
              </w:rPr>
              <w:t>水 ＋ 廢棄物（密集度、揭露、罰鍰）</w:t>
            </w:r>
          </w:p>
        </w:tc>
      </w:tr>
      <w:tr>
        <w:tc>
          <w:tcPr>
            <w:tcW w:type="dxa" w:w="2880"/>
          </w:tcPr>
          <w:p>
            <w:r>
              <w:rPr>
                <w:rFonts w:ascii="Times New Roman" w:hAnsi="Times New Roman" w:eastAsia="新細明體"/>
                <w:sz w:val="18"/>
              </w:rPr>
              <w:t>研究假設</w:t>
            </w:r>
          </w:p>
        </w:tc>
        <w:tc>
          <w:tcPr>
            <w:tcW w:type="dxa" w:w="2880"/>
          </w:tcPr>
          <w:p>
            <w:r>
              <w:rPr>
                <w:rFonts w:ascii="Times New Roman" w:hAnsi="Times New Roman" w:eastAsia="新細明體"/>
                <w:sz w:val="18"/>
              </w:rPr>
              <w:t>H1、H2</w:t>
            </w:r>
          </w:p>
        </w:tc>
        <w:tc>
          <w:tcPr>
            <w:tcW w:type="dxa" w:w="2880"/>
          </w:tcPr>
          <w:p>
            <w:r>
              <w:rPr>
                <w:rFonts w:ascii="Times New Roman" w:hAnsi="Times New Roman" w:eastAsia="新細明體"/>
                <w:sz w:val="18"/>
              </w:rPr>
              <w:t>H1、H2 ＋ H3、H4、H5</w:t>
            </w:r>
          </w:p>
        </w:tc>
      </w:tr>
      <w:tr>
        <w:tc>
          <w:tcPr>
            <w:tcW w:type="dxa" w:w="2880"/>
          </w:tcPr>
          <w:p>
            <w:r>
              <w:rPr>
                <w:rFonts w:ascii="Times New Roman" w:hAnsi="Times New Roman" w:eastAsia="新細明體"/>
                <w:sz w:val="18"/>
              </w:rPr>
              <w:t>主迴歸模型數</w:t>
            </w:r>
          </w:p>
        </w:tc>
        <w:tc>
          <w:tcPr>
            <w:tcW w:type="dxa" w:w="2880"/>
          </w:tcPr>
          <w:p>
            <w:r>
              <w:rPr>
                <w:rFonts w:ascii="Times New Roman" w:hAnsi="Times New Roman" w:eastAsia="新細明體"/>
                <w:sz w:val="18"/>
              </w:rPr>
              <w:t>2（模型1/2）</w:t>
            </w:r>
          </w:p>
        </w:tc>
        <w:tc>
          <w:tcPr>
            <w:tcW w:type="dxa" w:w="2880"/>
          </w:tcPr>
          <w:p>
            <w:r>
              <w:rPr>
                <w:rFonts w:ascii="Times New Roman" w:hAnsi="Times New Roman" w:eastAsia="新細明體"/>
                <w:sz w:val="18"/>
              </w:rPr>
              <w:t>5（模型1–5）</w:t>
            </w:r>
          </w:p>
        </w:tc>
      </w:tr>
      <w:tr>
        <w:tc>
          <w:tcPr>
            <w:tcW w:type="dxa" w:w="2880"/>
          </w:tcPr>
          <w:p>
            <w:r>
              <w:rPr>
                <w:rFonts w:ascii="Times New Roman" w:hAnsi="Times New Roman" w:eastAsia="新細明體"/>
                <w:sz w:val="18"/>
              </w:rPr>
              <w:t>穩健性設定數</w:t>
            </w:r>
          </w:p>
        </w:tc>
        <w:tc>
          <w:tcPr>
            <w:tcW w:type="dxa" w:w="2880"/>
          </w:tcPr>
          <w:p>
            <w:r>
              <w:rPr>
                <w:rFonts w:ascii="Times New Roman" w:hAnsi="Times New Roman" w:eastAsia="新細明體"/>
                <w:sz w:val="18"/>
              </w:rPr>
              <w:t>18</w:t>
            </w:r>
          </w:p>
        </w:tc>
        <w:tc>
          <w:tcPr>
            <w:tcW w:type="dxa" w:w="2880"/>
          </w:tcPr>
          <w:p>
            <w:r>
              <w:rPr>
                <w:rFonts w:ascii="Times New Roman" w:hAnsi="Times New Roman" w:eastAsia="新細明體"/>
                <w:sz w:val="18"/>
              </w:rPr>
              <w:t>42</w:t>
            </w:r>
          </w:p>
        </w:tc>
      </w:tr>
      <w:tr>
        <w:tc>
          <w:tcPr>
            <w:tcW w:type="dxa" w:w="2880"/>
          </w:tcPr>
          <w:p>
            <w:r>
              <w:rPr>
                <w:rFonts w:ascii="Times New Roman" w:hAnsi="Times New Roman" w:eastAsia="新細明體"/>
                <w:sz w:val="18"/>
              </w:rPr>
              <w:t>主分析可用樣本</w:t>
            </w:r>
          </w:p>
        </w:tc>
        <w:tc>
          <w:tcPr>
            <w:tcW w:type="dxa" w:w="2880"/>
          </w:tcPr>
          <w:p>
            <w:r>
              <w:rPr>
                <w:rFonts w:ascii="Times New Roman" w:hAnsi="Times New Roman" w:eastAsia="新細明體"/>
                <w:sz w:val="18"/>
              </w:rPr>
              <w:t>水回收率 996</w:t>
            </w:r>
          </w:p>
        </w:tc>
        <w:tc>
          <w:tcPr>
            <w:tcW w:type="dxa" w:w="2880"/>
          </w:tcPr>
          <w:p>
            <w:r>
              <w:rPr>
                <w:rFonts w:ascii="Times New Roman" w:hAnsi="Times New Roman" w:eastAsia="新細明體"/>
                <w:sz w:val="18"/>
              </w:rPr>
              <w:t>廢棄物密集度 3,273</w:t>
            </w:r>
          </w:p>
        </w:tc>
      </w:tr>
      <w:tr>
        <w:tc>
          <w:tcPr>
            <w:tcW w:type="dxa" w:w="2880"/>
          </w:tcPr>
          <w:p>
            <w:r>
              <w:rPr>
                <w:rFonts w:ascii="Times New Roman" w:hAnsi="Times New Roman" w:eastAsia="新細明體"/>
                <w:sz w:val="18"/>
              </w:rPr>
              <w:t>揭露樣本</w:t>
            </w:r>
          </w:p>
        </w:tc>
        <w:tc>
          <w:tcPr>
            <w:tcW w:type="dxa" w:w="2880"/>
          </w:tcPr>
          <w:p>
            <w:r>
              <w:rPr>
                <w:rFonts w:ascii="Times New Roman" w:hAnsi="Times New Roman" w:eastAsia="新細明體"/>
                <w:sz w:val="18"/>
              </w:rPr>
              <w:t>水揭露 16,661</w:t>
            </w:r>
          </w:p>
        </w:tc>
        <w:tc>
          <w:tcPr>
            <w:tcW w:type="dxa" w:w="2880"/>
          </w:tcPr>
          <w:p>
            <w:r>
              <w:rPr>
                <w:rFonts w:ascii="Times New Roman" w:hAnsi="Times New Roman" w:eastAsia="新細明體"/>
                <w:sz w:val="18"/>
              </w:rPr>
              <w:t>廢棄物揭露 13,875</w:t>
            </w:r>
          </w:p>
        </w:tc>
      </w:tr>
      <w:tr>
        <w:tc>
          <w:tcPr>
            <w:tcW w:type="dxa" w:w="2880"/>
          </w:tcPr>
          <w:p>
            <w:r>
              <w:rPr>
                <w:rFonts w:ascii="Times New Roman" w:hAnsi="Times New Roman" w:eastAsia="新細明體"/>
                <w:sz w:val="18"/>
              </w:rPr>
              <w:t>β2 成本黏性</w:t>
            </w:r>
          </w:p>
        </w:tc>
        <w:tc>
          <w:tcPr>
            <w:tcW w:type="dxa" w:w="2880"/>
          </w:tcPr>
          <w:p>
            <w:r>
              <w:rPr>
                <w:rFonts w:ascii="Times New Roman" w:hAnsi="Times New Roman" w:eastAsia="新細明體"/>
                <w:sz w:val="18"/>
              </w:rPr>
              <w:t>顯著為負</w:t>
            </w:r>
          </w:p>
        </w:tc>
        <w:tc>
          <w:tcPr>
            <w:tcW w:type="dxa" w:w="2880"/>
          </w:tcPr>
          <w:p>
            <w:r>
              <w:rPr>
                <w:rFonts w:ascii="Times New Roman" w:hAnsi="Times New Roman" w:eastAsia="新細明體"/>
                <w:sz w:val="18"/>
              </w:rPr>
              <w:t>顯著為負（水、廢棄物皆是）</w:t>
            </w:r>
          </w:p>
        </w:tc>
      </w:tr>
      <w:tr>
        <w:tc>
          <w:tcPr>
            <w:tcW w:type="dxa" w:w="2880"/>
          </w:tcPr>
          <w:p>
            <w:r>
              <w:rPr>
                <w:rFonts w:ascii="Times New Roman" w:hAnsi="Times New Roman" w:eastAsia="新細明體"/>
                <w:sz w:val="18"/>
              </w:rPr>
              <w:t>β3 顯著設定數</w:t>
            </w:r>
          </w:p>
        </w:tc>
        <w:tc>
          <w:tcPr>
            <w:tcW w:type="dxa" w:w="2880"/>
          </w:tcPr>
          <w:p>
            <w:r>
              <w:rPr>
                <w:rFonts w:ascii="Times New Roman" w:hAnsi="Times New Roman" w:eastAsia="新細明體"/>
                <w:sz w:val="18"/>
              </w:rPr>
              <w:t>0 / 18</w:t>
            </w:r>
          </w:p>
        </w:tc>
        <w:tc>
          <w:tcPr>
            <w:tcW w:type="dxa" w:w="2880"/>
          </w:tcPr>
          <w:p>
            <w:r>
              <w:rPr>
                <w:rFonts w:ascii="Times New Roman" w:hAnsi="Times New Roman" w:eastAsia="新細明體"/>
                <w:sz w:val="18"/>
              </w:rPr>
              <w:t>3 / 24（廢棄物）</w:t>
            </w:r>
          </w:p>
        </w:tc>
      </w:tr>
      <w:tr>
        <w:tc>
          <w:tcPr>
            <w:tcW w:type="dxa" w:w="2880"/>
          </w:tcPr>
          <w:p>
            <w:r>
              <w:rPr>
                <w:rFonts w:ascii="Times New Roman" w:hAnsi="Times New Roman" w:eastAsia="新細明體"/>
                <w:sz w:val="18"/>
              </w:rPr>
              <w:t>核心結論</w:t>
            </w:r>
          </w:p>
        </w:tc>
        <w:tc>
          <w:tcPr>
            <w:tcW w:type="dxa" w:w="2880"/>
          </w:tcPr>
          <w:p>
            <w:r>
              <w:rPr>
                <w:rFonts w:ascii="Times New Roman" w:hAnsi="Times New Roman" w:eastAsia="新細明體"/>
                <w:sz w:val="18"/>
              </w:rPr>
              <w:t>H1/H2 皆不顯著</w:t>
            </w:r>
          </w:p>
        </w:tc>
        <w:tc>
          <w:tcPr>
            <w:tcW w:type="dxa" w:w="2880"/>
          </w:tcPr>
          <w:p>
            <w:r>
              <w:rPr>
                <w:rFonts w:ascii="Times New Roman" w:hAnsi="Times New Roman" w:eastAsia="新細明體"/>
                <w:sz w:val="18"/>
              </w:rPr>
              <w:t>廢棄物於高污染產業＋遞延出現顯著（支持H3/H5）</w:t>
            </w:r>
          </w:p>
        </w:tc>
      </w:tr>
    </w:tbl>
    <w:p>
      <w:pPr>
        <w:pStyle w:val="Heading2"/>
      </w:pPr>
      <w:r>
        <w:rPr>
          <w:rFonts w:ascii="Times New Roman" w:hAnsi="Times New Roman" w:eastAsia="新細明體"/>
        </w:rPr>
        <w:t>附表二、廢棄物管理達顯著之設定（β3）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廢棄物衡量</w:t>
            </w:r>
          </w:p>
        </w:tc>
        <w:tc>
          <w:tcPr>
            <w:tcW w:type="dxa" w:w="1234"/>
          </w:tcPr>
          <w:p>
            <w:r>
              <w:rPr>
                <w:rFonts w:ascii="Times New Roman" w:hAnsi="Times New Roman" w:eastAsia="新細明體"/>
                <w:b/>
                <w:sz w:val="18"/>
              </w:rPr>
              <w:t>產業組</w:t>
            </w:r>
          </w:p>
        </w:tc>
        <w:tc>
          <w:tcPr>
            <w:tcW w:type="dxa" w:w="1234"/>
          </w:tcPr>
          <w:p>
            <w:r>
              <w:rPr>
                <w:rFonts w:ascii="Times New Roman" w:hAnsi="Times New Roman" w:eastAsia="新細明體"/>
                <w:b/>
                <w:sz w:val="18"/>
              </w:rPr>
              <w:t>遞延期</w:t>
            </w:r>
          </w:p>
        </w:tc>
        <w:tc>
          <w:tcPr>
            <w:tcW w:type="dxa" w:w="1234"/>
          </w:tcPr>
          <w:p>
            <w:r>
              <w:rPr>
                <w:rFonts w:ascii="Times New Roman" w:hAnsi="Times New Roman" w:eastAsia="新細明體"/>
                <w:b/>
                <w:sz w:val="18"/>
              </w:rPr>
              <w:t>β3</w:t>
            </w:r>
          </w:p>
        </w:tc>
        <w:tc>
          <w:tcPr>
            <w:tcW w:type="dxa" w:w="1234"/>
          </w:tcPr>
          <w:p>
            <w:r>
              <w:rPr>
                <w:rFonts w:ascii="Times New Roman" w:hAnsi="Times New Roman" w:eastAsia="新細明體"/>
                <w:b/>
                <w:sz w:val="18"/>
              </w:rPr>
              <w:t>方向</w:t>
            </w:r>
          </w:p>
        </w:tc>
        <w:tc>
          <w:tcPr>
            <w:tcW w:type="dxa" w:w="1234"/>
          </w:tcPr>
          <w:p>
            <w:r>
              <w:rPr>
                <w:rFonts w:ascii="Times New Roman" w:hAnsi="Times New Roman" w:eastAsia="新細明體"/>
                <w:b/>
                <w:sz w:val="18"/>
              </w:rPr>
              <w:t>是否支持假設</w:t>
            </w:r>
          </w:p>
        </w:tc>
        <w:tc>
          <w:tcPr>
            <w:tcW w:type="dxa" w:w="1234"/>
          </w:tcPr>
          <w:p>
            <w:r>
              <w:rPr>
                <w:rFonts w:ascii="Times New Roman" w:hAnsi="Times New Roman" w:eastAsia="新細明體"/>
                <w:b/>
                <w:sz w:val="18"/>
              </w:rPr>
              <w:t>N</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高耗水</w:t>
            </w:r>
          </w:p>
        </w:tc>
        <w:tc>
          <w:tcPr>
            <w:tcW w:type="dxa" w:w="1234"/>
          </w:tcPr>
          <w:p>
            <w:r>
              <w:rPr>
                <w:rFonts w:ascii="Times New Roman" w:hAnsi="Times New Roman" w:eastAsia="新細明體"/>
                <w:sz w:val="18"/>
              </w:rPr>
              <w:t>t-1</w:t>
            </w:r>
          </w:p>
        </w:tc>
        <w:tc>
          <w:tcPr>
            <w:tcW w:type="dxa" w:w="1234"/>
          </w:tcPr>
          <w:p>
            <w:r>
              <w:rPr>
                <w:rFonts w:ascii="Times New Roman" w:hAnsi="Times New Roman" w:eastAsia="新細明體"/>
                <w:sz w:val="18"/>
              </w:rPr>
              <w:t>-0.0503*</w:t>
            </w:r>
          </w:p>
        </w:tc>
        <w:tc>
          <w:tcPr>
            <w:tcW w:type="dxa" w:w="1234"/>
          </w:tcPr>
          <w:p>
            <w:r>
              <w:rPr>
                <w:rFonts w:ascii="Times New Roman" w:hAnsi="Times New Roman" w:eastAsia="新細明體"/>
                <w:sz w:val="18"/>
              </w:rPr>
              <w:t>加劇黏性</w:t>
            </w:r>
          </w:p>
        </w:tc>
        <w:tc>
          <w:tcPr>
            <w:tcW w:type="dxa" w:w="1234"/>
          </w:tcPr>
          <w:p>
            <w:r>
              <w:rPr>
                <w:rFonts w:ascii="Times New Roman" w:hAnsi="Times New Roman" w:eastAsia="新細明體"/>
                <w:sz w:val="18"/>
              </w:rPr>
              <w:t>支持 H3</w:t>
            </w:r>
          </w:p>
        </w:tc>
        <w:tc>
          <w:tcPr>
            <w:tcW w:type="dxa" w:w="1234"/>
          </w:tcPr>
          <w:p>
            <w:r>
              <w:rPr>
                <w:rFonts w:ascii="Times New Roman" w:hAnsi="Times New Roman" w:eastAsia="新細明體"/>
                <w:sz w:val="18"/>
              </w:rPr>
              <w:t>699</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低耗水</w:t>
            </w:r>
          </w:p>
        </w:tc>
        <w:tc>
          <w:tcPr>
            <w:tcW w:type="dxa" w:w="1234"/>
          </w:tcPr>
          <w:p>
            <w:r>
              <w:rPr>
                <w:rFonts w:ascii="Times New Roman" w:hAnsi="Times New Roman" w:eastAsia="新細明體"/>
                <w:sz w:val="18"/>
              </w:rPr>
              <w:t>t-0</w:t>
            </w:r>
          </w:p>
        </w:tc>
        <w:tc>
          <w:tcPr>
            <w:tcW w:type="dxa" w:w="1234"/>
          </w:tcPr>
          <w:p>
            <w:r>
              <w:rPr>
                <w:rFonts w:ascii="Times New Roman" w:hAnsi="Times New Roman" w:eastAsia="新細明體"/>
                <w:sz w:val="18"/>
              </w:rPr>
              <w:t>0.0352*</w:t>
            </w:r>
          </w:p>
        </w:tc>
        <w:tc>
          <w:tcPr>
            <w:tcW w:type="dxa" w:w="1234"/>
          </w:tcPr>
          <w:p>
            <w:r>
              <w:rPr>
                <w:rFonts w:ascii="Times New Roman" w:hAnsi="Times New Roman" w:eastAsia="新細明體"/>
                <w:sz w:val="18"/>
              </w:rPr>
              <w:t>緩解黏性</w:t>
            </w:r>
          </w:p>
        </w:tc>
        <w:tc>
          <w:tcPr>
            <w:tcW w:type="dxa" w:w="1234"/>
          </w:tcPr>
          <w:p>
            <w:r>
              <w:rPr>
                <w:rFonts w:ascii="Times New Roman" w:hAnsi="Times New Roman" w:eastAsia="新細明體"/>
                <w:sz w:val="18"/>
              </w:rPr>
              <w:t>與 H3 相反</w:t>
            </w:r>
          </w:p>
        </w:tc>
        <w:tc>
          <w:tcPr>
            <w:tcW w:type="dxa" w:w="1234"/>
          </w:tcPr>
          <w:p>
            <w:r>
              <w:rPr>
                <w:rFonts w:ascii="Times New Roman" w:hAnsi="Times New Roman" w:eastAsia="新細明體"/>
                <w:sz w:val="18"/>
              </w:rPr>
              <w:t>1,884</w:t>
            </w:r>
          </w:p>
        </w:tc>
      </w:tr>
      <w:tr>
        <w:tc>
          <w:tcPr>
            <w:tcW w:type="dxa" w:w="1234"/>
          </w:tcPr>
          <w:p>
            <w:r>
              <w:rPr>
                <w:rFonts w:ascii="Times New Roman" w:hAnsi="Times New Roman" w:eastAsia="新細明體"/>
                <w:sz w:val="18"/>
              </w:rPr>
              <w:t>廢棄物罰鍰</w:t>
            </w:r>
          </w:p>
        </w:tc>
        <w:tc>
          <w:tcPr>
            <w:tcW w:type="dxa" w:w="1234"/>
          </w:tcPr>
          <w:p>
            <w:r>
              <w:rPr>
                <w:rFonts w:ascii="Times New Roman" w:hAnsi="Times New Roman" w:eastAsia="新細明體"/>
                <w:sz w:val="18"/>
              </w:rPr>
              <w:t>高耗水</w:t>
            </w:r>
          </w:p>
        </w:tc>
        <w:tc>
          <w:tcPr>
            <w:tcW w:type="dxa" w:w="1234"/>
          </w:tcPr>
          <w:p>
            <w:r>
              <w:rPr>
                <w:rFonts w:ascii="Times New Roman" w:hAnsi="Times New Roman" w:eastAsia="新細明體"/>
                <w:sz w:val="18"/>
              </w:rPr>
              <w:t>t-1</w:t>
            </w:r>
          </w:p>
        </w:tc>
        <w:tc>
          <w:tcPr>
            <w:tcW w:type="dxa" w:w="1234"/>
          </w:tcPr>
          <w:p>
            <w:r>
              <w:rPr>
                <w:rFonts w:ascii="Times New Roman" w:hAnsi="Times New Roman" w:eastAsia="新細明體"/>
                <w:sz w:val="18"/>
              </w:rPr>
              <w:t>-0.0032***</w:t>
            </w:r>
          </w:p>
        </w:tc>
        <w:tc>
          <w:tcPr>
            <w:tcW w:type="dxa" w:w="1234"/>
          </w:tcPr>
          <w:p>
            <w:r>
              <w:rPr>
                <w:rFonts w:ascii="Times New Roman" w:hAnsi="Times New Roman" w:eastAsia="新細明體"/>
                <w:sz w:val="18"/>
              </w:rPr>
              <w:t>加劇黏性</w:t>
            </w:r>
          </w:p>
        </w:tc>
        <w:tc>
          <w:tcPr>
            <w:tcW w:type="dxa" w:w="1234"/>
          </w:tcPr>
          <w:p>
            <w:r>
              <w:rPr>
                <w:rFonts w:ascii="Times New Roman" w:hAnsi="Times New Roman" w:eastAsia="新細明體"/>
                <w:sz w:val="18"/>
              </w:rPr>
              <w:t>支持 H5</w:t>
            </w:r>
          </w:p>
        </w:tc>
        <w:tc>
          <w:tcPr>
            <w:tcW w:type="dxa" w:w="1234"/>
          </w:tcPr>
          <w:p>
            <w:r>
              <w:rPr>
                <w:rFonts w:ascii="Times New Roman" w:hAnsi="Times New Roman" w:eastAsia="新細明體"/>
                <w:sz w:val="18"/>
              </w:rPr>
              <w:t>1,989</w:t>
            </w:r>
          </w:p>
        </w:tc>
      </w:tr>
    </w:tbl>
    <w:p>
      <w:pPr>
        <w:spacing w:line="360" w:lineRule="auto"/>
      </w:pPr>
      <w:r>
        <w:rPr>
          <w:rFonts w:ascii="Times New Roman" w:hAnsi="Times New Roman" w:eastAsia="新細明體"/>
          <w:b w:val="0"/>
          <w:sz w:val="24"/>
        </w:rPr>
        <w:t>說明：星號 *、**、*** 分別代表 10%、5%、1% 顯著水準；假設方向為 H3 密集度加劇（β3&lt;0）、H4 揭露緩解（β3&gt;0）、H5 罰鍰加劇（β3&lt;0），理論主要適用於高耗水（高污染）產業。相對於水管理在所有設定均不顯著，廢棄物管理在高污染產業並考量時間落差後出現支持假設之顯著調節，顯示廢棄物構面對台灣製造業成本行為的解釋力較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