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E4F63"/>
          <w:sz w:val="44"/>
          <w:szCs w:val="44"/>
        </w:rPr>
        <w:t xml:space="preserve">Output dell'analisi EEG IPS</w:t>
      </w:r>
    </w:p>
    <w:p>
      <w:pPr>
        <w:spacing w:after="80"/>
      </w:pPr>
      <w:r>
        <w:rPr>
          <w:rFonts w:ascii="Arial" w:cs="Arial" w:eastAsia="Arial" w:hAnsi="Arial"/>
          <w:color w:val="56616E"/>
          <w:sz w:val="24"/>
          <w:szCs w:val="24"/>
        </w:rPr>
        <w:t xml:space="preserve">Descrizione di figure, tabelle e file prodotti da MAIN_IPS.py e plot_ips.py</w:t>
      </w:r>
    </w:p>
    <w:p>
      <w:pPr>
        <w:pBdr>
          <w:bottom w:val="single" w:color="0E6F8A" w:sz="6" w:space="6"/>
        </w:pBdr>
        <w:spacing w:after="240"/>
      </w:pPr>
      <w:r>
        <w:rPr>
          <w:rFonts w:ascii="Arial" w:cs="Arial" w:eastAsia="Arial" w:hAnsi="Arial"/>
          <w:color w:val="56616E"/>
          <w:sz w:val="20"/>
          <w:szCs w:val="20"/>
        </w:rPr>
        <w:t xml:space="preserve">Repository brain-indexes-phd · ottobre 2026</w:t>
      </w:r>
    </w:p>
    <w:p>
      <w:pPr>
        <w:pStyle w:val="Heading1"/>
        <w:spacing w:after="160" w:before="360"/>
      </w:pPr>
      <w:r>
        <w:rPr>
          <w:rFonts w:ascii="Arial" w:cs="Arial" w:eastAsia="Arial" w:hAnsi="Arial"/>
        </w:rPr>
        <w:t xml:space="preserve">Introduzione</w:t>
      </w:r>
    </w:p>
    <w:p>
      <w:pPr>
        <w:spacing w:after="120"/>
      </w:pPr>
      <w:r>
        <w:rPr>
          <w:rFonts w:ascii="Arial" w:cs="Arial" w:eastAsia="Arial" w:hAnsi="Arial"/>
          <w:sz w:val="22"/>
          <w:szCs w:val="22"/>
        </w:rPr>
        <w:t xml:space="preserve">La pipeline produce 13 figure (fig1–fig14, la fig7 è stata eliminata), 2 grafici interattivi HTML, un file Excel con 13 fogli, il file results.pkl e alcune stampe in console. Tutto viene salvato nella cartella OUT_DIR impostata in config_ips.py.</w:t>
      </w:r>
    </w:p>
    <w:p>
      <w:pPr>
        <w:spacing w:after="120"/>
      </w:pPr>
      <w:r>
        <w:rPr>
          <w:rFonts w:ascii="Arial" w:cs="Arial" w:eastAsia="Arial" w:hAnsi="Arial"/>
          <w:sz w:val="22"/>
          <w:szCs w:val="22"/>
        </w:rPr>
        <w:t xml:space="preserve">Per ogni output trovi quattro voci: Cosa mostra, Come si legge, Come è calcolato e Attenzione (limiti e controlli da fare).</w:t>
      </w:r>
    </w:p>
    <w:p>
      <w:pPr>
        <w:pStyle w:val="Heading1"/>
        <w:spacing w:after="160" w:before="360"/>
      </w:pPr>
      <w:r>
        <w:rPr>
          <w:rFonts w:ascii="Arial" w:cs="Arial" w:eastAsia="Arial" w:hAnsi="Arial"/>
        </w:rPr>
        <w:t xml:space="preserve">Convenzioni comuni a tutti gli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C7D1" w:sz="4"/>
              <w:left w:val="single" w:color="BFC7D1" w:sz="4"/>
              <w:bottom w:val="single" w:color="BFC7D1" w:sz="4"/>
              <w:right w:val="single" w:color="BFC7D1" w:sz="4"/>
            </w:tcBorders>
            <w:shd w:fill="E3ECF2" w:color="auto" w:val="clear"/>
            <w:tcMar>
              <w:top w:type="dxa" w:w="80"/>
              <w:left w:type="dxa" w:w="110"/>
              <w:bottom w:type="dxa" w:w="80"/>
              <w:right w:type="dxa" w:w="110"/>
            </w:tcMar>
          </w:tcPr>
          <w:p>
            <w:r>
              <w:rPr>
                <w:rFonts w:ascii="Arial" w:cs="Arial" w:eastAsia="Arial" w:hAnsi="Arial"/>
                <w:b/>
                <w:bCs/>
                <w:sz w:val="20"/>
                <w:szCs w:val="20"/>
              </w:rPr>
              <w:t xml:space="preserve">Voce</w:t>
            </w:r>
          </w:p>
        </w:tc>
        <w:tc>
          <w:tcPr>
            <w:tcW w:type="dxa" w:w="7338"/>
            <w:tcBorders>
              <w:top w:val="single" w:color="BFC7D1" w:sz="4"/>
              <w:left w:val="single" w:color="BFC7D1" w:sz="4"/>
              <w:bottom w:val="single" w:color="BFC7D1" w:sz="4"/>
              <w:right w:val="single" w:color="BFC7D1" w:sz="4"/>
            </w:tcBorders>
            <w:shd w:fill="E3ECF2" w:color="auto" w:val="clear"/>
            <w:tcMar>
              <w:top w:type="dxa" w:w="80"/>
              <w:left w:type="dxa" w:w="110"/>
              <w:bottom w:type="dxa" w:w="80"/>
              <w:right w:type="dxa" w:w="110"/>
            </w:tcMar>
          </w:tcPr>
          <w:p>
            <w:r>
              <w:rPr>
                <w:rFonts w:ascii="Arial" w:cs="Arial" w:eastAsia="Arial" w:hAnsi="Arial"/>
                <w:b/>
                <w:bCs/>
                <w:sz w:val="20"/>
                <w:szCs w:val="20"/>
              </w:rPr>
              <w:t xml:space="preserve">Significato</w:t>
            </w:r>
          </w:p>
        </w:tc>
      </w:tr>
      <w:tr>
        <w:tc>
          <w:tcPr>
            <w:tcW w:type="dxa" w:w="2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Ordine di esecuzione</w:t>
            </w:r>
          </w:p>
        </w:tc>
        <w:tc>
          <w:tcPr>
            <w:tcW w:type="dxa" w:w="7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MAIN_IPS.py legge gli EEG, fa tutti i calcoli e salva Excel e results.pkl. plot_ips.py legge results.pkl e disegna le figure senza ricalcolare. Se si cambia un parametro di calcolo in config_ips.py va rilanciato MAIN_IPS.py; se si cambia solo l'aspetto delle figure basta plot_ips.py.</w:t>
            </w:r>
          </w:p>
        </w:tc>
      </w:tr>
      <w:tr>
        <w:tc>
          <w:tcPr>
            <w:tcW w:type="dxa" w:w="2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Gruppi e colori</w:t>
            </w:r>
          </w:p>
        </w:tc>
        <w:tc>
          <w:tcPr>
            <w:tcW w:type="dxa" w:w="7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Fotosensibili in rosso, non fotosensibili in blu (COLORS in config_ips.py).</w:t>
            </w:r>
          </w:p>
        </w:tc>
      </w:tr>
      <w:tr>
        <w:tc>
          <w:tcPr>
            <w:tcW w:type="dxa" w:w="2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Unità di analisi</w:t>
            </w:r>
          </w:p>
        </w:tc>
        <w:tc>
          <w:tcPr>
            <w:tcW w:type="dxa" w:w="7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Nei test tra gruppi ogni soggetto conta come un solo valore, di solito la media sui canali e sulle epoche. Canali ed epoche dello stesso soggetto non sono indipendenti: usarli come osservazioni separate darebbe p artificialmente piccoli.</w:t>
            </w:r>
          </w:p>
        </w:tc>
      </w:tr>
      <w:tr>
        <w:tc>
          <w:tcPr>
            <w:tcW w:type="dxa" w:w="2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Test tra gruppi</w:t>
            </w:r>
          </w:p>
        </w:tc>
        <w:tc>
          <w:tcPr>
            <w:tcW w:type="dxa" w:w="7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Mann-Whitney U bilaterale (Kruskal-Wallis con più di due gruppi). Lavora sui ranghi, quindi è adatto a gruppi piccoli e a dati non gaussiani.</w:t>
            </w:r>
          </w:p>
        </w:tc>
      </w:tr>
      <w:tr>
        <w:tc>
          <w:tcPr>
            <w:tcW w:type="dxa" w:w="2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Confronti multipli</w:t>
            </w:r>
          </w:p>
        </w:tc>
        <w:tc>
          <w:tcPr>
            <w:tcW w:type="dxa" w:w="7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Correzione FDR di Benjamini-Hochberg; il valore corretto si chiama q (o p_fdr). Si corregge sulle misure confrontate nella stessa figura o tabella, e sui canali solo nelle topografie.</w:t>
            </w:r>
          </w:p>
        </w:tc>
      </w:tr>
      <w:tr>
        <w:tc>
          <w:tcPr>
            <w:tcW w:type="dxa" w:w="2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Stelline</w:t>
            </w:r>
          </w:p>
        </w:tc>
        <w:tc>
          <w:tcPr>
            <w:tcW w:type="dxa" w:w="7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 p &lt; 0.05, ** p &lt; 0.01, *** p &lt; 0.001, n.s. = non significativo.</w:t>
            </w:r>
          </w:p>
        </w:tc>
      </w:tr>
      <w:tr>
        <w:tc>
          <w:tcPr>
            <w:tcW w:type="dxa" w:w="2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Frequenze</w:t>
            </w:r>
          </w:p>
        </w:tc>
        <w:tc>
          <w:tcPr>
            <w:tcW w:type="dxa" w:w="7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Tutto ciò che è spettrale si ferma a 45 Hz (FMAX_ANALYSIS): sopra si considera rumore. Lo spettro viene calcolato fino a 70 Hz solo per l'SNR a banda larga.</w:t>
            </w:r>
          </w:p>
        </w:tc>
      </w:tr>
      <w:tr>
        <w:tc>
          <w:tcPr>
            <w:tcW w:type="dxa" w:w="2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ROI</w:t>
            </w:r>
          </w:p>
        </w:tc>
        <w:tc>
          <w:tcPr>
            <w:tcW w:type="dxa" w:w="7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ROI_CHANNELS influenza solo l'SNR "roi" (fig4, colonne snr_hK_roi_dB) e la mappa della fig3. Tutte le altre misure usano tutti i canali EEG del file.</w:t>
            </w:r>
          </w:p>
        </w:tc>
      </w:tr>
      <w:tr>
        <w:tc>
          <w:tcPr>
            <w:tcW w:type="dxa" w:w="2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Stile delle figure</w:t>
            </w:r>
          </w:p>
        </w:tc>
        <w:tc>
          <w:tcPr>
            <w:tcW w:type="dxa" w:w="7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Font Arial grandi, 300 dpi, testi in inglese.</w:t>
            </w:r>
          </w:p>
        </w:tc>
      </w:tr>
    </w:tbl>
    <w:p>
      <w:pPr>
        <w:pStyle w:val="Heading1"/>
        <w:spacing w:after="160" w:before="360"/>
      </w:pPr>
      <w:r>
        <w:rPr>
          <w:rFonts w:ascii="Arial" w:cs="Arial" w:eastAsia="Arial" w:hAnsi="Arial"/>
        </w:rPr>
        <w:t xml:space="preserve">Figure</w:t>
      </w:r>
    </w:p>
    <w:p>
      <w:pPr>
        <w:pStyle w:val="Heading2"/>
        <w:keepNext/>
        <w:spacing w:after="100" w:before="280"/>
      </w:pPr>
      <w:r>
        <w:rPr>
          <w:rFonts w:ascii="Arial" w:cs="Arial" w:eastAsia="Arial" w:hAnsi="Arial"/>
        </w:rPr>
        <w:t xml:space="preserve">fig1 — Power spectral density per soggetto e per gruppo</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fig1_psd_all_subjects.png (più la versione interattiva .html)</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La densità spettrale di potenza (PSD): quanta potenza ha l'EEG a ogni frequenza tra 1 e 45 Hz. Linee sottili = un soggetto ciascuna; linea spessa = media del gruppo; fascia colorata = media ± SEM (errore standard della media).</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Entrambi gli assi sono logaritmici. Lo spettro EEG scende con la frequenza (andamento 1/f); sopra questo fondo compaiono picchi: alfa intorno a 8–13 Hz e, durante la stimolazione, picchi stretti alle frequenze dei flash e alle loro armoniche. Se le fasce dei due gruppi non si sovrappongono a una certa frequenza, a quella frequenza i gruppi tendono a differire. Il confronto statistico per banda è nelle fig5 e fig6.</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Per ogni epoca e canale: metodo di Welch con finestra di Hann; con SEGMENT_S = None un solo segmento lungo quanto l'epoca, quindi risoluzione 1/durata (0.083 Hz con epoche da 12 s). Poi media sulle epoche e sui canali: una curva per soggetto. Per la media di gruppo le curve sono interpolate sulla griglia comune 1–45 Hz (COMMON_F). Unità: µV²/Hz.</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È la media su tutti i canali, non solo sulla ROI. Mescola epoche con frequenze di stimolazione diverse, quindi i picchi di stimolazione si sovrappongono. Un soggetto molto più alto o più basso degli altri può spostare la media: controlla le linee sottili e la fig2.</w:t>
      </w:r>
    </w:p>
    <w:p>
      <w:pPr>
        <w:pStyle w:val="Heading2"/>
        <w:keepNext/>
        <w:spacing w:after="100" w:before="280"/>
      </w:pPr>
      <w:r>
        <w:rPr>
          <w:rFonts w:ascii="Arial" w:cs="Arial" w:eastAsia="Arial" w:hAnsi="Arial"/>
        </w:rPr>
        <w:t xml:space="preserve">fig2 — PSD di ogni soggetto</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fig2_psd_each_subject.png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Un pannello per soggetto con la sua PSD da 1 a 45 Hz (media su epoche e canali). Il titolo del pannello è il nome del file, colorato secondo il gruppo.</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Serve al controllo di qualità, soggetto per soggetto. Uno spettro normale scende in modo regolare e ha un picco alfa visibile. Segnali d'allarme: spettro piatto (molto rumore), picchi a frequenze fisse non legate alla stimolazione (interferenze), potenza molto più alta degli altri (artefatti, impedenze), assenza totale di alfa.</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Le stesse curve delle linee sottili della fig1, ognuna nel suo pannello, in scala log-log.</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Gli assi y non sono condivisi: per confrontare i livelli assoluti tra soggetti usa la fig1. I soggetti anomali vanno ricontrollati nel preprocessing prima di interpretare i risultati di gruppo.</w:t>
      </w:r>
    </w:p>
    <w:p>
      <w:pPr>
        <w:pStyle w:val="Heading2"/>
        <w:keepNext/>
        <w:spacing w:after="100" w:before="280"/>
      </w:pPr>
      <w:r>
        <w:rPr>
          <w:rFonts w:ascii="Arial" w:cs="Arial" w:eastAsia="Arial" w:hAnsi="Arial"/>
        </w:rPr>
        <w:t xml:space="preserve">fig3 — Mappe epoca × frequenza (ROI)</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fig3_epoch_maps.png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Per ogni soggetto una mappa a colori: ogni riga è un'epoca, ogni colonna una frequenza da 1 a 45 Hz, il colore è il log10 della PSD media dei canali ROI. Le righe sono ordinate per frequenza di stimolazione; la tacca bianca su ogni riga indica la frequenza dello stimolo di quell'epoca.</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Se il cervello segue la stimolazione (risposta SSVEP, steady-state visual evoked potential), in ogni riga il colore è più chiaro proprio sotto la tacca bianca e si vede una diagonale chiara che segue le tacche. Colonne chiare verticali che non seguono le tacche sono ritmi spontanei (es. alfa) presenti in tutte le epoche. Righe chiare su tutta la larghezza sono epoche con più potenza ovunque, spesso artefatti.</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PSD di ogni epoca (Welch, un segmento), media sui canali ROI_CHANNELS, poi log10. La scala dei colori va dal 5° al 99.5° percentile del soggetto, così pochi valori estremi non schiacciano il resto.</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I colori non sono confrontabili tra soggetti. Dipende da ROI_CHANNELS. Le frequenze di stimolazione sono lette dalle etichette delle epoche (parse_stim_freq): un'etichetta senza "Hz" letta male mette la tacca nel posto sbagliato.</w:t>
      </w:r>
    </w:p>
    <w:p>
      <w:pPr>
        <w:pStyle w:val="Heading2"/>
        <w:keepNext/>
        <w:spacing w:after="100" w:before="280"/>
      </w:pPr>
      <w:r>
        <w:rPr>
          <w:rFonts w:ascii="Arial" w:cs="Arial" w:eastAsia="Arial" w:hAnsi="Arial"/>
        </w:rPr>
        <w:t xml:space="preserve">fig4 — SNR a banda stretta vs frequenza di stimolazione</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fig4_snr_vs_stim_freq.png (più la versione interattiva .html)</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Quanto la frequenza dello stimolo emerge dal fondo dello spettro, per ogni frequenza di stimolazione. Pannello sinistro: frequenza fondamentale (f); pannello destro: seconda armonica (2f). Linee sottili = soggetti; linea spessa con barre = media del gruppo ± SEM (solo dove ci sono almeno 2 soggetti). Linea tratteggiata a 0 dB = nessuna risposta.</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L'SNR è in decibel: 0 dB = lo stimolo ha la stessa potenza delle frequenze vicine (nessun aggancio), 3 dB ≈ il doppio, 10 dB = dieci volte. Valori alti indicano che il cervello segue bene la luce intermittente a quella frequenza. Confronta i due gruppi frequenza per frequenza.</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Per ogni epoca: potenza nel bin della frequenza di stimolo divisa per la media dei bin tra 0.3 e 1.5 Hz di distanza, da entrambi i lati; poi 10·log10. Media sui canali ROI, poi media per soggetto e frequenza di stimolazione. Per l'armonica h si mostrano solo gli stimoli con h·f ≤ 45 Hz; il calcolo richiede anche f + 1.5 Hz ≤ 45 Hz.</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Dipende da ROI_CHANNELS: una ROI occipitale stretta è più sensibile della ROI attuale con 21 canali. Usa un solo bin centrale: se la durata delle epoche non fa cadere lo stimolo esattamente su un bin, l'SNR è sottostimato. Nella figura non c'è un test statistico: valori per soggetto e test sono in console e nell'Excel.</w:t>
      </w:r>
    </w:p>
    <w:p>
      <w:pPr>
        <w:pStyle w:val="Heading2"/>
        <w:keepNext/>
        <w:spacing w:after="100" w:before="280"/>
      </w:pPr>
      <w:r>
        <w:rPr>
          <w:rFonts w:ascii="Arial" w:cs="Arial" w:eastAsia="Arial" w:hAnsi="Arial"/>
        </w:rPr>
        <w:t xml:space="preserve">fig5 — Distribuzione della potenza per banda</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fig5_hist_gauss_bands.png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Un pannello per banda (delta 1–4, theta 4–8, alfa 8–13, beta 13–30, gamma 30–45 Hz). In ogni pannello, per gruppo, l'istogramma del log10 della potenza assoluta di tutti i canali di tutti i soggetti, con la gaussiana adattata (μ e σ in legenda). Nel titolo: p del test tra gruppi e q dopo la correzione FDR sulle 5 bande.</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Istogrammi spostati a destra = più potenza in quella banda. La larghezza (σ) dice quanto variano canali e soggetti. Se la gaussiana segue bene l'istogramma, il log10 della potenza è circa gaussiano. Una banda differisce tra i gruppi se q &lt; 0.05; p &lt; 0.05 con q ≥ 0.05 è solo un'indicazione.</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Potenza assoluta = area sotto la PSD nella banda (regola dei trapezi), per canale, in µV²; poi log10. Il test usa un valore per soggetto (media sui canali), Mann-Whitney U, FDR sulle 5 bande. I p sono stampati anche in console.</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L'istogramma mostra canali × soggetti, ma il test usa i soggetti: istogrammi molto separati possono venire da pochi soggetti. La potenza assoluta dipende anche da fattori non neurali (impedenza, spessore del cranio): per un confronto indipendente dal livello totale usa la fig6.</w:t>
      </w:r>
    </w:p>
    <w:p>
      <w:pPr>
        <w:pStyle w:val="Heading2"/>
        <w:keepNext/>
        <w:spacing w:after="100" w:before="280"/>
      </w:pPr>
      <w:r>
        <w:rPr>
          <w:rFonts w:ascii="Arial" w:cs="Arial" w:eastAsia="Arial" w:hAnsi="Arial"/>
        </w:rPr>
        <w:t xml:space="preserve">fig6 — Potenza relativa per banda</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fig6_relative_power_boxplot.png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Per ogni banda, un box per gruppo con i soggetti come punti. La potenza relativa è la frazione della potenza totale (1–45 Hz) che sta in quella banda. Sopra ogni coppia di box: parentesi, stelline (calcolate su q) e p.</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Il box mostra mediana (linea nera) e quartili; i baffi arrivano ai valori estremi non anomali; ogni punto è un soggetto. Le 5 bande di un soggetto sommano circa a 1 (circa 0.99 per come si integra).</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Per canale: potenza nella banda / potenza 1–45 Hz; poi media sui canali per soggetto. Mann-Whitney U tra i gruppi, FDR sulle 5 bande.</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Elimina le differenze di livello generale, ma le bande non sono indipendenti: più potenza relativa in una banda significa per forza meno nelle altre.</w:t>
      </w:r>
    </w:p>
    <w:p>
      <w:pPr>
        <w:pStyle w:val="Heading2"/>
        <w:keepNext/>
        <w:spacing w:after="100" w:before="280"/>
      </w:pPr>
      <w:r>
        <w:rPr>
          <w:rFonts w:ascii="Arial" w:cs="Arial" w:eastAsia="Arial" w:hAnsi="Arial"/>
        </w:rPr>
        <w:t xml:space="preserve">fig8 — Distribuzione delle ampiezze rispetto alla gaussiana (una figura per gruppo)</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fig8_amplitude_zscore_photosensitive.png e fig8_amplitude_zscore_not_photosensitive.png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Come sono distribuiti i valori di ampiezza dell'EEG nel tempo e quanto si allontanano da una gaussiana. Pannello in alto (asse y logaritmico): soggetti come linee sottili, media del gruppo con intervallo di confidenza 95%, gaussiana adattata al gruppo (tratteggiata), zone arancioni dove i dati stanno sopra la gaussiana e viola dove stanno sotto, linee puntinate a ±1, 1.5, 2, 3, 4, 5 SD, curtosi in eccesso e distanza KS medie. Pannello in mezzo: log10(dati / gaussiana). In basso: tabella delle code.</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Asse x in deviazioni standard dei dati (z-score per canale). Nel pannello di mezzo 0 = dati e gaussiana uguali, +1 = dati 10 volte più frequenti, +2 = 100 volte. Code sopra la gaussiana indicano eventi grandi e rari (burst, scariche, artefatti) più frequenti del previsto. La tabella riporta, per ogni soglia k, la percentuale di campioni oltre ±k SD nei dati, nella gaussiana di fit e il loro rapporto. Per riferimento, una gaussiana standard ha 31.7% oltre ±1 SD, 13.4% oltre ±1.5, 4.55% oltre ±2, 0.27% oltre ±3, 0.0063% oltre ±4 e 0.00006% oltre ±5.</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Per ogni soggetto e canale i campioni di tutte le epoche sono z-scored (media 0, SD 1 per canale); istogramma tra −6 e +6 SD con 200 bin; media degli istogrammi dei soggetti del gruppo (ogni soggetto pesa uguale). Intervallo 95% con bootstrap sui soggetti (2000 ricampionamenti). Gaussiana adattata con i minimi quadrati alla densità del gruppo, con μ e σ liberi: segue soprattutto la parte centrale. Una zona è colorata se la gaussiana esce dall'intervallo per almeno 3 bin consecutivi.</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La gaussiana di fit ha σ &lt; 1 quando le code sono pesanti, quindi "±3 SD dei dati" corrisponde a più di 3 σ della gaussiana: i rapporti a 4–5 SD diventano enormi perché il denominatore è minuscolo, conta l'ordine di grandezza. Con milioni di campioni l'intervallo è strettissimo e anche piccole differenze risultano colorate. Non è un test tra gruppi: i test sono su frac_beyond_3sd ed excess_kurtosis nel foglio group_tests. I valori estremi possono essere attività parossistica ma anche artefatti residui: vanno controllati nel tracciato.</w:t>
      </w:r>
    </w:p>
    <w:p>
      <w:pPr>
        <w:pStyle w:val="Heading2"/>
        <w:keepNext/>
        <w:spacing w:after="100" w:before="280"/>
      </w:pPr>
      <w:r>
        <w:rPr>
          <w:rFonts w:ascii="Arial" w:cs="Arial" w:eastAsia="Arial" w:hAnsi="Arial"/>
        </w:rPr>
        <w:t xml:space="preserve">fig9 — Numero di epoche disponibili</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fig9_epoch_counts.png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A sinistra: epoche per soggetto, un box per gruppo con i soggetti come punti e il test tra gruppi nel titolo. A destra: epoche medie per soggetto (± SD) a ogni frequenza di stimolazione, una barra per gruppo.</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Serve a verificare che i gruppi siano bilanciati. Se un gruppo ha meno epoche, in totale o a certe frequenze, alcune differenze nelle altre misure possono dipendere da questo.</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Conteggio delle epoche per soggetto e per frequenza di stimolo letta dalle etichette (epoch_counts). Le epoche senza frequenza sono contate a parte (n_no_stim).</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Se tutti i soggetti hanno lo stesso numero di epoche il test non è calcolabile e compare "p = n.a.".</w:t>
      </w:r>
    </w:p>
    <w:p>
      <w:pPr>
        <w:pStyle w:val="Heading2"/>
        <w:keepNext/>
        <w:spacing w:after="100" w:before="280"/>
      </w:pPr>
      <w:r>
        <w:rPr>
          <w:rFonts w:ascii="Arial" w:cs="Arial" w:eastAsia="Arial" w:hAnsi="Arial"/>
        </w:rPr>
        <w:t xml:space="preserve">fig10 — Stazionarietà delle epoche</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fig10_stationarity.png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A sinistra: per ogni soggetto la frazione di epoche × canali non stazionarie (p &lt; 0.05), con la linea tratteggiata al 5% (livello atteso per caso). A destra: distribuzione cumulativa dei p del test per gruppo, con la diagonale che corrisponde a dati tutti stazionari.</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Una frazione intorno al 5% è compatibile con un segnale stazionario; molto sopra significa che in molte epoche l'ampiezza cresce o cala sistematicamente. A destra, una curva che si stacca sopra la diagonale a p piccoli indica non stazionarietà; l'altezza della curva a 0.05 è la frazione non stazionaria del gruppo. I gradini sono normali (il test ha pochi valori possibili).</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Reverse Arrangement Test (Bendat &amp; Piersol) su ogni epoca di ogni canale: l'epoca è divisa in 20 segmenti, si calcola la varianza di ciascuno e si contano le inversioni A (segmenti precedenti con varianza maggiore di successivi). Senza trend A ha media 95 e SD ≈ 15.4; p bilaterale dalla normale.</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Il test vede i trend di ampiezza dentro l'epoca, non un burst isolato a metà né cambi di frequenza. Se le epoche contengono il pre-stimolo, il passaggio buio → luce rende l'epoca non stazionaria per costruzione (usa ANALYSIS_WINDOW per escluderlo). Le epoche più non stazionarie si trovano nel foglio signal_per_epoch_channel ordinando per stat_p.</w:t>
      </w:r>
    </w:p>
    <w:p>
      <w:pPr>
        <w:pStyle w:val="Heading2"/>
        <w:keepNext/>
        <w:spacing w:after="100" w:before="280"/>
      </w:pPr>
      <w:r>
        <w:rPr>
          <w:rFonts w:ascii="Arial" w:cs="Arial" w:eastAsia="Arial" w:hAnsi="Arial"/>
        </w:rPr>
        <w:t xml:space="preserve">fig11 — Varianza e ACFW con confronto delle distribuzioni</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fig11_variance_acfw.png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In alto: log10 della varianza del segnale e ACFW (autocorrelation function width) per soggetto, box per gruppo e test. In basso: distribuzioni cumulative (CDF) di tutte le epoche × canali per gruppo, con la distanza di Kolmogorov-Smirnov D e il p di permutazione nel titolo.</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Varianza = ampiezza complessiva del segnale (potenza totale). ACFW = per quanto tempo il segnale somiglia a sé stesso: valori grandi indicano dinamica lenta e lunga memoria, valori piccoli dinamica veloce. Nelle CDF una curva spostata a destra indica valori più grandi in quel gruppo; D è la massima distanza verticale tra le due curve.</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Varianza nel tempo di ogni epoca e canale (µV²), poi log10. ACFW = larghezza a metà altezza della funzione di autocorrelazione (2 × il primo ritardo in cui scende sotto 0.5), in ms. In alto media per soggetto e Mann-Whitney. In basso: D calcolata su tutte le osservazioni; p ottenuto rimescolando 5000 volte le etichette di gruppo tra i soggetti.</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L'ACFW dipende molto dai filtri del preprocessing e dal ritmo dominante (per un'oscillazione pura a f Hz vale 1/(3f), circa 33 ms per un alfa a 10 Hz): confronta solo dati preprocessati allo stesso modo. Con pochi soggetti il p di permutazione minimo è limitato (circa 0.002 con 6 + 6 soggetti).</w:t>
      </w:r>
    </w:p>
    <w:p>
      <w:pPr>
        <w:pStyle w:val="Heading2"/>
        <w:keepNext/>
        <w:spacing w:after="100" w:before="280"/>
      </w:pPr>
      <w:r>
        <w:rPr>
          <w:rFonts w:ascii="Arial" w:cs="Arial" w:eastAsia="Arial" w:hAnsi="Arial"/>
        </w:rPr>
        <w:t xml:space="preserve">fig12 — Componente aperiodica (FOOOF) e picco alfa</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fig12_aperiodic.png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Pannello 1: PSD media di ogni gruppo in scala log-log con la componente aperiodica (1/f) stimata da FOOOF, tratteggiata, nel range del fit (zona grigia). Poi, per soggetto con test tra gruppi: esponente aperiodico, frequenza del knee (in modalità fixed: offset) e frequenza del picco alfa individuale.</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L'esponente è la pendenza del fondo 1/f: più alto = spettro più ripido, più potenza lenta rispetto a quella veloce; spesso interpretato come indice del bilancio eccitazione/inibizione. Il knee è la frequenza sotto cui il fondo diventa piatto: corrisponde a una scala temporale τ = 1/(2π·f_knee), legata all'ACFW. Il picco alfa è la frequenza alfa individuale, stimata al netto del fondo 1/f.</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FOOOF (Donoghue et al., Nature Neuroscience 2020) su ogni canale, sulla PSD media delle epoche, tra 2 e 40 Hz (APERIODIC_RANGE). Modalità knee: log10 P = offset − log10(k + f^esponente), frequenza del knee = k^(1/esponente). I picchi sono modellati come gaussiane; il picco alfa è il più alto tra 8 e 13 Hz. Valori per soggetto = media sui canali.</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Controlla aperiodic_r2 nell'Excel (sotto circa 0.9 il fit è poco affidabile) e che la linea tratteggiata segua la base dello spettro. Se il knee cade vicino all'alfa, knee ed esponente possono essere leggermente sovrastimati. Senza FOOOF installato il codice usa una retta e non stima knee né picco alfa.</w:t>
      </w:r>
    </w:p>
    <w:p>
      <w:pPr>
        <w:pStyle w:val="Heading2"/>
        <w:keepNext/>
        <w:spacing w:after="100" w:before="280"/>
      </w:pPr>
      <w:r>
        <w:rPr>
          <w:rFonts w:ascii="Arial" w:cs="Arial" w:eastAsia="Arial" w:hAnsi="Arial"/>
        </w:rPr>
        <w:t xml:space="preserve">fig13 — Topografie della potenza per banda</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fig13_topo_band_power.png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Una riga per banda. Colonne: mappa media del primo gruppo, del secondo gruppo (stessa scala di colori) e mappa della differenza (primo − secondo) in scala rosso-blu. Sulla differenza: cerchio bianco = canale significativo dopo FDR sui canali (q &lt; 0.05); punto nero = p &lt; 0.05 solo senza correzione.</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Mostra dove sullo scalpo è la potenza e dove i gruppi differiscono: per esempio una differenza solo occipitale rispetto a frontale. Rosso = più potenza nel primo gruppo, blu = nel secondo.</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Log10 della potenza per canale, media per gruppo; posizioni degli elettrodi dal montaggio standard 10-20 di MNE. Per la differenza: Mann-Whitney canale per canale sui soggetti, FDR sui canali. I nomi vecchi (T3, T4, T5, T6) sono uniti ai nuovi (T7, T8, P7, P8).</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Con 19–24 canali la mappa è un'interpolazione tra punti lontani: conta il valore ai canali e i marcatori, non le sfumature intermedie. I canali che il montaggio non conosce sono esclusi e segnalati in console.</w:t>
      </w:r>
    </w:p>
    <w:p>
      <w:pPr>
        <w:pStyle w:val="Heading2"/>
        <w:keepNext/>
        <w:spacing w:after="100" w:before="280"/>
      </w:pPr>
      <w:r>
        <w:rPr>
          <w:rFonts w:ascii="Arial" w:cs="Arial" w:eastAsia="Arial" w:hAnsi="Arial"/>
        </w:rPr>
        <w:t xml:space="preserve">fig14 — Topografie di varianza, ACFW, esponente e picco alfa</w:t>
      </w:r>
    </w:p>
    <w:p>
      <w:pPr>
        <w:spacing w:after="120"/>
      </w:pPr>
      <w:r>
        <w:rPr>
          <w:rFonts w:ascii="Arial" w:cs="Arial" w:eastAsia="Arial" w:hAnsi="Arial"/>
          <w:i/>
          <w:iCs/>
          <w:color w:val="56616E"/>
          <w:sz w:val="20"/>
          <w:szCs w:val="20"/>
        </w:rPr>
        <w:t xml:space="preserve">File: </w:t>
      </w:r>
      <w:r>
        <w:rPr>
          <w:rFonts w:ascii="Arial" w:cs="Arial" w:eastAsia="Arial" w:hAnsi="Arial"/>
          <w:i/>
          <w:iCs/>
          <w:color w:val="56616E"/>
          <w:sz w:val="20"/>
          <w:szCs w:val="20"/>
        </w:rPr>
        <w:t xml:space="preserve">fig14_topo_signal.png</w:t>
      </w:r>
    </w:p>
    <w:p>
      <w:pPr>
        <w:spacing w:after="120"/>
      </w:pPr>
      <w:r>
        <w:rPr>
          <w:rFonts w:ascii="Arial" w:cs="Arial" w:eastAsia="Arial" w:hAnsi="Arial"/>
          <w:b/>
          <w:bCs/>
          <w:sz w:val="22"/>
          <w:szCs w:val="22"/>
        </w:rPr>
        <w:t xml:space="preserve">Cosa mostra. </w:t>
      </w:r>
      <w:r>
        <w:rPr>
          <w:rFonts w:ascii="Arial" w:cs="Arial" w:eastAsia="Arial" w:hAnsi="Arial"/>
          <w:sz w:val="22"/>
          <w:szCs w:val="22"/>
        </w:rPr>
        <w:t xml:space="preserve">Stessa struttura della fig13, con quattro righe: log10 varianza, ACFW, esponente aperiodico, frequenza del picco alfa.</w:t>
      </w:r>
    </w:p>
    <w:p>
      <w:pPr>
        <w:spacing w:after="120"/>
      </w:pPr>
      <w:r>
        <w:rPr>
          <w:rFonts w:ascii="Arial" w:cs="Arial" w:eastAsia="Arial" w:hAnsi="Arial"/>
          <w:b/>
          <w:bCs/>
          <w:sz w:val="22"/>
          <w:szCs w:val="22"/>
        </w:rPr>
        <w:t xml:space="preserve">Come si legge. </w:t>
      </w:r>
      <w:r>
        <w:rPr>
          <w:rFonts w:ascii="Arial" w:cs="Arial" w:eastAsia="Arial" w:hAnsi="Arial"/>
          <w:sz w:val="22"/>
          <w:szCs w:val="22"/>
        </w:rPr>
        <w:t xml:space="preserve">Mostra se le differenze tra gruppi in queste misure sono diffuse o localizzate (per esempio un esponente più basso solo nelle regioni occipitali, o un picco alfa più lento in zona posteriore).</w:t>
      </w:r>
    </w:p>
    <w:p>
      <w:pPr>
        <w:spacing w:after="120"/>
      </w:pPr>
      <w:r>
        <w:rPr>
          <w:rFonts w:ascii="Arial" w:cs="Arial" w:eastAsia="Arial" w:hAnsi="Arial"/>
          <w:b/>
          <w:bCs/>
          <w:sz w:val="22"/>
          <w:szCs w:val="22"/>
        </w:rPr>
        <w:t xml:space="preserve">Come è calcolata. </w:t>
      </w:r>
      <w:r>
        <w:rPr>
          <w:rFonts w:ascii="Arial" w:cs="Arial" w:eastAsia="Arial" w:hAnsi="Arial"/>
          <w:sz w:val="22"/>
          <w:szCs w:val="22"/>
        </w:rPr>
        <w:t xml:space="preserve">Valori per canale (media sulle epoche) dal foglio signal_per_channel; test e marcatori come nella fig13.</w:t>
      </w:r>
    </w:p>
    <w:p>
      <w:pPr>
        <w:spacing w:after="120"/>
      </w:pPr>
      <w:r>
        <w:rPr>
          <w:rFonts w:ascii="Arial" w:cs="Arial" w:eastAsia="Arial" w:hAnsi="Arial"/>
          <w:b/>
          <w:bCs/>
          <w:sz w:val="22"/>
          <w:szCs w:val="22"/>
        </w:rPr>
        <w:t xml:space="preserve">Attenzione. </w:t>
      </w:r>
      <w:r>
        <w:rPr>
          <w:rFonts w:ascii="Arial" w:cs="Arial" w:eastAsia="Arial" w:hAnsi="Arial"/>
          <w:sz w:val="22"/>
          <w:szCs w:val="22"/>
        </w:rPr>
        <w:t xml:space="preserve">La frequenza del picco alfa può mancare nei canali in cui FOOOF non trova un picco tra 8 e 13 Hz: quei canali hanno meno soggetti nel test.</w:t>
      </w:r>
    </w:p>
    <w:p>
      <w:pPr>
        <w:pStyle w:val="Heading1"/>
        <w:spacing w:after="160" w:before="360"/>
      </w:pPr>
      <w:r>
        <w:rPr>
          <w:rFonts w:ascii="Arial" w:cs="Arial" w:eastAsia="Arial" w:hAnsi="Arial"/>
        </w:rPr>
        <w:t xml:space="preserve">Grafici interattivi 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BFC7D1" w:sz="4"/>
              <w:left w:val="single" w:color="BFC7D1" w:sz="4"/>
              <w:bottom w:val="single" w:color="BFC7D1" w:sz="4"/>
              <w:right w:val="single" w:color="BFC7D1" w:sz="4"/>
            </w:tcBorders>
            <w:shd w:fill="E3ECF2" w:color="auto" w:val="clear"/>
            <w:tcMar>
              <w:top w:type="dxa" w:w="80"/>
              <w:left w:type="dxa" w:w="110"/>
              <w:bottom w:type="dxa" w:w="80"/>
              <w:right w:type="dxa" w:w="110"/>
            </w:tcMar>
          </w:tcPr>
          <w:p>
            <w:r>
              <w:rPr>
                <w:rFonts w:ascii="Arial" w:cs="Arial" w:eastAsia="Arial" w:hAnsi="Arial"/>
                <w:b/>
                <w:bCs/>
                <w:sz w:val="20"/>
                <w:szCs w:val="20"/>
              </w:rPr>
              <w:t xml:space="preserve">File</w:t>
            </w:r>
          </w:p>
        </w:tc>
        <w:tc>
          <w:tcPr>
            <w:tcW w:type="dxa" w:w="5338"/>
            <w:tcBorders>
              <w:top w:val="single" w:color="BFC7D1" w:sz="4"/>
              <w:left w:val="single" w:color="BFC7D1" w:sz="4"/>
              <w:bottom w:val="single" w:color="BFC7D1" w:sz="4"/>
              <w:right w:val="single" w:color="BFC7D1" w:sz="4"/>
            </w:tcBorders>
            <w:shd w:fill="E3ECF2" w:color="auto" w:val="clear"/>
            <w:tcMar>
              <w:top w:type="dxa" w:w="80"/>
              <w:left w:type="dxa" w:w="110"/>
              <w:bottom w:type="dxa" w:w="80"/>
              <w:right w:type="dxa" w:w="110"/>
            </w:tcMar>
          </w:tcPr>
          <w:p>
            <w:r>
              <w:rPr>
                <w:rFonts w:ascii="Arial" w:cs="Arial" w:eastAsia="Arial" w:hAnsi="Arial"/>
                <w:b/>
                <w:bCs/>
                <w:sz w:val="20"/>
                <w:szCs w:val="20"/>
              </w:rPr>
              <w:t xml:space="preserve">Contenuto</w:t>
            </w:r>
          </w:p>
        </w:tc>
      </w:tr>
      <w:tr>
        <w:tc>
          <w:tcPr>
            <w:tcW w:type="dxa" w:w="4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fig1_psd_all_subjects_interactive.html</w:t>
            </w:r>
          </w:p>
        </w:tc>
        <w:tc>
          <w:tcPr>
            <w:tcW w:type="dxa" w:w="5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La fig1 interattiva: passando il mouse su una linea si vede il soggetto e il valore; doppio clic su una voce della legenda isola quel soggetto.</w:t>
            </w:r>
          </w:p>
        </w:tc>
      </w:tr>
      <w:tr>
        <w:tc>
          <w:tcPr>
            <w:tcW w:type="dxa" w:w="4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fig4_snr_vs_stim_freq_interactive.html</w:t>
            </w:r>
          </w:p>
        </w:tc>
        <w:tc>
          <w:tcPr>
            <w:tcW w:type="dxa" w:w="5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La fig4 interattiva: clic sulla legenda per nascondere o mostrare soggetti e medie.</w:t>
            </w:r>
          </w:p>
        </w:tc>
      </w:tr>
      <w:tr>
        <w:tc>
          <w:tcPr>
            <w:tcW w:type="dxa" w:w="43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Nota</w:t>
            </w:r>
          </w:p>
        </w:tc>
        <w:tc>
          <w:tcPr>
            <w:tcW w:type="dxa" w:w="53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Si aprono con qualsiasi browser. Servono per esplorare i dati, non per pubblicare. Vengono creati solo se plotly è installato.</w:t>
            </w:r>
          </w:p>
        </w:tc>
      </w:tr>
    </w:tbl>
    <w:p>
      <w:pPr>
        <w:pStyle w:val="Heading1"/>
        <w:spacing w:after="160" w:before="360"/>
      </w:pPr>
      <w:r>
        <w:rPr>
          <w:rFonts w:ascii="Arial" w:cs="Arial" w:eastAsia="Arial" w:hAnsi="Arial"/>
        </w:rPr>
        <w:t xml:space="preserve">Excel: risultati_eeg.xlsx</w:t>
      </w:r>
    </w:p>
    <w:p>
      <w:pPr>
        <w:spacing w:after="120"/>
      </w:pPr>
      <w:r>
        <w:rPr>
          <w:rFonts w:ascii="Arial" w:cs="Arial" w:eastAsia="Arial" w:hAnsi="Arial"/>
          <w:sz w:val="22"/>
          <w:szCs w:val="22"/>
        </w:rPr>
        <w:t xml:space="preserve">Un foglio per tabella, nell'ordine qui sotto. La prima riga di ogni foglio resta bloccata scorrendo.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138"/>
      </w:tblGrid>
      <w:tr>
        <w:trPr>
          <w:tblHeader/>
        </w:trPr>
        <w:tc>
          <w:tcPr>
            <w:tcW w:type="dxa" w:w="2600"/>
            <w:tcBorders>
              <w:top w:val="single" w:color="BFC7D1" w:sz="4"/>
              <w:left w:val="single" w:color="BFC7D1" w:sz="4"/>
              <w:bottom w:val="single" w:color="BFC7D1" w:sz="4"/>
              <w:right w:val="single" w:color="BFC7D1" w:sz="4"/>
            </w:tcBorders>
            <w:shd w:fill="E3ECF2" w:color="auto" w:val="clear"/>
            <w:tcMar>
              <w:top w:type="dxa" w:w="80"/>
              <w:left w:type="dxa" w:w="110"/>
              <w:bottom w:type="dxa" w:w="80"/>
              <w:right w:type="dxa" w:w="110"/>
            </w:tcMar>
          </w:tcPr>
          <w:p>
            <w:r>
              <w:rPr>
                <w:rFonts w:ascii="Arial" w:cs="Arial" w:eastAsia="Arial" w:hAnsi="Arial"/>
                <w:b/>
                <w:bCs/>
                <w:sz w:val="20"/>
                <w:szCs w:val="20"/>
              </w:rPr>
              <w:t xml:space="preserve">Foglio</w:t>
            </w:r>
          </w:p>
        </w:tc>
        <w:tc>
          <w:tcPr>
            <w:tcW w:type="dxa" w:w="1900"/>
            <w:tcBorders>
              <w:top w:val="single" w:color="BFC7D1" w:sz="4"/>
              <w:left w:val="single" w:color="BFC7D1" w:sz="4"/>
              <w:bottom w:val="single" w:color="BFC7D1" w:sz="4"/>
              <w:right w:val="single" w:color="BFC7D1" w:sz="4"/>
            </w:tcBorders>
            <w:shd w:fill="E3ECF2" w:color="auto" w:val="clear"/>
            <w:tcMar>
              <w:top w:type="dxa" w:w="80"/>
              <w:left w:type="dxa" w:w="110"/>
              <w:bottom w:type="dxa" w:w="80"/>
              <w:right w:type="dxa" w:w="110"/>
            </w:tcMar>
          </w:tcPr>
          <w:p>
            <w:r>
              <w:rPr>
                <w:rFonts w:ascii="Arial" w:cs="Arial" w:eastAsia="Arial" w:hAnsi="Arial"/>
                <w:b/>
                <w:bCs/>
                <w:sz w:val="20"/>
                <w:szCs w:val="20"/>
              </w:rPr>
              <w:t xml:space="preserve">Una riga per</w:t>
            </w:r>
          </w:p>
        </w:tc>
        <w:tc>
          <w:tcPr>
            <w:tcW w:type="dxa" w:w="5138"/>
            <w:tcBorders>
              <w:top w:val="single" w:color="BFC7D1" w:sz="4"/>
              <w:left w:val="single" w:color="BFC7D1" w:sz="4"/>
              <w:bottom w:val="single" w:color="BFC7D1" w:sz="4"/>
              <w:right w:val="single" w:color="BFC7D1" w:sz="4"/>
            </w:tcBorders>
            <w:shd w:fill="E3ECF2" w:color="auto" w:val="clear"/>
            <w:tcMar>
              <w:top w:type="dxa" w:w="80"/>
              <w:left w:type="dxa" w:w="110"/>
              <w:bottom w:type="dxa" w:w="80"/>
              <w:right w:type="dxa" w:w="110"/>
            </w:tcMar>
          </w:tcPr>
          <w:p>
            <w:r>
              <w:rPr>
                <w:rFonts w:ascii="Arial" w:cs="Arial" w:eastAsia="Arial" w:hAnsi="Arial"/>
                <w:b/>
                <w:bCs/>
                <w:sz w:val="20"/>
                <w:szCs w:val="20"/>
              </w:rPr>
              <w:t xml:space="preserve">Contenuto</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group_summary_bands</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gruppo × banda</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Descrittive della potenza assoluta, relativa e log10 per soggetto (media, mediana, SD); fit gaussiano del log10 su canali × soggetti; skewness lineare e log10; test di Shapiro di normalità.</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group_tests</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misura</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Test tra gruppi su tutte le misure per soggetto (bande, SNR, ampiezze, epoche, varianza, ACFW, stazionarietà, FOOOF), con mediane per gruppo, p e p_fdr corretto su tutte le misure insieme.</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subject_level_metrics</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soggetto</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Tutte le misure riassuntive di ogni soggetto: info sul file, statistiche delle ampiezze, SNR, varianza, ACFW, frazione non stazionaria, parametri FOOOF, picco alfa.</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epoch_counts_group</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gruppo</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Numero di soggetti, media, SD, minimo, massimo e totale delle epoche.</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epoch_counts</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soggetto</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Epoche totali e per frequenza di stimolazione.</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ks_permutation_tests</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misura</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D di Kolmogorov-Smirnov e p di permutazione per log10 varianza e ACFW (fig11).</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channel_tests</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misura × canale</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Test tra gruppi canale per canale con FDR sui canali (fig13, fig14).</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snr_by_stim_freq_group</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gruppo × frequenza</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Media, mediana e numero di soggetti degli SNR a ogni frequenza di stimolazione.</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epoch_table_snr</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epoca</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Etichetta, frequenza di stimolo e SNR per armonica (tutti i canali e ROI).</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band_power_per_subject</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soggetto × banda</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Potenza assoluta, relativa e log10 media sui canali.</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band_power_per_channel</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soggetto × canale × banda</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Potenza assoluta, relativa e log10 per canale.</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signal_per_channel</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soggetto × canale</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Log10 potenza per banda, varianza, variabilità tra epoche, ACFW, frazione non stazionaria, parametri FOOOF e picco alfa.</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signal_per_epoch_channel</w:t>
            </w:r>
          </w:p>
        </w:tc>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soggetto × epoca × canale</w:t>
            </w:r>
          </w:p>
        </w:tc>
        <w:tc>
          <w:tcPr>
            <w:tcW w:type="dxa" w:w="51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Varianza, log10 varianza, ACFW, p di stazionarietà. Escluso dall'Excel se supera 1 milione di righe.</w:t>
            </w:r>
          </w:p>
        </w:tc>
      </w:tr>
    </w:tbl>
    <w:p>
      <w:pPr>
        <w:pStyle w:val="Heading1"/>
        <w:spacing w:after="160" w:before="360"/>
      </w:pPr>
      <w:r>
        <w:rPr>
          <w:rFonts w:ascii="Arial" w:cs="Arial" w:eastAsia="Arial" w:hAnsi="Arial"/>
        </w:rPr>
        <w:t xml:space="preserve">results.pkl</w:t>
      </w:r>
    </w:p>
    <w:p>
      <w:pPr>
        <w:spacing w:after="120"/>
      </w:pPr>
      <w:r>
        <w:rPr>
          <w:rFonts w:ascii="Arial" w:cs="Arial" w:eastAsia="Arial" w:hAnsi="Arial"/>
          <w:sz w:val="22"/>
          <w:szCs w:val="22"/>
        </w:rPr>
        <w:t xml:space="preserve">results.pkl contiene i risultati intermedi in formato Python (store, tabelle, conteggi, test KS). Serve a plot_ips.py per disegnare le figure senza rileggere gli EEG. Va rigenerato con MAIN_IPS.py dopo ogni aggiornamento del codice.</w:t>
      </w:r>
    </w:p>
    <w:p>
      <w:pPr>
        <w:pStyle w:val="Heading1"/>
        <w:spacing w:after="160" w:before="360"/>
      </w:pPr>
      <w:r>
        <w:rPr>
          <w:rFonts w:ascii="Arial" w:cs="Arial" w:eastAsia="Arial" w:hAnsi="Arial"/>
        </w:rPr>
        <w:t xml:space="preserve">Stampe in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BFC7D1" w:sz="4"/>
              <w:left w:val="single" w:color="BFC7D1" w:sz="4"/>
              <w:bottom w:val="single" w:color="BFC7D1" w:sz="4"/>
              <w:right w:val="single" w:color="BFC7D1" w:sz="4"/>
            </w:tcBorders>
            <w:shd w:fill="E3ECF2" w:color="auto" w:val="clear"/>
            <w:tcMar>
              <w:top w:type="dxa" w:w="80"/>
              <w:left w:type="dxa" w:w="110"/>
              <w:bottom w:type="dxa" w:w="80"/>
              <w:right w:type="dxa" w:w="110"/>
            </w:tcMar>
          </w:tcPr>
          <w:p>
            <w:r>
              <w:rPr>
                <w:rFonts w:ascii="Arial" w:cs="Arial" w:eastAsia="Arial" w:hAnsi="Arial"/>
                <w:b/>
                <w:bCs/>
                <w:sz w:val="20"/>
                <w:szCs w:val="20"/>
              </w:rPr>
              <w:t xml:space="preserve">Script</w:t>
            </w:r>
          </w:p>
        </w:tc>
        <w:tc>
          <w:tcPr>
            <w:tcW w:type="dxa" w:w="7738"/>
            <w:tcBorders>
              <w:top w:val="single" w:color="BFC7D1" w:sz="4"/>
              <w:left w:val="single" w:color="BFC7D1" w:sz="4"/>
              <w:bottom w:val="single" w:color="BFC7D1" w:sz="4"/>
              <w:right w:val="single" w:color="BFC7D1" w:sz="4"/>
            </w:tcBorders>
            <w:shd w:fill="E3ECF2" w:color="auto" w:val="clear"/>
            <w:tcMar>
              <w:top w:type="dxa" w:w="80"/>
              <w:left w:type="dxa" w:w="110"/>
              <w:bottom w:type="dxa" w:w="80"/>
              <w:right w:type="dxa" w:w="110"/>
            </w:tcMar>
          </w:tcPr>
          <w:p>
            <w:r>
              <w:rPr>
                <w:rFonts w:ascii="Arial" w:cs="Arial" w:eastAsia="Arial" w:hAnsi="Arial"/>
                <w:b/>
                <w:bCs/>
                <w:sz w:val="20"/>
                <w:szCs w:val="20"/>
              </w:rPr>
              <w:t xml:space="preserve">Cosa stampa</w:t>
            </w:r>
          </w:p>
        </w:tc>
      </w:tr>
      <w:tr>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MAIN_IPS.py</w:t>
            </w:r>
          </w:p>
        </w:tc>
        <w:tc>
          <w:tcPr>
            <w:tcW w:type="dxa" w:w="77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Per ogni soggetto le etichette delle epoche trovate (da controllare: devono contenere la frequenza); eventuali errori di lettura (ERRORE -&gt;); avvisi sulla ROI o su FOOOF. Alla fine: SNR per soggetto, media ± SD per gruppo e test; epoche per gruppo; test KS a permutazione.</w:t>
            </w:r>
          </w:p>
        </w:tc>
      </w:tr>
      <w:tr>
        <w:tc>
          <w:tcPr>
            <w:tcW w:type="dxa" w:w="1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plot_ips.py</w:t>
            </w:r>
          </w:p>
        </w:tc>
        <w:tc>
          <w:tcPr>
            <w:tcW w:type="dxa" w:w="7738"/>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rFonts w:ascii="Arial" w:cs="Arial" w:eastAsia="Arial" w:hAnsi="Arial"/>
                <w:b w:val="false"/>
                <w:bCs w:val="false"/>
                <w:sz w:val="20"/>
                <w:szCs w:val="20"/>
              </w:rPr>
              <w:t xml:space="preserve">Test tra gruppi delle fig5 e fig6; per ogni gruppo della fig8 i parametri della gaussiana di fit e la tabella delle code; canali esclusi o rinominati nelle topografie.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6616E"/>
        <w:sz w:val="18"/>
        <w:szCs w:val="18"/>
      </w:rPr>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4F63"/>
      <w:sz w:val="32"/>
      <w:szCs w:val="32"/>
    </w:rPr>
  </w:style>
  <w:style w:type="paragraph" w:styleId="Heading2">
    <w:name w:val="Heading 2"/>
    <w:basedOn w:val="Normal"/>
    <w:next w:val="Normal"/>
    <w:qFormat/>
    <w:pPr>
      <w:outlineLvl w:val="1"/>
    </w:pPr>
    <w:rPr>
      <w:rFonts w:ascii="Arial" w:cs="Arial" w:eastAsia="Arial" w:hAnsi="Arial"/>
      <w:b/>
      <w:bCs/>
      <w:color w:val="1821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2026-10-14T14:09:48.397Z</dcterms:created>
  <dcterms:modified xsi:type="dcterms:W3CDTF">2026-10-14T14:09:48.398Z</dcterms:modified>
</cp:coreProperties>
</file>

<file path=docProps/custom.xml><?xml version="1.0" encoding="utf-8"?>
<Properties xmlns="http://schemas.openxmlformats.org/officeDocument/2006/custom-properties" xmlns:vt="http://schemas.openxmlformats.org/officeDocument/2006/docPropsVTypes"/>
</file>