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28"/>
        </w:rPr>
        <w:t>附件2：</w:t>
      </w:r>
    </w:p>
    <w:p/>
    <w:p>
      <w:pPr>
        <w:jc w:val="center"/>
      </w:pPr>
      <w:r>
        <w:rPr>
          <w:rFonts w:ascii="黑体" w:hAnsi="黑体" w:eastAsia="黑体"/>
          <w:b/>
          <w:sz w:val="36"/>
        </w:rPr>
        <w:t>第十九届全国大学生信息安全竞赛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参赛作品设计报告</w:t>
      </w:r>
    </w:p>
    <w:p>
      <w:pPr>
        <w:jc w:val="center"/>
      </w:pPr>
      <w:r>
        <w:rPr>
          <w:rFonts w:ascii="黑体" w:hAnsi="黑体" w:eastAsia="黑体"/>
          <w:b w:val="0"/>
          <w:sz w:val="28"/>
        </w:rPr>
        <w:t>（网络安全作品赛）</w:t>
      </w:r>
    </w:p>
    <w:p/>
    <w:p>
      <w:r>
        <w:rPr>
          <w:rFonts w:ascii="黑体" w:hAnsi="黑体" w:eastAsia="黑体"/>
          <w:b/>
          <w:sz w:val="28"/>
        </w:rPr>
        <w:t>作品名称：IShield：基于双引擎检测的智能体行为监督系统</w:t>
      </w:r>
    </w:p>
    <w:p>
      <w:r>
        <w:rPr>
          <w:rFonts w:ascii="黑体" w:hAnsi="黑体" w:eastAsia="黑体"/>
          <w:b w:val="0"/>
          <w:sz w:val="24"/>
        </w:rPr>
        <w:t>团队名称：【待填写】</w:t>
      </w:r>
    </w:p>
    <w:p>
      <w:r>
        <w:rPr>
          <w:rFonts w:ascii="黑体" w:hAnsi="黑体" w:eastAsia="黑体"/>
          <w:b w:val="0"/>
          <w:sz w:val="24"/>
        </w:rPr>
        <w:t>所在院校：【待填写】</w:t>
      </w:r>
    </w:p>
    <w:p>
      <w:r>
        <w:rPr>
          <w:rFonts w:ascii="黑体" w:hAnsi="黑体" w:eastAsia="黑体"/>
          <w:b w:val="0"/>
          <w:sz w:val="24"/>
        </w:rPr>
        <w:t>提交日期：2026 年 06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摘要</w:t>
      </w:r>
    </w:p>
    <w:p>
      <w:pPr>
        <w:ind w:firstLine="420"/>
      </w:pPr>
      <w:r>
        <w:t>随着大语言模型（LLM）与 AI Agent 的广泛部署，提示词注入、工具调用劫持、记忆中毒等威胁日益突出。本作品 IShield 实现了基于双引擎检测的智能体行为监督系统：规则引擎（子串/正则/组合/SQL 四层，150+ 条签名）与语义引擎（本地模式 + 可选 LLM API）并行检测，按 0.4:0.6 加权融合；集成策略引擎（允许/阻断/需确认）、业务工具沙箱、SSE 实时监控与红队评估。标准样本集 36 条召回率 100%；350 条提示注入攻击批量测试拦截成功率 92.86%。系统轻量可部署，适用于信息安全竞赛演示及 Agent 安全网关原型。</w:t>
      </w:r>
    </w:p>
    <w:p>
      <w:r>
        <w:t>关键词：AI Agent 安全；提示词注入；双引擎检测；行为监督；工具沙箱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作品概述</w:t>
      </w:r>
    </w:p>
    <w:p>
      <w:pPr>
        <w:pStyle w:val="Heading2"/>
      </w:pPr>
      <w:r>
        <w:rPr>
          <w:rFonts w:ascii="黑体" w:hAnsi="黑体" w:eastAsia="黑体"/>
        </w:rPr>
        <w:t>1.1 研究背景</w:t>
      </w:r>
    </w:p>
    <w:p>
      <w:pPr>
        <w:ind w:firstLine="420"/>
      </w:pPr>
      <w:r>
        <w:t>大模型应用已具备工具调用、长期记忆与多 Agent 协作能力。攻击者可诱导模型泄露系统提示、执行恶意 SQL 或读取敏感文件。赛题要求从红队视角研究攻击面并设计可旁路嵌入的行为监督机制，本作品据此构建覆盖输入检测与工具审计的闭环系统。</w:t>
      </w:r>
    </w:p>
    <w:p>
      <w:pPr>
        <w:pStyle w:val="Heading2"/>
      </w:pPr>
      <w:r>
        <w:rPr>
          <w:rFonts w:ascii="黑体" w:hAnsi="黑体" w:eastAsia="黑体"/>
        </w:rPr>
        <w:t>1.2 作品定位与创新点</w:t>
      </w:r>
    </w:p>
    <w:p>
      <w:pPr>
        <w:ind w:firstLine="420"/>
      </w:pPr>
      <w:r>
        <w:t>IShield 定位为 Agent 安全护盾：检测层（双引擎）、策略层（allow/block/confirm）、监督层（事件与 SSE）、评估层（红队与 300+ 攻击脚本）。创新点包括四层规则热重载、检测—策略—沙箱闭环、可复现红队流水线及 monitoring_plugin 旁路接入。</w:t>
      </w:r>
    </w:p>
    <w:p>
      <w:pPr>
        <w:pStyle w:val="Heading2"/>
      </w:pPr>
      <w:r>
        <w:rPr>
          <w:rFonts w:ascii="黑体" w:hAnsi="黑体" w:eastAsia="黑体"/>
        </w:rPr>
        <w:t>1.3 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智能文本检测</w:t>
            </w:r>
          </w:p>
        </w:tc>
        <w:tc>
          <w:tcPr>
            <w:tcW w:type="dxa" w:w="4320"/>
          </w:tcPr>
          <w:p>
            <w:r>
              <w:t>混合检测、Unicode 归一化、威胁等级</w:t>
            </w:r>
          </w:p>
        </w:tc>
      </w:tr>
      <w:tr>
        <w:tc>
          <w:tcPr>
            <w:tcW w:type="dxa" w:w="4320"/>
          </w:tcPr>
          <w:p>
            <w:r>
              <w:t>工具沙箱</w:t>
            </w:r>
          </w:p>
        </w:tc>
        <w:tc>
          <w:tcPr>
            <w:tcW w:type="dxa" w:w="4320"/>
          </w:tcPr>
          <w:p>
            <w:r>
              <w:t>邮件/HTTP/文件/数据库模拟与隔离</w:t>
            </w:r>
          </w:p>
        </w:tc>
      </w:tr>
      <w:tr>
        <w:tc>
          <w:tcPr>
            <w:tcW w:type="dxa" w:w="4320"/>
          </w:tcPr>
          <w:p>
            <w:r>
              <w:t>策略引擎</w:t>
            </w:r>
          </w:p>
        </w:tc>
        <w:tc>
          <w:tcPr>
            <w:tcW w:type="dxa" w:w="4320"/>
          </w:tcPr>
          <w:p>
            <w:r>
              <w:t>JSON 配置，8+ 默认策略，热重载</w:t>
            </w:r>
          </w:p>
        </w:tc>
      </w:tr>
      <w:tr>
        <w:tc>
          <w:tcPr>
            <w:tcW w:type="dxa" w:w="4320"/>
          </w:tcPr>
          <w:p>
            <w:r>
              <w:t>实时监控</w:t>
            </w:r>
          </w:p>
        </w:tc>
        <w:tc>
          <w:tcPr>
            <w:tcW w:type="dxa" w:w="4320"/>
          </w:tcPr>
          <w:p>
            <w:r>
              <w:t>SSE、SQLite 事件库、仪表盘</w:t>
            </w:r>
          </w:p>
        </w:tc>
      </w:tr>
      <w:tr>
        <w:tc>
          <w:tcPr>
            <w:tcW w:type="dxa" w:w="4320"/>
          </w:tcPr>
          <w:p>
            <w:r>
              <w:t>红队测试</w:t>
            </w:r>
          </w:p>
        </w:tc>
        <w:tc>
          <w:tcPr>
            <w:tcW w:type="dxa" w:w="4320"/>
          </w:tcPr>
          <w:p>
            <w:r>
              <w:t>10 种变异 + LLM 批量生成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第二章  作品设计与实现</w:t>
      </w:r>
    </w:p>
    <w:p>
      <w:pPr>
        <w:pStyle w:val="Heading2"/>
      </w:pPr>
      <w:r>
        <w:rPr>
          <w:rFonts w:ascii="黑体" w:hAnsi="黑体" w:eastAsia="黑体"/>
        </w:rPr>
        <w:t>2.1 总体架构</w:t>
      </w:r>
    </w:p>
    <w:p>
      <w:pPr>
        <w:ind w:firstLine="420"/>
      </w:pPr>
      <w:r>
        <w:t>采用 Flask 后端 + 静态前端。用户输入经规范化后，规则引擎与语义引擎并行执行，混合判定结果写入事件库并通过 SSE 推送；工具调用经 /api/simulate 进入注入检测、策略评估与沙箱执行。</w:t>
      </w:r>
    </w:p>
    <w:p>
      <w:pPr>
        <w:pStyle w:val="Heading2"/>
      </w:pPr>
      <w:r>
        <w:rPr>
          <w:rFonts w:ascii="黑体" w:hAnsi="黑体" w:eastAsia="黑体"/>
        </w:rPr>
        <w:t>2.2 双引擎检测</w:t>
      </w:r>
    </w:p>
    <w:p>
      <w:pPr>
        <w:ind w:firstLine="420"/>
      </w:pPr>
      <w:r>
        <w:t>规则引擎读取 signatures.json，依次执行子串、正则、组合词、SQL 组合匹配。语义引擎支持 local 与 DeepSeek/OpenAI/DashScope API，失败时自动降级。detection.py 使用线程池并行，combined = rule×0.4 + semantic×0.6。</w:t>
      </w:r>
    </w:p>
    <w:p>
      <w:pPr>
        <w:pStyle w:val="Heading2"/>
      </w:pPr>
      <w:r>
        <w:rPr>
          <w:rFonts w:ascii="黑体" w:hAnsi="黑体" w:eastAsia="黑体"/>
        </w:rPr>
        <w:t>2.3 行为监督与沙箱</w:t>
      </w:r>
    </w:p>
    <w:p>
      <w:pPr>
        <w:ind w:firstLine="420"/>
      </w:pPr>
      <w:r>
        <w:t>simulate 路由对工具名与参数做混合检测与 PolicyEngine 评估，BLOCK/CONFIRM/ALLOW 分流。tool_runner 统一调度 sandbox_email/http/file，默认 mock 模式，10 秒超时并记录事件。</w:t>
      </w:r>
    </w:p>
    <w:p>
      <w:pPr>
        <w:pStyle w:val="Heading2"/>
      </w:pPr>
      <w:r>
        <w:rPr>
          <w:rFonts w:ascii="黑体" w:hAnsi="黑体" w:eastAsia="黑体"/>
        </w:rPr>
        <w:t>2.4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3.8+、Flask</w:t>
            </w:r>
          </w:p>
        </w:tc>
      </w:tr>
      <w:tr>
        <w:tc>
          <w:tcPr>
            <w:tcW w:type="dxa" w:w="4320"/>
          </w:tcPr>
          <w:p>
            <w:r>
              <w:t>存储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OpenAI 兼容 SDK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HTML + Tailwind + Vanilla JS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 Compose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第三章  作品测试与分析</w:t>
      </w:r>
    </w:p>
    <w:p>
      <w:pPr>
        <w:pStyle w:val="Heading2"/>
      </w:pPr>
      <w:r>
        <w:rPr>
          <w:rFonts w:ascii="黑体" w:hAnsi="黑体" w:eastAsia="黑体"/>
        </w:rPr>
        <w:t>3.1 测试环境</w:t>
      </w:r>
    </w:p>
    <w:p>
      <w:pPr>
        <w:ind w:firstLine="420"/>
      </w:pPr>
      <w:r>
        <w:t>Windows/Linux，Python 3.8+，默认 SANDBOX_MODE=mock，服务端口 5000。</w:t>
      </w:r>
    </w:p>
    <w:p>
      <w:pPr>
        <w:pStyle w:val="Heading2"/>
      </w:pPr>
      <w:r>
        <w:rPr>
          <w:rFonts w:ascii="黑体" w:hAnsi="黑体" w:eastAsia="黑体"/>
        </w:rPr>
        <w:t>3.2 标准对抗样本集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用例数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召回率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漏报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3.3 300+ 提示注入攻击测试</w:t>
      </w:r>
    </w:p>
    <w:p>
      <w:pPr>
        <w:ind w:firstLine="420"/>
      </w:pPr>
      <w:r>
        <w:t>使用 scripts/prompt_injection_attack_300.py 生成 350 条不重复攻击（40 种子×11 策略×包装），本地双引擎批量检测。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攻击总数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成功拦截</w:t>
            </w:r>
          </w:p>
        </w:tc>
        <w:tc>
          <w:tcPr>
            <w:tcW w:type="dxa" w:w="4320"/>
          </w:tcPr>
          <w:p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拦截成功率</w:t>
            </w:r>
          </w:p>
        </w:tc>
        <w:tc>
          <w:tcPr>
            <w:tcW w:type="dxa" w:w="4320"/>
          </w:tcPr>
          <w:p>
            <w:r>
              <w:t>92.86%</w:t>
            </w:r>
          </w:p>
        </w:tc>
      </w:tr>
      <w:tr>
        <w:tc>
          <w:tcPr>
            <w:tcW w:type="dxa" w:w="4320"/>
          </w:tcPr>
          <w:p>
            <w:r>
              <w:t>主要漏报类型</w:t>
            </w:r>
          </w:p>
        </w:tc>
        <w:tc>
          <w:tcPr>
            <w:tcW w:type="dxa" w:w="4320"/>
          </w:tcPr>
          <w:p>
            <w:r>
              <w:t>同义词替换变体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沙箱策略测试</w:t>
      </w:r>
    </w:p>
    <w:p>
      <w:pPr>
        <w:ind w:firstLine="420"/>
      </w:pPr>
      <w:r>
        <w:t>验证 DROP TABLE、路径遍历、钓鱼 URL 等用例均被策略或沙箱阻断；正常业务参数可 mock 放行。</w:t>
      </w:r>
    </w:p>
    <w:p>
      <w:pPr>
        <w:pStyle w:val="Heading2"/>
      </w:pPr>
      <w:r>
        <w:rPr>
          <w:rFonts w:ascii="黑体" w:hAnsi="黑体" w:eastAsia="黑体"/>
        </w:rPr>
        <w:t>3.5 测试结论</w:t>
      </w:r>
    </w:p>
    <w:p>
      <w:pPr>
        <w:ind w:firstLine="420"/>
      </w:pPr>
      <w:r>
        <w:t>系统在标准集上达到满分召回；大规模攻击脚本拦截率超过 92%，满足竞赛演示与原型验证需求。同义词变体与多轮渐进攻击为后续优化重点。</w:t>
      </w:r>
    </w:p>
    <w:p>
      <w:pPr>
        <w:pStyle w:val="Heading1"/>
      </w:pPr>
      <w:r>
        <w:rPr>
          <w:rFonts w:ascii="黑体" w:hAnsi="黑体" w:eastAsia="黑体"/>
        </w:rPr>
        <w:t>第四章  其他说明</w:t>
      </w:r>
    </w:p>
    <w:p>
      <w:pPr>
        <w:ind w:firstLine="420"/>
      </w:pPr>
      <w:r>
        <w:t>config.py 含 API Key 勿提交公网仓库；沙箱默认 mock；详见 README 启动说明。</w:t>
      </w:r>
    </w:p>
    <w:p>
      <w:pPr>
        <w:ind w:firstLine="420"/>
      </w:pPr>
      <w:r>
        <w:t>局限：OpenClaw 为示例集成；无独立代码执行进程沙箱；集群监督需扩展。</w:t>
      </w:r>
    </w:p>
    <w:p>
      <w:pPr>
        <w:ind w:firstLine="420"/>
      </w:pPr>
      <w:r>
        <w:t>启动：cd backend &amp;&amp; python app.py，访问 http://localhost:5000。</w:t>
      </w:r>
    </w:p>
    <w:p>
      <w:pPr>
        <w:pStyle w:val="Heading1"/>
      </w:pPr>
      <w:r>
        <w:rPr>
          <w:rFonts w:ascii="黑体" w:hAnsi="黑体" w:eastAsia="黑体"/>
        </w:rPr>
        <w:t>第五章  总结</w:t>
      </w:r>
    </w:p>
    <w:p>
      <w:pPr>
        <w:ind w:firstLine="420"/>
      </w:pPr>
      <w:r>
        <w:t>本作品实现了 IShield：基于双引擎检测的智能体行为监督系统，形成输入检测、工具策略、实时审计与红队评估一体化能力。实验表明对典型 Agent 攻击具有较高检出率，可为大赛演示与大模型应用安全研究提供开源参考。</w:t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r>
        <w:t>[1] OWASP. OWASP Top 10 for Large Language Model Applications[EB/OL]. 2024.</w:t>
      </w:r>
    </w:p>
    <w:p>
      <w:r>
        <w:t>[2] Greshake K, et al. Compromising LLM-Integrated Applications with Indirect Prompt Injection[C]. ACM CCS Workshop, 2023.</w:t>
      </w:r>
    </w:p>
    <w:p>
      <w:r>
        <w:t>[3] 李建东, 等. 网络空间对抗博弈认知建模综述[J]. 网络空间安全科学学报, 2016, 2(2): 16-29.</w:t>
      </w:r>
    </w:p>
    <w:p>
      <w:r>
        <w:t>[4] 中国计算机学会. 大语言模型安全白皮书[R]. 2024.</w:t>
      </w:r>
    </w:p>
    <w:p>
      <w:r>
        <w:t>[5] Perez F, Ribeiro I. Ignore Previous Prompt: Attack Techniques For Language Models[C]. NeurIPS ML Safety Workshop, 2022.</w:t>
      </w:r>
    </w:p>
    <w:p>
      <w:r>
        <w:t>[6] 全国大学生信息安全竞赛组委会. 第十九届全国大学生信息安全竞赛章程[Z].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