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463390032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0"/>
          <w:szCs w:val="20"/>
        </w:rPr>
      </w:sdtEndPr>
      <w:sdtContent>
        <w:p w14:paraId="10BC80ED" w14:textId="2D9700DA" w:rsidR="00B121FE" w:rsidRPr="00B121FE" w:rsidRDefault="00B121FE" w:rsidP="00B121FE">
          <w:pPr>
            <w:pStyle w:val="TOC"/>
            <w:jc w:val="center"/>
            <w:rPr>
              <w:rFonts w:ascii="Arial" w:hAnsi="Arial" w:cs="Arial"/>
              <w:b/>
              <w:bCs/>
            </w:rPr>
          </w:pPr>
          <w:r w:rsidRPr="00B121FE">
            <w:rPr>
              <w:rFonts w:ascii="Arial" w:hAnsi="Arial" w:cs="Arial"/>
              <w:b/>
              <w:bCs/>
              <w:lang w:val="zh-CN"/>
            </w:rPr>
            <w:t xml:space="preserve">Table of </w:t>
          </w:r>
          <w:r w:rsidRPr="00B121FE">
            <w:rPr>
              <w:rFonts w:ascii="Arial" w:hAnsi="Arial" w:cs="Arial"/>
              <w:b/>
              <w:bCs/>
              <w:lang w:val="zh-CN"/>
            </w:rPr>
            <w:t>C</w:t>
          </w:r>
          <w:r w:rsidRPr="00B121FE">
            <w:rPr>
              <w:rFonts w:ascii="Arial" w:hAnsi="Arial" w:cs="Arial"/>
              <w:b/>
              <w:bCs/>
              <w:lang w:val="zh-CN"/>
            </w:rPr>
            <w:t>ontents</w:t>
          </w:r>
        </w:p>
        <w:p w14:paraId="35803B42" w14:textId="596645C3" w:rsidR="00B121FE" w:rsidRPr="00B121FE" w:rsidRDefault="00B121FE" w:rsidP="008278D0">
          <w:pPr>
            <w:pStyle w:val="TOC1"/>
          </w:pPr>
          <w:r w:rsidRPr="00B121FE">
            <w:fldChar w:fldCharType="begin"/>
          </w:r>
          <w:r w:rsidRPr="00B121FE">
            <w:instrText xml:space="preserve"> TOC \o "1-3" \h \z \u </w:instrText>
          </w:r>
          <w:r w:rsidRPr="00B121FE">
            <w:fldChar w:fldCharType="separate"/>
          </w:r>
          <w:hyperlink w:anchor="_Toc223888402" w:history="1">
            <w:r w:rsidRPr="00B121FE">
              <w:rPr>
                <w:rStyle w:val="a5"/>
              </w:rPr>
              <w:t>Technical Summary</w:t>
            </w:r>
            <w:r w:rsidRPr="00B121FE">
              <w:rPr>
                <w:webHidden/>
              </w:rPr>
              <w:tab/>
            </w:r>
            <w:r w:rsidRPr="00B121FE">
              <w:rPr>
                <w:webHidden/>
              </w:rPr>
              <w:fldChar w:fldCharType="begin"/>
            </w:r>
            <w:r w:rsidRPr="00B121FE">
              <w:rPr>
                <w:webHidden/>
              </w:rPr>
              <w:instrText xml:space="preserve"> PAGEREF _Toc223888402 \h </w:instrText>
            </w:r>
            <w:r w:rsidRPr="00B121FE">
              <w:rPr>
                <w:webHidden/>
              </w:rPr>
            </w:r>
            <w:r w:rsidRPr="00B121FE">
              <w:rPr>
                <w:webHidden/>
              </w:rPr>
              <w:fldChar w:fldCharType="separate"/>
            </w:r>
            <w:r w:rsidR="008278D0">
              <w:rPr>
                <w:webHidden/>
              </w:rPr>
              <w:t>1</w:t>
            </w:r>
            <w:r w:rsidRPr="00B121FE">
              <w:rPr>
                <w:webHidden/>
              </w:rPr>
              <w:fldChar w:fldCharType="end"/>
            </w:r>
          </w:hyperlink>
        </w:p>
        <w:p w14:paraId="136E30DD" w14:textId="67ABA11C" w:rsidR="00B121FE" w:rsidRPr="00B121FE" w:rsidRDefault="00B121FE">
          <w:pPr>
            <w:pStyle w:val="TOC2"/>
            <w:tabs>
              <w:tab w:val="left" w:pos="880"/>
              <w:tab w:val="right" w:leader="dot" w:pos="9736"/>
            </w:tabs>
            <w:ind w:left="400"/>
            <w:rPr>
              <w:noProof/>
            </w:rPr>
          </w:pPr>
          <w:hyperlink w:anchor="_Toc223888403" w:history="1">
            <w:r w:rsidRPr="00B121FE">
              <w:rPr>
                <w:rStyle w:val="a5"/>
                <w:noProof/>
              </w:rPr>
              <w:t>1.</w:t>
            </w:r>
            <w:r w:rsidRPr="00B121FE">
              <w:rPr>
                <w:noProof/>
              </w:rPr>
              <w:tab/>
            </w:r>
            <w:r w:rsidRPr="00B121FE">
              <w:rPr>
                <w:rStyle w:val="a5"/>
                <w:noProof/>
              </w:rPr>
              <w:t>Problem Definition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_Toc223888403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1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0555589E" w14:textId="36F7B7F9" w:rsidR="00B121FE" w:rsidRPr="00B121FE" w:rsidRDefault="00B121FE">
          <w:pPr>
            <w:pStyle w:val="TOC2"/>
            <w:tabs>
              <w:tab w:val="left" w:pos="880"/>
              <w:tab w:val="right" w:leader="dot" w:pos="9736"/>
            </w:tabs>
            <w:ind w:left="400"/>
            <w:rPr>
              <w:noProof/>
            </w:rPr>
          </w:pPr>
          <w:hyperlink w:anchor="_Toc223888404" w:history="1">
            <w:r w:rsidRPr="00B121FE">
              <w:rPr>
                <w:rStyle w:val="a5"/>
                <w:noProof/>
              </w:rPr>
              <w:t>2.</w:t>
            </w:r>
            <w:r w:rsidRPr="00B121FE">
              <w:rPr>
                <w:noProof/>
              </w:rPr>
              <w:tab/>
            </w:r>
            <w:r w:rsidRPr="00B121FE">
              <w:rPr>
                <w:rStyle w:val="a5"/>
                <w:noProof/>
              </w:rPr>
              <w:t>Key Counter-Intuitive Finding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_Toc223888404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1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36356011" w14:textId="0007DEBA" w:rsidR="00B121FE" w:rsidRPr="00B121FE" w:rsidRDefault="00B121FE" w:rsidP="008278D0">
          <w:pPr>
            <w:pStyle w:val="TOC1"/>
          </w:pPr>
          <w:hyperlink w:anchor="_Toc223888405" w:history="1">
            <w:r w:rsidRPr="00B121FE">
              <w:rPr>
                <w:rStyle w:val="a5"/>
              </w:rPr>
              <w:t>Chapter 1: Quick Reference Index</w:t>
            </w:r>
            <w:r w:rsidRPr="00B121FE">
              <w:rPr>
                <w:webHidden/>
              </w:rPr>
              <w:tab/>
            </w:r>
            <w:r w:rsidRPr="00B121FE">
              <w:rPr>
                <w:webHidden/>
              </w:rPr>
              <w:fldChar w:fldCharType="begin"/>
            </w:r>
            <w:r w:rsidRPr="00B121FE">
              <w:rPr>
                <w:webHidden/>
              </w:rPr>
              <w:instrText xml:space="preserve"> PAGEREF _Toc223888405 \h </w:instrText>
            </w:r>
            <w:r w:rsidRPr="00B121FE">
              <w:rPr>
                <w:webHidden/>
              </w:rPr>
            </w:r>
            <w:r w:rsidRPr="00B121FE">
              <w:rPr>
                <w:webHidden/>
              </w:rPr>
              <w:fldChar w:fldCharType="separate"/>
            </w:r>
            <w:r w:rsidR="008278D0">
              <w:rPr>
                <w:webHidden/>
              </w:rPr>
              <w:t>1</w:t>
            </w:r>
            <w:r w:rsidRPr="00B121FE">
              <w:rPr>
                <w:webHidden/>
              </w:rPr>
              <w:fldChar w:fldCharType="end"/>
            </w:r>
          </w:hyperlink>
        </w:p>
        <w:p w14:paraId="38B34EA2" w14:textId="50F53119" w:rsidR="00B121FE" w:rsidRPr="00B121FE" w:rsidRDefault="00B121FE">
          <w:pPr>
            <w:pStyle w:val="TOC2"/>
            <w:tabs>
              <w:tab w:val="right" w:leader="dot" w:pos="9736"/>
            </w:tabs>
            <w:ind w:left="400"/>
            <w:rPr>
              <w:noProof/>
            </w:rPr>
          </w:pPr>
          <w:hyperlink w:anchor="_Toc223888406" w:history="1">
            <w:r w:rsidRPr="00B121FE">
              <w:rPr>
                <w:rStyle w:val="a5"/>
                <w:noProof/>
              </w:rPr>
              <w:t xml:space="preserve">1.1 </w:t>
            </w:r>
            <w:r w:rsidR="008278D0">
              <w:rPr>
                <w:rStyle w:val="a5"/>
                <w:rFonts w:hint="eastAsia"/>
                <w:noProof/>
              </w:rPr>
              <w:t xml:space="preserve"> </w:t>
            </w:r>
            <w:r w:rsidRPr="00B121FE">
              <w:rPr>
                <w:rStyle w:val="a5"/>
                <w:noProof/>
              </w:rPr>
              <w:t>File Paths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_Toc223888406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1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51DC6A40" w14:textId="696965FE" w:rsidR="00B121FE" w:rsidRPr="00B121FE" w:rsidRDefault="00B121FE">
          <w:pPr>
            <w:pStyle w:val="TOC2"/>
            <w:tabs>
              <w:tab w:val="right" w:leader="dot" w:pos="9736"/>
            </w:tabs>
            <w:ind w:left="400"/>
            <w:rPr>
              <w:noProof/>
            </w:rPr>
          </w:pPr>
          <w:hyperlink w:anchor="_Toc223888407" w:history="1">
            <w:r w:rsidRPr="00B121FE">
              <w:rPr>
                <w:rStyle w:val="a5"/>
                <w:noProof/>
              </w:rPr>
              <w:t xml:space="preserve">1.2 </w:t>
            </w:r>
            <w:r w:rsidR="008278D0">
              <w:rPr>
                <w:rStyle w:val="a5"/>
                <w:rFonts w:hint="eastAsia"/>
                <w:noProof/>
              </w:rPr>
              <w:t xml:space="preserve"> </w:t>
            </w:r>
            <w:r w:rsidRPr="00B121FE">
              <w:rPr>
                <w:rStyle w:val="a5"/>
                <w:noProof/>
              </w:rPr>
              <w:t>Tableau Calculated Fields Quick Reference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_Toc223888407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1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0FE50B72" w14:textId="02FB8B15" w:rsidR="00B121FE" w:rsidRPr="00B121FE" w:rsidRDefault="00B121FE" w:rsidP="008278D0">
          <w:pPr>
            <w:pStyle w:val="TOC1"/>
          </w:pPr>
          <w:hyperlink w:anchor="_Toc223888408" w:history="1">
            <w:r w:rsidRPr="00B121FE">
              <w:rPr>
                <w:rStyle w:val="a5"/>
              </w:rPr>
              <w:t>Chapter 2: Project Objectives</w:t>
            </w:r>
            <w:r w:rsidRPr="00B121FE">
              <w:rPr>
                <w:webHidden/>
              </w:rPr>
              <w:tab/>
            </w:r>
            <w:r w:rsidRPr="00B121FE">
              <w:rPr>
                <w:webHidden/>
              </w:rPr>
              <w:fldChar w:fldCharType="begin"/>
            </w:r>
            <w:r w:rsidRPr="00B121FE">
              <w:rPr>
                <w:webHidden/>
              </w:rPr>
              <w:instrText xml:space="preserve"> PAGEREF _Toc223888408 \h </w:instrText>
            </w:r>
            <w:r w:rsidRPr="00B121FE">
              <w:rPr>
                <w:webHidden/>
              </w:rPr>
            </w:r>
            <w:r w:rsidRPr="00B121FE">
              <w:rPr>
                <w:webHidden/>
              </w:rPr>
              <w:fldChar w:fldCharType="separate"/>
            </w:r>
            <w:r w:rsidR="008278D0">
              <w:rPr>
                <w:webHidden/>
              </w:rPr>
              <w:t>2</w:t>
            </w:r>
            <w:r w:rsidRPr="00B121FE">
              <w:rPr>
                <w:webHidden/>
              </w:rPr>
              <w:fldChar w:fldCharType="end"/>
            </w:r>
          </w:hyperlink>
        </w:p>
        <w:p w14:paraId="60F4C0FF" w14:textId="0B7AC048" w:rsidR="00B121FE" w:rsidRPr="00B121FE" w:rsidRDefault="00B121FE">
          <w:pPr>
            <w:pStyle w:val="TOC2"/>
            <w:tabs>
              <w:tab w:val="right" w:leader="dot" w:pos="9736"/>
            </w:tabs>
            <w:ind w:left="400"/>
            <w:rPr>
              <w:noProof/>
            </w:rPr>
          </w:pPr>
          <w:hyperlink w:anchor="_Toc223888409" w:history="1">
            <w:r w:rsidRPr="00B121FE">
              <w:rPr>
                <w:rStyle w:val="a5"/>
                <w:noProof/>
              </w:rPr>
              <w:t xml:space="preserve">2.1 </w:t>
            </w:r>
            <w:r w:rsidR="008278D0">
              <w:rPr>
                <w:rStyle w:val="a5"/>
                <w:rFonts w:hint="eastAsia"/>
                <w:noProof/>
              </w:rPr>
              <w:t xml:space="preserve"> </w:t>
            </w:r>
            <w:r w:rsidRPr="00B121FE">
              <w:rPr>
                <w:rStyle w:val="a5"/>
                <w:noProof/>
              </w:rPr>
              <w:t>Data Field Description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_Toc223888409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2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289CD366" w14:textId="7F2F390F" w:rsidR="00B121FE" w:rsidRPr="00B121FE" w:rsidRDefault="00B121FE">
          <w:pPr>
            <w:pStyle w:val="TOC2"/>
            <w:tabs>
              <w:tab w:val="right" w:leader="dot" w:pos="9736"/>
            </w:tabs>
            <w:ind w:left="400"/>
            <w:rPr>
              <w:noProof/>
            </w:rPr>
          </w:pPr>
          <w:hyperlink w:anchor="_Toc223888410" w:history="1">
            <w:r w:rsidRPr="00B121FE">
              <w:rPr>
                <w:rStyle w:val="a5"/>
                <w:noProof/>
              </w:rPr>
              <w:t xml:space="preserve">2.2 </w:t>
            </w:r>
            <w:r w:rsidR="008278D0">
              <w:rPr>
                <w:rStyle w:val="a5"/>
                <w:rFonts w:hint="eastAsia"/>
                <w:noProof/>
              </w:rPr>
              <w:t xml:space="preserve"> </w:t>
            </w:r>
            <w:r w:rsidRPr="00B121FE">
              <w:rPr>
                <w:rStyle w:val="a5"/>
                <w:noProof/>
              </w:rPr>
              <w:t>Key Historical Milestones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_Toc223888410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2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2366C4F3" w14:textId="15B22918" w:rsidR="00B121FE" w:rsidRPr="00B121FE" w:rsidRDefault="00B121FE" w:rsidP="008278D0">
          <w:pPr>
            <w:pStyle w:val="TOC1"/>
          </w:pPr>
          <w:hyperlink w:anchor="_Toc223888411" w:history="1">
            <w:r w:rsidRPr="00B121FE">
              <w:rPr>
                <w:rStyle w:val="a5"/>
              </w:rPr>
              <w:t>Chapter 3: Model Design Decision Log</w:t>
            </w:r>
            <w:r w:rsidRPr="00B121FE">
              <w:rPr>
                <w:webHidden/>
              </w:rPr>
              <w:tab/>
            </w:r>
            <w:r w:rsidRPr="00B121FE">
              <w:rPr>
                <w:webHidden/>
              </w:rPr>
              <w:fldChar w:fldCharType="begin"/>
            </w:r>
            <w:r w:rsidRPr="00B121FE">
              <w:rPr>
                <w:webHidden/>
              </w:rPr>
              <w:instrText xml:space="preserve"> PAGEREF _Toc223888411 \h </w:instrText>
            </w:r>
            <w:r w:rsidRPr="00B121FE">
              <w:rPr>
                <w:webHidden/>
              </w:rPr>
            </w:r>
            <w:r w:rsidRPr="00B121FE">
              <w:rPr>
                <w:webHidden/>
              </w:rPr>
              <w:fldChar w:fldCharType="separate"/>
            </w:r>
            <w:r w:rsidR="008278D0">
              <w:rPr>
                <w:webHidden/>
              </w:rPr>
              <w:t>2</w:t>
            </w:r>
            <w:r w:rsidRPr="00B121FE">
              <w:rPr>
                <w:webHidden/>
              </w:rPr>
              <w:fldChar w:fldCharType="end"/>
            </w:r>
          </w:hyperlink>
        </w:p>
        <w:p w14:paraId="389E7066" w14:textId="046EF154" w:rsidR="00B121FE" w:rsidRPr="008278D0" w:rsidRDefault="00B121FE" w:rsidP="008278D0">
          <w:pPr>
            <w:pStyle w:val="TOC1"/>
          </w:pPr>
          <w:hyperlink w:anchor="_Toc223888412" w:history="1">
            <w:r w:rsidRPr="008278D0">
              <w:rPr>
                <w:rStyle w:val="a5"/>
                <w:b w:val="0"/>
                <w:bCs w:val="0"/>
              </w:rPr>
              <w:t>Chapter 4: Core Conclusions &amp; Model Limitations</w:t>
            </w:r>
            <w:r w:rsidRPr="008278D0">
              <w:rPr>
                <w:webHidden/>
              </w:rPr>
              <w:tab/>
            </w:r>
            <w:r w:rsidRPr="008278D0">
              <w:rPr>
                <w:webHidden/>
              </w:rPr>
              <w:fldChar w:fldCharType="begin"/>
            </w:r>
            <w:r w:rsidRPr="008278D0">
              <w:rPr>
                <w:webHidden/>
              </w:rPr>
              <w:instrText xml:space="preserve"> PAGEREF _Toc223888412 \h </w:instrText>
            </w:r>
            <w:r w:rsidRPr="008278D0">
              <w:rPr>
                <w:webHidden/>
              </w:rPr>
            </w:r>
            <w:r w:rsidRPr="008278D0">
              <w:rPr>
                <w:webHidden/>
              </w:rPr>
              <w:fldChar w:fldCharType="separate"/>
            </w:r>
            <w:r w:rsidR="008278D0" w:rsidRPr="008278D0">
              <w:rPr>
                <w:webHidden/>
              </w:rPr>
              <w:t>3</w:t>
            </w:r>
            <w:r w:rsidRPr="008278D0">
              <w:rPr>
                <w:webHidden/>
              </w:rPr>
              <w:fldChar w:fldCharType="end"/>
            </w:r>
          </w:hyperlink>
        </w:p>
        <w:p w14:paraId="314AD5E4" w14:textId="51ACE969" w:rsidR="00B121FE" w:rsidRPr="00B121FE" w:rsidRDefault="00B121FE">
          <w:pPr>
            <w:pStyle w:val="TOC2"/>
            <w:tabs>
              <w:tab w:val="right" w:leader="dot" w:pos="9736"/>
            </w:tabs>
            <w:ind w:left="400"/>
            <w:rPr>
              <w:noProof/>
            </w:rPr>
          </w:pPr>
          <w:hyperlink w:anchor="_Toc223888413" w:history="1">
            <w:r w:rsidRPr="00B121FE">
              <w:rPr>
                <w:rStyle w:val="a5"/>
                <w:noProof/>
              </w:rPr>
              <w:t xml:space="preserve">4.1 </w:t>
            </w:r>
            <w:r w:rsidR="008278D0">
              <w:rPr>
                <w:rStyle w:val="a5"/>
                <w:rFonts w:hint="eastAsia"/>
                <w:noProof/>
              </w:rPr>
              <w:t xml:space="preserve"> </w:t>
            </w:r>
            <w:r w:rsidRPr="00B121FE">
              <w:rPr>
                <w:rStyle w:val="a5"/>
                <w:noProof/>
              </w:rPr>
              <w:t>Conclusions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_Toc223888413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3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1EFC67B1" w14:textId="71834FD0" w:rsidR="00B121FE" w:rsidRPr="00B121FE" w:rsidRDefault="00B121FE">
          <w:pPr>
            <w:pStyle w:val="TOC2"/>
            <w:tabs>
              <w:tab w:val="right" w:leader="dot" w:pos="9736"/>
            </w:tabs>
            <w:ind w:left="400"/>
            <w:rPr>
              <w:noProof/>
            </w:rPr>
          </w:pPr>
          <w:hyperlink w:anchor="_Toc223888414" w:history="1">
            <w:r w:rsidRPr="00B121FE">
              <w:rPr>
                <w:rStyle w:val="a5"/>
                <w:noProof/>
              </w:rPr>
              <w:t xml:space="preserve">4.2 </w:t>
            </w:r>
            <w:r w:rsidR="008278D0">
              <w:rPr>
                <w:rStyle w:val="a5"/>
                <w:rFonts w:hint="eastAsia"/>
                <w:noProof/>
              </w:rPr>
              <w:t xml:space="preserve"> </w:t>
            </w:r>
            <w:r w:rsidRPr="00B121FE">
              <w:rPr>
                <w:rStyle w:val="a5"/>
                <w:noProof/>
              </w:rPr>
              <w:t>Model Limitations</w:t>
            </w:r>
            <w:r w:rsidRPr="00B121FE">
              <w:rPr>
                <w:noProof/>
                <w:webHidden/>
              </w:rPr>
              <w:tab/>
            </w:r>
            <w:r w:rsidRPr="00B121FE">
              <w:rPr>
                <w:noProof/>
                <w:webHidden/>
              </w:rPr>
              <w:fldChar w:fldCharType="begin"/>
            </w:r>
            <w:r w:rsidRPr="00B121FE">
              <w:rPr>
                <w:noProof/>
                <w:webHidden/>
              </w:rPr>
              <w:instrText xml:space="preserve"> PAGEREF _Toc223888414 \h </w:instrText>
            </w:r>
            <w:r w:rsidRPr="00B121FE">
              <w:rPr>
                <w:noProof/>
                <w:webHidden/>
              </w:rPr>
            </w:r>
            <w:r w:rsidRPr="00B121FE">
              <w:rPr>
                <w:noProof/>
                <w:webHidden/>
              </w:rPr>
              <w:fldChar w:fldCharType="separate"/>
            </w:r>
            <w:r w:rsidR="008278D0">
              <w:rPr>
                <w:noProof/>
                <w:webHidden/>
              </w:rPr>
              <w:t>3</w:t>
            </w:r>
            <w:r w:rsidRPr="00B121FE">
              <w:rPr>
                <w:noProof/>
                <w:webHidden/>
              </w:rPr>
              <w:fldChar w:fldCharType="end"/>
            </w:r>
          </w:hyperlink>
        </w:p>
        <w:p w14:paraId="1E11176D" w14:textId="7C8959D9" w:rsidR="00B121FE" w:rsidRDefault="00B121FE" w:rsidP="00B121FE">
          <w:pPr>
            <w:rPr>
              <w:rFonts w:hint="eastAsia"/>
            </w:rPr>
          </w:pPr>
          <w:r w:rsidRPr="00B121FE">
            <w:rPr>
              <w:b/>
              <w:bCs/>
              <w:lang w:val="zh-CN"/>
            </w:rPr>
            <w:fldChar w:fldCharType="end"/>
          </w:r>
        </w:p>
      </w:sdtContent>
    </w:sdt>
    <w:p w14:paraId="7D5C5B17" w14:textId="561C7DC0" w:rsidR="00D03269" w:rsidRDefault="00000000">
      <w:pPr>
        <w:pStyle w:val="1"/>
        <w:pBdr>
          <w:bottom w:val="single" w:sz="8" w:space="1" w:color="2E75B6"/>
        </w:pBdr>
      </w:pPr>
      <w:bookmarkStart w:id="0" w:name="_Toc223888402"/>
      <w:r>
        <w:t>Technical Summary</w:t>
      </w:r>
      <w:bookmarkEnd w:id="0"/>
    </w:p>
    <w:p w14:paraId="00E763A1" w14:textId="772FF89C" w:rsidR="00D03269" w:rsidRDefault="00000000" w:rsidP="003D54AF">
      <w:pPr>
        <w:pStyle w:val="2"/>
        <w:numPr>
          <w:ilvl w:val="0"/>
          <w:numId w:val="3"/>
        </w:numPr>
      </w:pPr>
      <w:bookmarkStart w:id="1" w:name="_Toc223888403"/>
      <w:r>
        <w:t>Problem Definition</w:t>
      </w:r>
      <w:bookmarkEnd w:id="1"/>
    </w:p>
    <w:p w14:paraId="566E8E7B" w14:textId="5BAA9727" w:rsidR="00D03269" w:rsidRDefault="00000000" w:rsidP="00EE5BAD">
      <w:pPr>
        <w:spacing w:after="100"/>
        <w:rPr>
          <w:rFonts w:hint="eastAsia"/>
        </w:rPr>
      </w:pPr>
      <w:r>
        <w:rPr>
          <w:rFonts w:eastAsia="Arial"/>
          <w:color w:val="000000"/>
        </w:rPr>
        <w:t>In the context of personal investing in Hungary</w:t>
      </w:r>
      <w:r w:rsidR="00EE5BAD">
        <w:rPr>
          <w:rFonts w:ascii="宋体" w:eastAsia="宋体" w:hAnsi="宋体" w:cs="宋体" w:hint="eastAsia"/>
          <w:color w:val="000000"/>
        </w:rPr>
        <w:t>,</w:t>
      </w:r>
      <w:r>
        <w:rPr>
          <w:rFonts w:eastAsia="Arial"/>
          <w:color w:val="000000"/>
        </w:rPr>
        <w:t>given inflation and exchange rate volatility</w:t>
      </w:r>
      <w:r w:rsidR="00EE5BAD">
        <w:rPr>
          <w:rFonts w:hint="eastAsia"/>
          <w:color w:val="000000"/>
        </w:rPr>
        <w:t xml:space="preserve">, </w:t>
      </w:r>
      <w:r>
        <w:rPr>
          <w:rFonts w:eastAsia="Arial"/>
          <w:color w:val="000000"/>
        </w:rPr>
        <w:t>how to allocate</w:t>
      </w:r>
      <w:r w:rsidR="00EE5BAD">
        <w:rPr>
          <w:rFonts w:hint="eastAsia"/>
          <w:color w:val="000000"/>
        </w:rPr>
        <w:t xml:space="preserve"> </w:t>
      </w:r>
      <w:r>
        <w:rPr>
          <w:rFonts w:eastAsia="Arial"/>
          <w:color w:val="000000"/>
        </w:rPr>
        <w:t>HUF</w:t>
      </w:r>
      <w:r w:rsidR="00EE5BAD">
        <w:rPr>
          <w:rFonts w:hint="eastAsia"/>
          <w:color w:val="000000"/>
        </w:rPr>
        <w:t xml:space="preserve"> </w:t>
      </w:r>
      <w:r>
        <w:rPr>
          <w:rFonts w:eastAsia="Arial"/>
          <w:color w:val="000000"/>
        </w:rPr>
        <w:t>investment and</w:t>
      </w:r>
      <w:r w:rsidR="00EE5BAD">
        <w:rPr>
          <w:rFonts w:hint="eastAsia"/>
          <w:color w:val="000000"/>
        </w:rPr>
        <w:t xml:space="preserve"> </w:t>
      </w:r>
      <w:r>
        <w:rPr>
          <w:rFonts w:eastAsia="Arial"/>
          <w:color w:val="000000"/>
        </w:rPr>
        <w:t>EUR</w:t>
      </w:r>
      <w:r w:rsidR="00EE5BAD">
        <w:rPr>
          <w:rFonts w:hint="eastAsia"/>
          <w:color w:val="000000"/>
        </w:rPr>
        <w:t xml:space="preserve"> </w:t>
      </w:r>
      <w:r>
        <w:rPr>
          <w:rFonts w:eastAsia="Arial"/>
          <w:color w:val="000000"/>
        </w:rPr>
        <w:t>FX conversion ratio</w:t>
      </w:r>
      <w:r w:rsidR="00EE5BAD">
        <w:rPr>
          <w:rFonts w:hint="eastAsia"/>
          <w:color w:val="000000"/>
        </w:rPr>
        <w:t xml:space="preserve">, </w:t>
      </w:r>
      <w:r>
        <w:rPr>
          <w:rFonts w:eastAsia="Arial"/>
          <w:color w:val="000000"/>
        </w:rPr>
        <w:t>to maximize</w:t>
      </w:r>
      <w:r w:rsidR="00EE5BAD">
        <w:rPr>
          <w:rFonts w:hint="eastAsia"/>
          <w:color w:val="000000"/>
        </w:rPr>
        <w:t xml:space="preserve"> </w:t>
      </w:r>
      <w:r>
        <w:rPr>
          <w:rFonts w:eastAsia="Arial"/>
          <w:color w:val="000000"/>
        </w:rPr>
        <w:t>EUR Total Value</w:t>
      </w:r>
      <w:r w:rsidR="00EE5BAD">
        <w:rPr>
          <w:rFonts w:hint="eastAsia"/>
          <w:color w:val="000000"/>
        </w:rPr>
        <w:t>?</w:t>
      </w:r>
    </w:p>
    <w:p w14:paraId="0B594816" w14:textId="27F976F0" w:rsidR="00D03269" w:rsidRDefault="00000000" w:rsidP="003D54AF">
      <w:pPr>
        <w:pStyle w:val="2"/>
        <w:numPr>
          <w:ilvl w:val="0"/>
          <w:numId w:val="3"/>
        </w:numPr>
      </w:pPr>
      <w:bookmarkStart w:id="2" w:name="_Toc223888404"/>
      <w:r>
        <w:t>Key Counter-Intuitive Finding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8726"/>
      </w:tblGrid>
      <w:tr w:rsidR="00D03269" w14:paraId="752126D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0" w:type="dxa"/>
            </w:tcMar>
          </w:tcPr>
          <w:p w14:paraId="7B2F2F42" w14:textId="77777777" w:rsidR="00D03269" w:rsidRPr="00597D20" w:rsidRDefault="00000000">
            <w:r>
              <w:rPr>
                <w:rFonts w:eastAsia="Arial"/>
                <w:color w:val="2E75B6"/>
                <w:sz w:val="24"/>
                <w:szCs w:val="24"/>
              </w:rPr>
              <w:t>▌</w:t>
            </w:r>
          </w:p>
        </w:tc>
        <w:tc>
          <w:tcPr>
            <w:tcW w:w="8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5E2AC" w14:textId="77777777" w:rsidR="00597D20" w:rsidRDefault="00000000">
            <w:pPr>
              <w:rPr>
                <w:color w:val="333333"/>
                <w:sz w:val="18"/>
                <w:szCs w:val="18"/>
              </w:rPr>
            </w:pPr>
            <w:r>
              <w:rPr>
                <w:rFonts w:eastAsia="Arial"/>
                <w:color w:val="333333"/>
                <w:sz w:val="18"/>
                <w:szCs w:val="18"/>
              </w:rPr>
              <w:t>More FX conversion，EUR Total Valueleads to lower value。</w:t>
            </w:r>
          </w:p>
          <w:p w14:paraId="5C34EAD0" w14:textId="5B18C97B" w:rsidR="00D03269" w:rsidRPr="00597D20" w:rsidRDefault="00000000">
            <w:r>
              <w:rPr>
                <w:rFonts w:eastAsia="Arial"/>
                <w:color w:val="333333"/>
                <w:sz w:val="18"/>
                <w:szCs w:val="18"/>
              </w:rPr>
              <w:t>Root cause: HUF</w:t>
            </w:r>
            <w:r w:rsidR="00EE5BAD">
              <w:rPr>
                <w:rFonts w:hint="eastAsia"/>
                <w:color w:val="333333"/>
                <w:sz w:val="18"/>
                <w:szCs w:val="18"/>
              </w:rPr>
              <w:t xml:space="preserve"> Bonds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annual rate (5%) far exceeds EUR deposit returns. Each HUF converted foregoes simple interest gains. Under these parameters, the </w:t>
            </w:r>
            <w:r w:rsidR="00EE5BAD">
              <w:rPr>
                <w:color w:val="333333"/>
                <w:sz w:val="18"/>
                <w:szCs w:val="18"/>
              </w:rPr>
              <w:t>“</w:t>
            </w:r>
            <w:r>
              <w:rPr>
                <w:rFonts w:eastAsia="Arial"/>
                <w:color w:val="333333"/>
                <w:sz w:val="18"/>
                <w:szCs w:val="18"/>
              </w:rPr>
              <w:t>no-conversion</w:t>
            </w:r>
            <w:r w:rsidR="00EE5BAD">
              <w:rPr>
                <w:color w:val="333333"/>
                <w:sz w:val="18"/>
                <w:szCs w:val="18"/>
              </w:rPr>
              <w:t>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strategy is optimal.</w:t>
            </w:r>
          </w:p>
        </w:tc>
      </w:tr>
    </w:tbl>
    <w:p w14:paraId="239921FA" w14:textId="720E90CC" w:rsidR="00D03269" w:rsidRDefault="00000000">
      <w:pPr>
        <w:pStyle w:val="1"/>
        <w:pBdr>
          <w:bottom w:val="single" w:sz="8" w:space="1" w:color="2E75B6"/>
        </w:pBdr>
      </w:pPr>
      <w:bookmarkStart w:id="3" w:name="_Toc223888405"/>
      <w:r>
        <w:t>Chapter 1</w:t>
      </w:r>
      <w:r w:rsidR="00EE5BAD">
        <w:rPr>
          <w:rFonts w:eastAsiaTheme="minorEastAsia" w:hint="eastAsia"/>
        </w:rPr>
        <w:t xml:space="preserve">: </w:t>
      </w:r>
      <w:r>
        <w:t>Quick Reference Index</w:t>
      </w:r>
      <w:bookmarkEnd w:id="3"/>
    </w:p>
    <w:p w14:paraId="0FF2CB60" w14:textId="77777777" w:rsidR="00D03269" w:rsidRDefault="00000000">
      <w:pPr>
        <w:pStyle w:val="2"/>
      </w:pPr>
      <w:bookmarkStart w:id="4" w:name="_Toc223888406"/>
      <w:r>
        <w:t>1.1 File Paths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6845"/>
      </w:tblGrid>
      <w:tr w:rsidR="00D03269" w14:paraId="4855EB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D799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EB7D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Path / Description</w:t>
            </w:r>
          </w:p>
        </w:tc>
      </w:tr>
      <w:tr w:rsidR="00D03269" w14:paraId="2BA768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1C71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Raw Data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126A" w14:textId="77777777" w:rsidR="00EE5BAD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 xml:space="preserve">Hungary_Investment_Backtest.xlsx </w:t>
            </w:r>
          </w:p>
          <w:p w14:paraId="6162F03E" w14:textId="0F133296" w:rsidR="00D03269" w:rsidRDefault="00000000">
            <w:r>
              <w:rPr>
                <w:rFonts w:eastAsia="Arial"/>
                <w:color w:val="000000"/>
                <w:sz w:val="17"/>
                <w:szCs w:val="17"/>
              </w:rPr>
              <w:t>81 rows of monthly data (2019</w:t>
            </w:r>
            <w:r w:rsidR="00EE5BAD">
              <w:rPr>
                <w:rFonts w:hint="eastAsia"/>
                <w:color w:val="000000"/>
                <w:sz w:val="17"/>
                <w:szCs w:val="17"/>
              </w:rPr>
              <w:t>.</w:t>
            </w:r>
            <w:r>
              <w:rPr>
                <w:rFonts w:eastAsia="Arial"/>
                <w:color w:val="000000"/>
                <w:sz w:val="17"/>
                <w:szCs w:val="17"/>
              </w:rPr>
              <w:t>06 ~ 2026</w:t>
            </w:r>
            <w:r w:rsidR="00EE5BAD">
              <w:rPr>
                <w:rFonts w:hint="eastAsia"/>
                <w:color w:val="000000"/>
                <w:sz w:val="17"/>
                <w:szCs w:val="17"/>
              </w:rPr>
              <w:t>.</w:t>
            </w:r>
            <w:r>
              <w:rPr>
                <w:rFonts w:eastAsia="Arial"/>
                <w:color w:val="000000"/>
                <w:sz w:val="17"/>
                <w:szCs w:val="17"/>
              </w:rPr>
              <w:t>02)</w:t>
            </w:r>
          </w:p>
        </w:tc>
      </w:tr>
      <w:tr w:rsidR="00D03269" w14:paraId="1B5DEA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8E2E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Tableau Workbook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1AAB" w14:textId="0A7FB5C7" w:rsidR="00D03269" w:rsidRDefault="00000000">
            <w:r>
              <w:rPr>
                <w:rFonts w:eastAsia="Arial"/>
                <w:color w:val="000000"/>
                <w:sz w:val="17"/>
                <w:szCs w:val="17"/>
              </w:rPr>
              <w:t>HUF Investment Analysis</w:t>
            </w:r>
          </w:p>
        </w:tc>
      </w:tr>
      <w:tr w:rsidR="00D03269" w14:paraId="18DAF7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8001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Tableau Public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95C8" w14:textId="7C0033DD" w:rsidR="00D03269" w:rsidRDefault="00EE5BAD">
            <w:r w:rsidRPr="00EE5BAD">
              <w:rPr>
                <w:rFonts w:eastAsia="Arial"/>
                <w:color w:val="000000"/>
                <w:sz w:val="17"/>
                <w:szCs w:val="17"/>
              </w:rPr>
              <w:t>https://public.tableau.com/app/profile/alice.cls/viz/HUFInvestmentAnalysis/InvestFactors</w:t>
            </w:r>
          </w:p>
        </w:tc>
      </w:tr>
    </w:tbl>
    <w:p w14:paraId="23519A16" w14:textId="77777777" w:rsidR="00D03269" w:rsidRDefault="00D03269"/>
    <w:p w14:paraId="0C9100E8" w14:textId="77777777" w:rsidR="00D03269" w:rsidRDefault="00000000">
      <w:pPr>
        <w:pStyle w:val="2"/>
      </w:pPr>
      <w:bookmarkStart w:id="5" w:name="_Toc223888407"/>
      <w:r>
        <w:t>1.2 Tableau Calculated Fields Quick Reference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26"/>
        <w:gridCol w:w="2800"/>
      </w:tblGrid>
      <w:tr w:rsidR="00D03269" w14:paraId="343E07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7FA0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F191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3CB7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03269" w14:paraId="43AA79FC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3791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c_Monthly Rate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9091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[P_Rate] / 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CAD0" w14:textId="77777777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Depends on Parameter P_Rate</w:t>
            </w:r>
          </w:p>
        </w:tc>
      </w:tr>
      <w:tr w:rsidR="00D03269" w14:paraId="258FDE3F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8C17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c_EUR Rate MA3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3C80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WINDOW_AVG(AVG([EUR Rate]), -2, 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D4EF" w14:textId="62BEB72C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Compute Using: Date</w:t>
            </w:r>
          </w:p>
        </w:tc>
      </w:tr>
      <w:tr w:rsidR="00D03269" w14:paraId="2BB72535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CF76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c_FX%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9AAA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MAX(0, ([c_EUR Rate MA3] - AVG([EUR Rate])) / [c_EUR Rate MA3])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3975" w14:textId="77777777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Mixed aggregation: AVG wraps raw field</w:t>
            </w:r>
          </w:p>
        </w:tc>
      </w:tr>
      <w:tr w:rsidR="00D03269" w14:paraId="1C6E68CF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24B8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c_FX HUF amount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5EBE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SUM([Saving]) * [c_FX%]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65D4" w14:textId="77777777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SUM wraps raw fields only</w:t>
            </w:r>
          </w:p>
        </w:tc>
      </w:tr>
      <w:tr w:rsidR="00D03269" w14:paraId="489CC35E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8B2A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c_EUR convert/Month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AC69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[c_FX HUF amount] / AVG([EUR Rate])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3665" w14:textId="77777777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Table Calc chain</w:t>
            </w:r>
          </w:p>
        </w:tc>
      </w:tr>
      <w:tr w:rsidR="00D03269" w14:paraId="5BC5AFD5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BE99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c_EUR Total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B811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RUNNING_SUM([c_EUR convert/Month])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3EC3" w14:textId="33FA73E2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Compute Using: Date</w:t>
            </w:r>
          </w:p>
        </w:tc>
      </w:tr>
      <w:tr w:rsidR="00D03269" w14:paraId="49F7EBC6" w14:textId="77777777" w:rsidTr="00597A9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54EC" w14:textId="77777777" w:rsidR="00D03269" w:rsidRDefault="00000000">
            <w:r>
              <w:rPr>
                <w:rFonts w:eastAsia="Arial"/>
                <w:b/>
                <w:bCs/>
                <w:color w:val="000000"/>
                <w:sz w:val="16"/>
                <w:szCs w:val="16"/>
              </w:rPr>
              <w:t>c_HUF invested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B3B5" w14:textId="77777777" w:rsidR="00D03269" w:rsidRPr="00597A92" w:rsidRDefault="00000000">
            <w:r>
              <w:rPr>
                <w:rFonts w:eastAsia="Arial"/>
                <w:sz w:val="16"/>
                <w:szCs w:val="16"/>
              </w:rPr>
              <w:t>RUNNING_SUM(SUM([Saving]) - [c_FX HUF amount])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F5A6" w14:textId="77777777" w:rsidR="00D03269" w:rsidRPr="00597A92" w:rsidRDefault="00000000">
            <w:r>
              <w:rPr>
                <w:rFonts w:eastAsia="Arial"/>
                <w:color w:val="000000"/>
                <w:sz w:val="16"/>
                <w:szCs w:val="16"/>
              </w:rPr>
              <w:t>SUM on outside, Table Calc inside</w:t>
            </w:r>
          </w:p>
        </w:tc>
      </w:tr>
    </w:tbl>
    <w:p w14:paraId="471CD82E" w14:textId="77777777" w:rsidR="00D03269" w:rsidRDefault="00D03269"/>
    <w:p w14:paraId="2D514411" w14:textId="492C5D9A" w:rsidR="00D03269" w:rsidRPr="00EE5BAD" w:rsidRDefault="00000000">
      <w:pPr>
        <w:pStyle w:val="1"/>
        <w:pBdr>
          <w:bottom w:val="single" w:sz="8" w:space="1" w:color="2E75B6"/>
        </w:pBdr>
        <w:rPr>
          <w:rFonts w:eastAsiaTheme="minorEastAsia" w:hint="eastAsia"/>
        </w:rPr>
      </w:pPr>
      <w:bookmarkStart w:id="6" w:name="_Toc223888408"/>
      <w:r>
        <w:lastRenderedPageBreak/>
        <w:t xml:space="preserve">Chapter 2: Project </w:t>
      </w:r>
      <w:r w:rsidR="00EE5BAD">
        <w:rPr>
          <w:rFonts w:eastAsiaTheme="minorEastAsia" w:hint="eastAsia"/>
        </w:rPr>
        <w:t>Objectives</w:t>
      </w:r>
      <w:bookmarkEnd w:id="6"/>
    </w:p>
    <w:p w14:paraId="051D078C" w14:textId="4E49638C" w:rsidR="00D03269" w:rsidRDefault="00EE5BAD" w:rsidP="00597A92">
      <w:pPr>
        <w:spacing w:after="100"/>
      </w:pPr>
      <w:r>
        <w:rPr>
          <w:rFonts w:hint="eastAsia"/>
          <w:color w:val="000000"/>
        </w:rPr>
        <w:t>Find balance to</w:t>
      </w:r>
      <w:r w:rsidR="00000000">
        <w:rPr>
          <w:rFonts w:hint="eastAsia"/>
          <w:color w:val="000000"/>
        </w:rPr>
        <w:t xml:space="preserve"> allocate monthly savings between</w:t>
      </w:r>
      <w:r>
        <w:rPr>
          <w:rFonts w:hint="eastAsia"/>
          <w:color w:val="000000"/>
        </w:rPr>
        <w:t xml:space="preserve"> </w:t>
      </w:r>
      <w:r w:rsidR="00000000">
        <w:rPr>
          <w:rFonts w:eastAsia="Arial"/>
          <w:color w:val="000000"/>
        </w:rPr>
        <w:t>HUF</w:t>
      </w:r>
      <w:r w:rsidR="00000000">
        <w:rPr>
          <w:rFonts w:hint="eastAsia"/>
          <w:color w:val="000000"/>
        </w:rPr>
        <w:t>investment and</w:t>
      </w:r>
      <w:r>
        <w:rPr>
          <w:rFonts w:hint="eastAsia"/>
          <w:color w:val="000000"/>
        </w:rPr>
        <w:t xml:space="preserve"> </w:t>
      </w:r>
      <w:r w:rsidR="00000000">
        <w:rPr>
          <w:rFonts w:eastAsia="Arial"/>
          <w:color w:val="000000"/>
        </w:rPr>
        <w:t>EUR</w:t>
      </w:r>
      <w:r>
        <w:rPr>
          <w:rFonts w:hint="eastAsia"/>
          <w:color w:val="000000"/>
        </w:rPr>
        <w:t xml:space="preserve"> </w:t>
      </w:r>
      <w:r w:rsidR="00000000">
        <w:rPr>
          <w:rFonts w:hint="eastAsia"/>
          <w:color w:val="000000"/>
        </w:rPr>
        <w:t>FX conversion ratio</w:t>
      </w:r>
      <w:r>
        <w:rPr>
          <w:rFonts w:hint="eastAsia"/>
          <w:color w:val="000000"/>
        </w:rPr>
        <w:t xml:space="preserve">, </w:t>
      </w:r>
      <w:r w:rsidR="00000000">
        <w:rPr>
          <w:rFonts w:hint="eastAsia"/>
          <w:color w:val="000000"/>
        </w:rPr>
        <w:t>to maximize</w:t>
      </w:r>
      <w:r>
        <w:rPr>
          <w:rFonts w:hint="eastAsia"/>
          <w:color w:val="000000"/>
        </w:rPr>
        <w:t xml:space="preserve"> </w:t>
      </w:r>
      <w:r w:rsidR="00000000">
        <w:rPr>
          <w:rFonts w:eastAsia="Arial"/>
          <w:color w:val="000000"/>
        </w:rPr>
        <w:t>EUR</w:t>
      </w:r>
      <w:r>
        <w:rPr>
          <w:rFonts w:hint="eastAsia"/>
          <w:color w:val="000000"/>
        </w:rPr>
        <w:t xml:space="preserve"> </w:t>
      </w:r>
      <w:r w:rsidR="00000000">
        <w:rPr>
          <w:rFonts w:hint="eastAsia"/>
          <w:color w:val="000000"/>
        </w:rPr>
        <w:t>total value</w:t>
      </w:r>
      <w:r>
        <w:rPr>
          <w:rFonts w:hint="eastAsia"/>
          <w:color w:val="000000"/>
        </w:rPr>
        <w:t>.</w:t>
      </w:r>
    </w:p>
    <w:p w14:paraId="45B741E0" w14:textId="77777777" w:rsidR="00D03269" w:rsidRDefault="00000000">
      <w:pPr>
        <w:pStyle w:val="2"/>
      </w:pPr>
      <w:bookmarkStart w:id="7" w:name="_Toc223888409"/>
      <w:r>
        <w:t xml:space="preserve">2.1 </w:t>
      </w:r>
      <w:r>
        <w:rPr>
          <w:rFonts w:hint="eastAsia"/>
        </w:rPr>
        <w:t>Data Field Description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87"/>
        <w:gridCol w:w="2551"/>
      </w:tblGrid>
      <w:tr w:rsidR="00D03269" w14:paraId="1C5B9FFA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1B2C" w14:textId="07240CE8" w:rsidR="00D03269" w:rsidRPr="00EE5BAD" w:rsidRDefault="00EE5BAD">
            <w:pPr>
              <w:rPr>
                <w:rFonts w:hint="eastAsia"/>
                <w:b/>
                <w:bCs/>
              </w:rPr>
            </w:pPr>
            <w:r w:rsidRPr="00EE5BAD">
              <w:rPr>
                <w:rFonts w:hint="eastAsia"/>
                <w:b/>
                <w:bCs/>
              </w:rPr>
              <w:t>Factor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36EE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4166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Range</w:t>
            </w:r>
          </w:p>
        </w:tc>
      </w:tr>
      <w:tr w:rsidR="00D03269" w14:paraId="10EACF8B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FCF6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1340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Monthly timeline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6CB2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2019-06 ~ 2026-02</w:t>
            </w:r>
          </w:p>
        </w:tc>
      </w:tr>
      <w:tr w:rsidR="00D03269" w14:paraId="117DB36D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CA1C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EUR_Rate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5A02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Monthly EUR/HUF exchange rate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BD4B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322 ~ 418</w:t>
            </w:r>
          </w:p>
        </w:tc>
      </w:tr>
      <w:tr w:rsidR="00D03269" w14:paraId="3DD8CD4D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1386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Inflation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B4A0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Monthly inflation rate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39C4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2.0% ~ 25.7%</w:t>
            </w:r>
          </w:p>
        </w:tc>
      </w:tr>
      <w:tr w:rsidR="00D03269" w14:paraId="64856E6D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C62F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Base_Income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D04B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Monthly income (increasing year over year)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9135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494,400 ~ 1,001,048 HUF</w:t>
            </w:r>
          </w:p>
        </w:tc>
      </w:tr>
      <w:tr w:rsidR="00D03269" w14:paraId="5C907BB1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312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Saving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33D2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Monthly investable amount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E9EA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294,400 ~ 719,628 HUF</w:t>
            </w:r>
          </w:p>
        </w:tc>
      </w:tr>
      <w:tr w:rsidR="00D03269" w14:paraId="24D7BFAD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0C4B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EUR_by_Month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6EA9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Pre-calculated: EUR obtained from monthly FX conversion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4C4B" w14:textId="482D620C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0 ~</w:t>
            </w:r>
            <w:r w:rsidR="00EE5BAD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110 EUR</w:t>
            </w:r>
          </w:p>
        </w:tc>
      </w:tr>
      <w:tr w:rsidR="00D03269" w14:paraId="54C8B3A6" w14:textId="77777777" w:rsidTr="00EE5BA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0EF1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HUF_FV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E4C7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Pre-calculated: Simple interest final value of each HUF investment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8D18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Based on 5% annual rate</w:t>
            </w:r>
          </w:p>
        </w:tc>
      </w:tr>
    </w:tbl>
    <w:p w14:paraId="5E717F57" w14:textId="77777777" w:rsidR="00D03269" w:rsidRDefault="00000000">
      <w:pPr>
        <w:pStyle w:val="2"/>
      </w:pPr>
      <w:bookmarkStart w:id="8" w:name="_Toc223888410"/>
      <w:r>
        <w:t>2.2 Key Historical Milestones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000"/>
        <w:gridCol w:w="3838"/>
      </w:tblGrid>
      <w:tr w:rsidR="00D03269" w14:paraId="14746BD6" w14:textId="77777777" w:rsidTr="00EE5BA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234B" w14:textId="77777777" w:rsidR="00D03269" w:rsidRDefault="00000000" w:rsidP="00597A9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C34D" w14:textId="77777777" w:rsidR="00D03269" w:rsidRDefault="00000000" w:rsidP="00597A9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EUR/HUF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064A" w14:textId="77777777" w:rsidR="00D03269" w:rsidRDefault="00000000" w:rsidP="00597A9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Inflation Rate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09E6" w14:textId="77777777" w:rsidR="00D03269" w:rsidRDefault="00000000" w:rsidP="00597A9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Market Characteristics</w:t>
            </w:r>
          </w:p>
        </w:tc>
      </w:tr>
      <w:tr w:rsidR="00D03269" w14:paraId="17E435B9" w14:textId="77777777" w:rsidTr="00EE5BA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BBD2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4CC7" w14:textId="77777777" w:rsidR="00D03269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358 → 418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5C97" w14:textId="77777777" w:rsidR="00D03269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7.9% → 24.5%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CEB8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HUF depreciated sharply, inflation surged</w:t>
            </w:r>
          </w:p>
        </w:tc>
      </w:tr>
      <w:tr w:rsidR="00D03269" w14:paraId="717CFE33" w14:textId="77777777" w:rsidTr="00EE5BA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BB9F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8C31" w14:textId="77777777" w:rsidR="00D03269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394 → 371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0DF1" w14:textId="77777777" w:rsidR="00D03269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25.7% → 5.5%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9DBC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Exchange rate fell, inflation declined rapidly</w:t>
            </w:r>
          </w:p>
        </w:tc>
      </w:tr>
      <w:tr w:rsidR="00D03269" w14:paraId="07C39BA1" w14:textId="77777777" w:rsidTr="00EE5BA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E09D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CB10" w14:textId="77777777" w:rsidR="00D03269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381 → 411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1175" w14:textId="77777777" w:rsidR="00D03269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3.8% → 3.3%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9DE0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Stabilized, minor fluctuations</w:t>
            </w:r>
          </w:p>
        </w:tc>
      </w:tr>
    </w:tbl>
    <w:p w14:paraId="1DF225C5" w14:textId="30679976" w:rsidR="00D03269" w:rsidRPr="008B441B" w:rsidRDefault="00000000" w:rsidP="008B441B">
      <w:pPr>
        <w:pStyle w:val="1"/>
        <w:pBdr>
          <w:bottom w:val="single" w:sz="8" w:space="1" w:color="2E75B6"/>
        </w:pBdr>
        <w:rPr>
          <w:rFonts w:eastAsiaTheme="minorEastAsia" w:hint="eastAsia"/>
        </w:rPr>
      </w:pPr>
      <w:bookmarkStart w:id="9" w:name="_Toc223888411"/>
      <w:r>
        <w:t>Chapter 3: Model Design Decision Log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D03269" w14:paraId="24141999" w14:textId="77777777" w:rsidTr="008B441B">
        <w:tc>
          <w:tcPr>
            <w:tcW w:w="963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FBC9F" w14:textId="77777777" w:rsidR="00D03269" w:rsidRDefault="00000000">
            <w:r>
              <w:rPr>
                <w:rFonts w:ascii="Segoe UI Emoji" w:eastAsia="Arial" w:hAnsi="Segoe UI Emoji" w:cs="Segoe UI Emoji"/>
                <w:b/>
                <w:bCs/>
                <w:color w:val="FFE699"/>
                <w:sz w:val="18"/>
                <w:szCs w:val="18"/>
              </w:rPr>
              <w:t>⚡</w:t>
            </w:r>
            <w:r>
              <w:rPr>
                <w:rFonts w:eastAsia="Arial"/>
                <w:b/>
                <w:bCs/>
                <w:color w:val="FFE699"/>
                <w:sz w:val="18"/>
                <w:szCs w:val="18"/>
              </w:rPr>
              <w:t xml:space="preserve">  Decision: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 Simple vs Compound Interest</w:t>
            </w:r>
          </w:p>
        </w:tc>
      </w:tr>
      <w:tr w:rsidR="00D03269" w14:paraId="745605F8" w14:textId="77777777" w:rsidTr="008B441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26C38C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What Was Chosen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97D8" w14:textId="77777777" w:rsidR="00D03269" w:rsidRDefault="00000000">
            <w:r>
              <w:rPr>
                <w:rFonts w:eastAsia="Arial"/>
                <w:sz w:val="17"/>
                <w:szCs w:val="17"/>
              </w:rPr>
              <w:t>Using simple interest model (Annual_Rate / 12 × months)</w:t>
            </w:r>
          </w:p>
        </w:tc>
      </w:tr>
      <w:tr w:rsidR="00D03269" w14:paraId="2DFE900D" w14:textId="77777777" w:rsidTr="008B441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2FE665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Why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685C" w14:textId="54250487" w:rsidR="00D03269" w:rsidRDefault="00000000">
            <w:r>
              <w:rPr>
                <w:rFonts w:eastAsia="Arial"/>
                <w:sz w:val="17"/>
                <w:szCs w:val="17"/>
              </w:rPr>
              <w:t>Compound interest requires row-level dependencies (prior month principal = next month starting point),</w:t>
            </w:r>
            <w:r w:rsidR="008B441B"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002060"/>
                <w:sz w:val="17"/>
                <w:szCs w:val="17"/>
              </w:rPr>
              <w:t xml:space="preserve">which Tableau RUNNING_SUM cannot handle natively </w:t>
            </w:r>
            <w:r w:rsidR="008B441B">
              <w:rPr>
                <w:rFonts w:hint="eastAsia"/>
                <w:color w:val="002060"/>
                <w:sz w:val="17"/>
                <w:szCs w:val="17"/>
              </w:rPr>
              <w:t>-</w:t>
            </w:r>
            <w:r>
              <w:rPr>
                <w:rFonts w:eastAsia="Arial"/>
                <w:color w:val="002060"/>
                <w:sz w:val="17"/>
                <w:szCs w:val="17"/>
              </w:rPr>
              <w:t xml:space="preserve"> pre-calculation required. Simple interest is row-independent and renderable directly in Tableau.</w:t>
            </w:r>
          </w:p>
        </w:tc>
      </w:tr>
      <w:tr w:rsidR="00D03269" w14:paraId="3C155340" w14:textId="77777777" w:rsidTr="008B441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E91BAA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Trade-offs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0408" w14:textId="77777777" w:rsidR="008B441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rFonts w:eastAsia="Arial"/>
                <w:sz w:val="17"/>
                <w:szCs w:val="17"/>
              </w:rPr>
              <w:t>Simple interest slightly underestimates actual returns, but the directional conclusion is consistent</w:t>
            </w:r>
            <w:r>
              <w:rPr>
                <w:rFonts w:hint="eastAsia"/>
                <w:sz w:val="17"/>
                <w:szCs w:val="17"/>
              </w:rPr>
              <w:t>：</w:t>
            </w:r>
            <w:r>
              <w:rPr>
                <w:rFonts w:eastAsia="Arial"/>
                <w:b/>
                <w:bCs/>
                <w:sz w:val="17"/>
                <w:szCs w:val="17"/>
              </w:rPr>
              <w:t>Compound interest model confirms the same conclusion</w:t>
            </w:r>
            <w:r w:rsidR="008B441B">
              <w:rPr>
                <w:rFonts w:hint="eastAsia"/>
                <w:b/>
                <w:bCs/>
                <w:sz w:val="17"/>
                <w:szCs w:val="17"/>
              </w:rPr>
              <w:t xml:space="preserve">: </w:t>
            </w:r>
          </w:p>
          <w:p w14:paraId="1ED7138A" w14:textId="01036D55" w:rsidR="00D03269" w:rsidRPr="008B441B" w:rsidRDefault="008B441B">
            <w:pPr>
              <w:rPr>
                <w:rFonts w:hint="eastAsia"/>
              </w:rPr>
            </w:pPr>
            <w:r w:rsidRPr="008B441B">
              <w:rPr>
                <w:rFonts w:hint="eastAsia"/>
                <w:b/>
                <w:bCs/>
                <w:sz w:val="17"/>
                <w:szCs w:val="17"/>
              </w:rPr>
              <w:t>m</w:t>
            </w:r>
            <w:r w:rsidR="00000000">
              <w:rPr>
                <w:rFonts w:eastAsia="Arial"/>
                <w:b/>
                <w:bCs/>
                <w:sz w:val="17"/>
                <w:szCs w:val="17"/>
              </w:rPr>
              <w:t>ore FX conversion = worse outcome</w:t>
            </w:r>
            <w:r>
              <w:rPr>
                <w:rFonts w:hint="eastAsia"/>
                <w:b/>
                <w:bCs/>
                <w:sz w:val="17"/>
                <w:szCs w:val="17"/>
              </w:rPr>
              <w:t>.</w:t>
            </w:r>
          </w:p>
        </w:tc>
      </w:tr>
    </w:tbl>
    <w:p w14:paraId="192787FB" w14:textId="77777777" w:rsidR="00D03269" w:rsidRDefault="00D0326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03269" w14:paraId="203A0371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877D6" w14:textId="77777777" w:rsidR="00D03269" w:rsidRDefault="00000000">
            <w:r>
              <w:rPr>
                <w:rFonts w:eastAsia="Arial"/>
                <w:b/>
                <w:bCs/>
                <w:color w:val="FFE699"/>
                <w:sz w:val="18"/>
                <w:szCs w:val="18"/>
              </w:rPr>
              <w:t>⚡  Decision: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 Dynamic FX vs Fixed FX Conversion</w:t>
            </w:r>
          </w:p>
        </w:tc>
      </w:tr>
      <w:tr w:rsidR="00D03269" w14:paraId="237475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A2D074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What Was Chosen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DA24" w14:textId="77777777" w:rsidR="00D03269" w:rsidRDefault="00000000">
            <w:r>
              <w:rPr>
                <w:rFonts w:eastAsia="Arial"/>
                <w:sz w:val="17"/>
                <w:szCs w:val="17"/>
              </w:rPr>
              <w:t>Dynamic stop-loss trigger: FX_Ratio = MAX(0, (MA3 - EUR_Rate) / MA3)</w:t>
            </w:r>
          </w:p>
        </w:tc>
      </w:tr>
      <w:tr w:rsidR="00D03269" w14:paraId="5B3ED45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C93149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85D3" w14:textId="111982CC" w:rsidR="00D03269" w:rsidRDefault="00000000">
            <w:r>
              <w:rPr>
                <w:rFonts w:eastAsia="Arial"/>
                <w:sz w:val="17"/>
                <w:szCs w:val="17"/>
              </w:rPr>
              <w:t>Dynamic triggering only converts when HUF appreciates (EUR rate drops), which aligns with the intuition of “converting at favorable rates.”</w:t>
            </w:r>
          </w:p>
        </w:tc>
      </w:tr>
      <w:tr w:rsidR="00D03269" w14:paraId="04E508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6585B2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Trade-offs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C0F4" w14:textId="7F929522" w:rsidR="00D03269" w:rsidRDefault="00000000">
            <w:r>
              <w:rPr>
                <w:rFonts w:eastAsia="Arial"/>
                <w:sz w:val="17"/>
                <w:szCs w:val="17"/>
              </w:rPr>
              <w:t>2020–2024</w:t>
            </w:r>
            <w:r w:rsidR="008B441B">
              <w:rPr>
                <w:rFonts w:hint="eastAsia"/>
                <w:sz w:val="17"/>
                <w:szCs w:val="17"/>
              </w:rPr>
              <w:t xml:space="preserve"> </w:t>
            </w:r>
            <w:r w:rsidRPr="008B441B">
              <w:rPr>
                <w:rFonts w:eastAsia="Arial"/>
                <w:b/>
                <w:bCs/>
                <w:color w:val="002060"/>
                <w:sz w:val="17"/>
                <w:szCs w:val="17"/>
              </w:rPr>
              <w:t>actual trigger rate was only 41.7%</w:t>
            </w:r>
            <w:r w:rsidRPr="008B441B">
              <w:rPr>
                <w:rFonts w:eastAsia="Arial"/>
                <w:color w:val="002060"/>
                <w:sz w:val="17"/>
                <w:szCs w:val="17"/>
              </w:rPr>
              <w:t>，</w:t>
            </w:r>
            <w:r w:rsidRPr="008B441B">
              <w:rPr>
                <w:rFonts w:eastAsia="Arial"/>
                <w:b/>
                <w:bCs/>
                <w:color w:val="002060"/>
                <w:sz w:val="17"/>
                <w:szCs w:val="17"/>
              </w:rPr>
              <w:t>maximum trigger magnitude 2.8%</w:t>
            </w:r>
            <w:r w:rsidRPr="008B441B">
              <w:rPr>
                <w:rFonts w:eastAsia="Arial"/>
                <w:color w:val="002060"/>
                <w:sz w:val="17"/>
                <w:szCs w:val="17"/>
              </w:rPr>
              <w:t>，</w:t>
            </w:r>
            <w:r w:rsidRPr="008B441B">
              <w:rPr>
                <w:rFonts w:eastAsia="Arial"/>
                <w:b/>
                <w:bCs/>
                <w:color w:val="002060"/>
                <w:sz w:val="17"/>
                <w:szCs w:val="17"/>
              </w:rPr>
              <w:t>total EUR accumulated only 256 EUR</w:t>
            </w:r>
            <w:r w:rsidRPr="008B441B">
              <w:rPr>
                <w:rFonts w:eastAsia="Arial"/>
                <w:color w:val="002060"/>
                <w:sz w:val="17"/>
                <w:szCs w:val="17"/>
              </w:rPr>
              <w:t xml:space="preserve">, </w:t>
            </w:r>
            <w:r>
              <w:rPr>
                <w:rFonts w:eastAsia="Arial"/>
                <w:sz w:val="17"/>
                <w:szCs w:val="17"/>
              </w:rPr>
              <w:t>contribution to total value is negligible.</w:t>
            </w:r>
            <w:r w:rsidR="008B441B">
              <w:rPr>
                <w:rFonts w:hint="eastAsia"/>
                <w:sz w:val="17"/>
                <w:szCs w:val="17"/>
              </w:rPr>
              <w:t xml:space="preserve"> </w:t>
            </w:r>
            <w:r w:rsidRPr="008B441B">
              <w:rPr>
                <w:rFonts w:eastAsia="Arial"/>
                <w:color w:val="002060"/>
                <w:sz w:val="17"/>
                <w:szCs w:val="17"/>
              </w:rPr>
              <w:t>Dynamic triggering performs almost identically to no triggering。</w:t>
            </w:r>
          </w:p>
        </w:tc>
      </w:tr>
    </w:tbl>
    <w:p w14:paraId="61827D11" w14:textId="77777777" w:rsidR="00D03269" w:rsidRDefault="00D0326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03269" w14:paraId="65E1EBF2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4EC16" w14:textId="35702C25" w:rsidR="00D03269" w:rsidRDefault="00000000">
            <w:r>
              <w:rPr>
                <w:rFonts w:eastAsia="Arial"/>
                <w:b/>
                <w:bCs/>
                <w:color w:val="FFE699"/>
                <w:sz w:val="18"/>
                <w:szCs w:val="18"/>
              </w:rPr>
              <w:t>⚡  Decision: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 Pre-calculation vs Pure Tableau Calculation</w:t>
            </w:r>
          </w:p>
        </w:tc>
      </w:tr>
      <w:tr w:rsidR="00D03269" w14:paraId="27D2582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258898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What Was Chosen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F55A" w14:textId="77777777" w:rsidR="00D03269" w:rsidRDefault="00000000">
            <w:r>
              <w:rPr>
                <w:rFonts w:eastAsia="Arial"/>
                <w:sz w:val="17"/>
                <w:szCs w:val="17"/>
              </w:rPr>
              <w:t>Core metrics (HUF_FV, EUR_by_Month) are pre-calculated in Python/Excel and imported into Tableau as direct data columns</w:t>
            </w:r>
          </w:p>
        </w:tc>
      </w:tr>
      <w:tr w:rsidR="00D03269" w14:paraId="1DF97AE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8BF368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76CB" w14:textId="77777777" w:rsidR="00597A92" w:rsidRDefault="00000000">
            <w:pPr>
              <w:rPr>
                <w:sz w:val="17"/>
                <w:szCs w:val="17"/>
              </w:rPr>
            </w:pPr>
            <w:r>
              <w:rPr>
                <w:rFonts w:eastAsia="Arial"/>
                <w:sz w:val="17"/>
                <w:szCs w:val="17"/>
              </w:rPr>
              <w:t>Tableau Table Calculations have three hard constraints:</w:t>
            </w:r>
          </w:p>
          <w:p w14:paraId="77B7F6EF" w14:textId="67891E3E" w:rsidR="00597A92" w:rsidRPr="00597A92" w:rsidRDefault="00000000">
            <w:pPr>
              <w:rPr>
                <w:sz w:val="17"/>
                <w:szCs w:val="17"/>
              </w:rPr>
            </w:pPr>
            <w:r>
              <w:rPr>
                <w:rFonts w:eastAsia="Arial"/>
                <w:sz w:val="17"/>
                <w:szCs w:val="17"/>
              </w:rPr>
              <w:t>(1) SUM() cannot wrap Table Calc fields</w:t>
            </w:r>
          </w:p>
          <w:p w14:paraId="2ADDDB36" w14:textId="77777777" w:rsidR="00597A92" w:rsidRDefault="00000000">
            <w:pPr>
              <w:rPr>
                <w:sz w:val="17"/>
                <w:szCs w:val="17"/>
              </w:rPr>
            </w:pPr>
            <w:r>
              <w:rPr>
                <w:rFonts w:eastAsia="Arial"/>
                <w:sz w:val="17"/>
                <w:szCs w:val="17"/>
              </w:rPr>
              <w:lastRenderedPageBreak/>
              <w:t>(2) LOD cannot reference Table Calc fields</w:t>
            </w:r>
          </w:p>
          <w:p w14:paraId="5305BB91" w14:textId="23E1DCBC" w:rsidR="00D03269" w:rsidRDefault="00000000">
            <w:r>
              <w:rPr>
                <w:rFonts w:eastAsia="Arial"/>
                <w:sz w:val="17"/>
                <w:szCs w:val="17"/>
              </w:rPr>
              <w:t>(3) RUNNING_SUM requires view dimensions. Pure Tableau path failed repeatedly; pre-calculation is the only stable solution.</w:t>
            </w:r>
          </w:p>
        </w:tc>
      </w:tr>
      <w:tr w:rsidR="00D03269" w14:paraId="754FE5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EC9F80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lastRenderedPageBreak/>
              <w:t>Trade-offs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B217" w14:textId="2B5A4569" w:rsidR="00D03269" w:rsidRDefault="00000000">
            <w:r>
              <w:rPr>
                <w:rFonts w:eastAsia="Arial"/>
                <w:sz w:val="17"/>
                <w:szCs w:val="17"/>
              </w:rPr>
              <w:t>Tableau cannot dynamically respond to parameter changes (rate modifications require re-pre-calculation).</w:t>
            </w:r>
          </w:p>
        </w:tc>
      </w:tr>
    </w:tbl>
    <w:p w14:paraId="15320A08" w14:textId="77777777" w:rsidR="00D03269" w:rsidRDefault="00D0326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03269" w14:paraId="0D4DCE61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797F8" w14:textId="77777777" w:rsidR="00D03269" w:rsidRDefault="00000000">
            <w:r>
              <w:rPr>
                <w:rFonts w:eastAsia="Arial"/>
                <w:b/>
                <w:bCs/>
                <w:color w:val="FFE699"/>
                <w:sz w:val="18"/>
                <w:szCs w:val="18"/>
              </w:rPr>
              <w:t>⚡  Decision: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 WINDOW_SUM vs RUNNING_SUM vs LOD for BAN Display</w:t>
            </w:r>
          </w:p>
        </w:tc>
      </w:tr>
      <w:tr w:rsidR="00D03269" w14:paraId="08F911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F30513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What Was Chosen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9FB1" w14:textId="77777777" w:rsidR="00D03269" w:rsidRDefault="00000000">
            <w:r>
              <w:rPr>
                <w:rFonts w:eastAsia="Arial"/>
                <w:sz w:val="17"/>
                <w:szCs w:val="17"/>
              </w:rPr>
              <w:t>Ultimately abandoned the pure Tableau Table Calc approach in favor of pre-calculated columns + SUM()</w:t>
            </w:r>
          </w:p>
        </w:tc>
      </w:tr>
      <w:tr w:rsidR="00D03269" w14:paraId="42D11B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1F8C45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Why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19F2" w14:textId="77777777" w:rsidR="00D03269" w:rsidRDefault="00000000">
            <w:r>
              <w:rPr>
                <w:rFonts w:eastAsia="Arial"/>
                <w:sz w:val="17"/>
                <w:szCs w:val="17"/>
              </w:rPr>
              <w:t>WINDOW_SUM requires view dimensions; RUNNING_SUM+LAST()=0 filtering works but is complex to configure; mixing LOD+Table Calc throws errors directly. Pre-calculated columns reduce it to a single SUM().</w:t>
            </w:r>
          </w:p>
        </w:tc>
      </w:tr>
      <w:tr w:rsidR="00D03269" w14:paraId="734792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16F001" w14:textId="77777777" w:rsidR="00D03269" w:rsidRDefault="00000000">
            <w:r>
              <w:rPr>
                <w:rFonts w:eastAsia="Arial"/>
                <w:b/>
                <w:bCs/>
                <w:sz w:val="17"/>
                <w:szCs w:val="17"/>
              </w:rPr>
              <w:t>Trade-offs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3F69" w14:textId="58033714" w:rsidR="00D03269" w:rsidRDefault="00000000">
            <w:r>
              <w:rPr>
                <w:rFonts w:eastAsia="Arial"/>
                <w:sz w:val="17"/>
                <w:szCs w:val="17"/>
              </w:rPr>
              <w:t>KPI cards can only reflect pre-calculated results in the data source and cannot dynamically respond to the Rate parameter slider.</w:t>
            </w:r>
          </w:p>
        </w:tc>
      </w:tr>
    </w:tbl>
    <w:p w14:paraId="557043C0" w14:textId="4F87225C" w:rsidR="00D03269" w:rsidRDefault="00000000">
      <w:pPr>
        <w:pStyle w:val="1"/>
        <w:pBdr>
          <w:bottom w:val="single" w:sz="8" w:space="1" w:color="2E75B6"/>
        </w:pBdr>
      </w:pPr>
      <w:bookmarkStart w:id="10" w:name="_Toc223888412"/>
      <w:r>
        <w:t xml:space="preserve">Chapter </w:t>
      </w:r>
      <w:r w:rsidR="003D54AF">
        <w:rPr>
          <w:rFonts w:eastAsiaTheme="minorEastAsia" w:hint="eastAsia"/>
        </w:rPr>
        <w:t>4</w:t>
      </w:r>
      <w:r>
        <w:t>: Core Conclusions &amp; Model Limitations</w:t>
      </w:r>
      <w:bookmarkEnd w:id="10"/>
    </w:p>
    <w:p w14:paraId="1DB3AB49" w14:textId="7A1011AF" w:rsidR="00D03269" w:rsidRDefault="003D54AF">
      <w:pPr>
        <w:pStyle w:val="2"/>
      </w:pPr>
      <w:bookmarkStart w:id="11" w:name="_Toc223888413"/>
      <w:r>
        <w:rPr>
          <w:rFonts w:eastAsiaTheme="minorEastAsia" w:hint="eastAsia"/>
        </w:rPr>
        <w:t>4</w:t>
      </w:r>
      <w:r w:rsidR="00000000">
        <w:t>.1 Conclusions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338"/>
      </w:tblGrid>
      <w:tr w:rsidR="00D03269" w:rsidRPr="001525F4" w14:paraId="7BF9AB3E" w14:textId="77777777" w:rsidTr="008B441B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0" w:type="dxa"/>
            </w:tcMar>
          </w:tcPr>
          <w:p w14:paraId="10BEC4F2" w14:textId="77777777" w:rsidR="00D03269" w:rsidRPr="001525F4" w:rsidRDefault="00000000">
            <w:r>
              <w:rPr>
                <w:rFonts w:eastAsia="Arial"/>
                <w:color w:val="2E75B6"/>
                <w:sz w:val="24"/>
                <w:szCs w:val="24"/>
              </w:rPr>
              <w:t>▌</w:t>
            </w:r>
          </w:p>
        </w:tc>
        <w:tc>
          <w:tcPr>
            <w:tcW w:w="9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63EF3" w14:textId="4D88BD36" w:rsidR="00D03269" w:rsidRPr="001525F4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Counter-intuitive finding: Under the 5% simple interest, the </w:t>
            </w:r>
            <w:r w:rsidRPr="008B441B">
              <w:rPr>
                <w:rFonts w:eastAsia="Arial"/>
                <w:b/>
                <w:bCs/>
                <w:color w:val="333333"/>
                <w:sz w:val="18"/>
                <w:szCs w:val="18"/>
              </w:rPr>
              <w:t>no-conversion strategy yields the highest total EUR value.</w:t>
            </w:r>
          </w:p>
        </w:tc>
      </w:tr>
    </w:tbl>
    <w:p w14:paraId="342B67DB" w14:textId="77777777" w:rsidR="00D03269" w:rsidRDefault="00D03269"/>
    <w:p w14:paraId="003C0505" w14:textId="77777777" w:rsidR="00D03269" w:rsidRDefault="00000000">
      <w:pPr>
        <w:spacing w:after="100"/>
      </w:pPr>
      <w:r>
        <w:rPr>
          <w:rFonts w:eastAsia="Arial"/>
          <w:color w:val="000000"/>
        </w:rPr>
        <w:t>Breakdown of reasons:</w:t>
      </w:r>
    </w:p>
    <w:p w14:paraId="199936BC" w14:textId="332F3316" w:rsidR="00D03269" w:rsidRDefault="00000000" w:rsidP="008B441B">
      <w:pPr>
        <w:pStyle w:val="a4"/>
        <w:numPr>
          <w:ilvl w:val="0"/>
          <w:numId w:val="2"/>
        </w:numPr>
        <w:spacing w:after="100"/>
      </w:pPr>
      <w:r w:rsidRPr="008B441B">
        <w:rPr>
          <w:rFonts w:eastAsia="Arial"/>
          <w:color w:val="000000"/>
        </w:rPr>
        <w:t>HUF product annual rate 5% &gt;&gt; EUR deposit return ≈ 0%. Every HUF converted forfeits that HUF’s simple interest growth opportunity.</w:t>
      </w:r>
    </w:p>
    <w:p w14:paraId="25D57A54" w14:textId="371C5E53" w:rsidR="00D03269" w:rsidRDefault="00000000" w:rsidP="008B441B">
      <w:pPr>
        <w:pStyle w:val="a4"/>
        <w:numPr>
          <w:ilvl w:val="0"/>
          <w:numId w:val="2"/>
        </w:numPr>
        <w:spacing w:after="100"/>
      </w:pPr>
      <w:r w:rsidRPr="008B441B">
        <w:rPr>
          <w:rFonts w:eastAsia="Arial"/>
          <w:color w:val="000000"/>
        </w:rPr>
        <w:t>Dynamic FX trigger rate was only 41.7%, with minimal trigger magnitude (max 2.8%). Total FX conversions over 60 months amounted to just 256 EUR.</w:t>
      </w:r>
    </w:p>
    <w:p w14:paraId="09C2BAEC" w14:textId="2E3B89E6" w:rsidR="00D03269" w:rsidRPr="008B441B" w:rsidRDefault="00000000" w:rsidP="008B441B">
      <w:pPr>
        <w:pStyle w:val="a4"/>
        <w:numPr>
          <w:ilvl w:val="0"/>
          <w:numId w:val="2"/>
        </w:numPr>
        <w:spacing w:after="100"/>
        <w:rPr>
          <w:b/>
          <w:bCs/>
        </w:rPr>
      </w:pPr>
      <w:r w:rsidRPr="008B441B">
        <w:rPr>
          <w:rFonts w:eastAsia="Arial"/>
          <w:color w:val="000000"/>
        </w:rPr>
        <w:t>Despite exchange rate volatility (322~418), comparing the final rate in Dec 2024 (</w:t>
      </w:r>
      <w:r w:rsidR="008B441B">
        <w:rPr>
          <w:rFonts w:asciiTheme="minorEastAsia" w:hAnsiTheme="minorEastAsia" w:hint="eastAsia"/>
          <w:color w:val="000000"/>
        </w:rPr>
        <w:t>€</w:t>
      </w:r>
      <w:r w:rsidRPr="008B441B">
        <w:rPr>
          <w:rFonts w:eastAsia="Arial"/>
          <w:color w:val="000000"/>
        </w:rPr>
        <w:t xml:space="preserve">411) to early 2020 </w:t>
      </w:r>
      <w:r w:rsidR="008B441B">
        <w:rPr>
          <w:rFonts w:hint="eastAsia"/>
          <w:color w:val="000000"/>
        </w:rPr>
        <w:t xml:space="preserve">      </w:t>
      </w:r>
      <w:r w:rsidRPr="008B441B">
        <w:rPr>
          <w:rFonts w:eastAsia="Arial"/>
          <w:color w:val="000000"/>
        </w:rPr>
        <w:t>(</w:t>
      </w:r>
      <w:r w:rsidR="008B441B">
        <w:rPr>
          <w:rFonts w:asciiTheme="minorEastAsia" w:hAnsiTheme="minorEastAsia" w:hint="eastAsia"/>
          <w:color w:val="000000"/>
        </w:rPr>
        <w:t>€</w:t>
      </w:r>
      <w:r w:rsidRPr="008B441B">
        <w:rPr>
          <w:rFonts w:eastAsia="Arial"/>
          <w:color w:val="000000"/>
        </w:rPr>
        <w:t>333),</w:t>
      </w:r>
      <w:r w:rsidR="008B441B">
        <w:rPr>
          <w:rFonts w:hint="eastAsia"/>
          <w:color w:val="000000"/>
        </w:rPr>
        <w:t xml:space="preserve"> </w:t>
      </w:r>
      <w:r w:rsidRPr="008B441B">
        <w:rPr>
          <w:rFonts w:eastAsia="Arial"/>
          <w:b/>
          <w:bCs/>
          <w:color w:val="000000"/>
        </w:rPr>
        <w:t>HUF actually depreciated ~23%</w:t>
      </w:r>
      <w:r w:rsidR="008B441B">
        <w:rPr>
          <w:rFonts w:hint="eastAsia"/>
          <w:b/>
          <w:bCs/>
          <w:color w:val="000000"/>
        </w:rPr>
        <w:t xml:space="preserve">, </w:t>
      </w:r>
      <w:r w:rsidRPr="008B441B">
        <w:rPr>
          <w:rFonts w:eastAsia="Arial"/>
          <w:b/>
          <w:bCs/>
          <w:color w:val="000000"/>
        </w:rPr>
        <w:t>the exchange rate loss on HUF investments was partially offset by the high interest rate.</w:t>
      </w:r>
    </w:p>
    <w:p w14:paraId="0E89A397" w14:textId="77777777" w:rsidR="00D03269" w:rsidRDefault="00D03269"/>
    <w:p w14:paraId="51557FA4" w14:textId="2A41D21D" w:rsidR="00D03269" w:rsidRDefault="003D54AF">
      <w:pPr>
        <w:pStyle w:val="2"/>
      </w:pPr>
      <w:bookmarkStart w:id="12" w:name="_Toc223888414"/>
      <w:r>
        <w:rPr>
          <w:rFonts w:eastAsiaTheme="minorEastAsia" w:hint="eastAsia"/>
        </w:rPr>
        <w:t>4</w:t>
      </w:r>
      <w:r w:rsidR="00000000">
        <w:t>.2 Model Limitations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D03269" w14:paraId="12417CA2" w14:textId="77777777" w:rsidTr="008B441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A1B9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7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2CAB" w14:textId="77777777" w:rsidR="00D0326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03269" w14:paraId="3CE69B9A" w14:textId="77777777" w:rsidTr="008B441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0487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Simple Interest Assumption</w:t>
            </w:r>
          </w:p>
        </w:tc>
        <w:tc>
          <w:tcPr>
            <w:tcW w:w="7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994B" w14:textId="13CACF9E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Actual products are typically compound interest. Compound model conclusions are directionally consistent (</w:t>
            </w:r>
            <w:r w:rsidR="008B441B">
              <w:rPr>
                <w:color w:val="000000"/>
                <w:sz w:val="18"/>
                <w:szCs w:val="18"/>
              </w:rPr>
              <w:t>“</w:t>
            </w:r>
            <w:r w:rsidR="008B441B">
              <w:rPr>
                <w:rFonts w:hint="eastAsia"/>
                <w:color w:val="000000"/>
                <w:sz w:val="18"/>
                <w:szCs w:val="18"/>
              </w:rPr>
              <w:t>no conversation</w:t>
            </w:r>
            <w:r w:rsidR="008B441B">
              <w:rPr>
                <w:color w:val="000000"/>
                <w:sz w:val="18"/>
                <w:szCs w:val="18"/>
              </w:rPr>
              <w:t>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remains optimal), but absolute values are higher.</w:t>
            </w:r>
          </w:p>
        </w:tc>
      </w:tr>
      <w:tr w:rsidR="00D03269" w14:paraId="45ACDB7F" w14:textId="77777777" w:rsidTr="008B441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361D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Fixed Interest Rate</w:t>
            </w:r>
          </w:p>
        </w:tc>
        <w:tc>
          <w:tcPr>
            <w:tcW w:w="7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E835" w14:textId="39D3A2F9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Actual HUF rates changed significantly from 2020</w:t>
            </w:r>
            <w:r w:rsidR="008B441B">
              <w:rPr>
                <w:rFonts w:hint="eastAsia"/>
                <w:color w:val="000000"/>
                <w:sz w:val="18"/>
                <w:szCs w:val="18"/>
              </w:rPr>
              <w:t xml:space="preserve"> - </w:t>
            </w:r>
            <w:r>
              <w:rPr>
                <w:rFonts w:eastAsia="Arial"/>
                <w:color w:val="000000"/>
                <w:sz w:val="18"/>
                <w:szCs w:val="18"/>
              </w:rPr>
              <w:t>2024 (2%→8%→7%). The model uses a simplified fixed value of 5%.</w:t>
            </w:r>
          </w:p>
        </w:tc>
      </w:tr>
      <w:tr w:rsidR="00D03269" w14:paraId="3A835CEA" w14:textId="77777777" w:rsidTr="008B441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715B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Fixed FX Trigger Window</w:t>
            </w:r>
          </w:p>
        </w:tc>
        <w:tc>
          <w:tcPr>
            <w:tcW w:w="7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EFB0" w14:textId="77777777" w:rsidR="008B441B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MA3 window = 3, with no parameter optimization. </w:t>
            </w:r>
          </w:p>
          <w:p w14:paraId="68A26ED9" w14:textId="071FEE0C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Different window lengths may trigger at different frequencies.</w:t>
            </w:r>
          </w:p>
        </w:tc>
      </w:tr>
      <w:tr w:rsidR="00D03269" w14:paraId="5972B943" w14:textId="77777777" w:rsidTr="008B441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4DEE" w14:textId="77777777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Taxes Not Considered</w:t>
            </w:r>
          </w:p>
        </w:tc>
        <w:tc>
          <w:tcPr>
            <w:tcW w:w="7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83E5" w14:textId="77777777" w:rsidR="00D03269" w:rsidRDefault="00000000">
            <w:r>
              <w:rPr>
                <w:rFonts w:eastAsia="Arial"/>
                <w:color w:val="000000"/>
                <w:sz w:val="18"/>
                <w:szCs w:val="18"/>
              </w:rPr>
              <w:t>Hungarian investment returns are subject to withholding tax, reducing actual returns.</w:t>
            </w:r>
          </w:p>
        </w:tc>
      </w:tr>
      <w:tr w:rsidR="00D03269" w14:paraId="07B89E09" w14:textId="77777777" w:rsidTr="008B441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2DB6" w14:textId="1CCCD9DA" w:rsidR="00D03269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Data</w:t>
            </w:r>
            <w:r w:rsidR="008B441B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Source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(20</w:t>
            </w:r>
            <w:r w:rsidR="008B441B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19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  <w:r w:rsidR="008B441B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2026)</w:t>
            </w:r>
          </w:p>
        </w:tc>
        <w:tc>
          <w:tcPr>
            <w:tcW w:w="7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67F2" w14:textId="47AFFD09" w:rsidR="00D03269" w:rsidRDefault="008B441B">
            <w:r>
              <w:rPr>
                <w:rFonts w:hint="eastAsia"/>
                <w:color w:val="000000"/>
                <w:sz w:val="18"/>
                <w:szCs w:val="18"/>
              </w:rPr>
              <w:t>Data source includes 2019 - 2026, but investment strategy b</w:t>
            </w:r>
            <w:r w:rsidR="00000000">
              <w:rPr>
                <w:rFonts w:eastAsia="Arial"/>
                <w:color w:val="000000"/>
                <w:sz w:val="18"/>
                <w:szCs w:val="18"/>
              </w:rPr>
              <w:t>acktesting only uses 2020–2024 historical data.</w:t>
            </w:r>
          </w:p>
        </w:tc>
      </w:tr>
    </w:tbl>
    <w:p w14:paraId="50961215" w14:textId="77777777" w:rsidR="00163C58" w:rsidRPr="00163C58" w:rsidRDefault="00163C58">
      <w:pPr>
        <w:rPr>
          <w:sz w:val="21"/>
          <w:szCs w:val="21"/>
        </w:rPr>
      </w:pPr>
    </w:p>
    <w:sectPr w:rsidR="00163C58" w:rsidRPr="00163C58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3618" w14:textId="77777777" w:rsidR="000A7F61" w:rsidRDefault="000A7F61">
      <w:r>
        <w:separator/>
      </w:r>
    </w:p>
  </w:endnote>
  <w:endnote w:type="continuationSeparator" w:id="0">
    <w:p w14:paraId="4A2C2B80" w14:textId="77777777" w:rsidR="000A7F61" w:rsidRDefault="000A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8CBC8" w14:textId="0DCBD649" w:rsidR="00D03269" w:rsidRPr="00EE5BAD" w:rsidRDefault="00000000">
    <w:pPr>
      <w:jc w:val="center"/>
      <w:rPr>
        <w:rFonts w:hint="eastAsia"/>
      </w:rPr>
    </w:pPr>
    <w:r>
      <w:rPr>
        <w:rFonts w:eastAsia="Arial"/>
        <w:color w:val="888888"/>
        <w:sz w:val="16"/>
        <w:szCs w:val="16"/>
      </w:rPr>
      <w:t xml:space="preserve">HUF Investment Analysis </w:t>
    </w:r>
    <w:r w:rsidR="00EE5BAD">
      <w:rPr>
        <w:rFonts w:hint="eastAsia"/>
        <w:color w:val="888888"/>
        <w:sz w:val="16"/>
        <w:szCs w:val="16"/>
      </w:rPr>
      <w:t>-</w:t>
    </w:r>
    <w:r>
      <w:rPr>
        <w:rFonts w:eastAsia="Arial"/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97D20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D814F" w14:textId="77777777" w:rsidR="000A7F61" w:rsidRDefault="000A7F61">
      <w:r>
        <w:separator/>
      </w:r>
    </w:p>
  </w:footnote>
  <w:footnote w:type="continuationSeparator" w:id="0">
    <w:p w14:paraId="58AB6937" w14:textId="77777777" w:rsidR="000A7F61" w:rsidRDefault="000A7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FE5"/>
    <w:multiLevelType w:val="hybridMultilevel"/>
    <w:tmpl w:val="DA80FCAC"/>
    <w:lvl w:ilvl="0" w:tplc="1D129970">
      <w:start w:val="1"/>
      <w:numFmt w:val="bullet"/>
      <w:lvlText w:val="•"/>
      <w:lvlJc w:val="left"/>
      <w:pPr>
        <w:spacing w:after="60"/>
        <w:ind w:left="720" w:hanging="360"/>
      </w:pPr>
    </w:lvl>
    <w:lvl w:ilvl="1" w:tplc="DCBA8810">
      <w:numFmt w:val="decimal"/>
      <w:lvlText w:val=""/>
      <w:lvlJc w:val="left"/>
    </w:lvl>
    <w:lvl w:ilvl="2" w:tplc="695C4B9E">
      <w:numFmt w:val="decimal"/>
      <w:lvlText w:val=""/>
      <w:lvlJc w:val="left"/>
    </w:lvl>
    <w:lvl w:ilvl="3" w:tplc="6A2A4FB4">
      <w:numFmt w:val="decimal"/>
      <w:lvlText w:val=""/>
      <w:lvlJc w:val="left"/>
    </w:lvl>
    <w:lvl w:ilvl="4" w:tplc="FC9A33F6">
      <w:numFmt w:val="decimal"/>
      <w:lvlText w:val=""/>
      <w:lvlJc w:val="left"/>
    </w:lvl>
    <w:lvl w:ilvl="5" w:tplc="E52C54D2">
      <w:numFmt w:val="decimal"/>
      <w:lvlText w:val=""/>
      <w:lvlJc w:val="left"/>
    </w:lvl>
    <w:lvl w:ilvl="6" w:tplc="8FC01A3E">
      <w:numFmt w:val="decimal"/>
      <w:lvlText w:val=""/>
      <w:lvlJc w:val="left"/>
    </w:lvl>
    <w:lvl w:ilvl="7" w:tplc="3EC8CF58">
      <w:numFmt w:val="decimal"/>
      <w:lvlText w:val=""/>
      <w:lvlJc w:val="left"/>
    </w:lvl>
    <w:lvl w:ilvl="8" w:tplc="20467102">
      <w:numFmt w:val="decimal"/>
      <w:lvlText w:val=""/>
      <w:lvlJc w:val="left"/>
    </w:lvl>
  </w:abstractNum>
  <w:abstractNum w:abstractNumId="1" w15:restartNumberingAfterBreak="0">
    <w:nsid w:val="2EE96DA6"/>
    <w:multiLevelType w:val="hybridMultilevel"/>
    <w:tmpl w:val="89643D3A"/>
    <w:lvl w:ilvl="0" w:tplc="5B10EEE0">
      <w:start w:val="1"/>
      <w:numFmt w:val="bullet"/>
      <w:lvlText w:val="●"/>
      <w:lvlJc w:val="left"/>
      <w:pPr>
        <w:ind w:left="720" w:hanging="360"/>
      </w:pPr>
    </w:lvl>
    <w:lvl w:ilvl="1" w:tplc="A2947022">
      <w:start w:val="1"/>
      <w:numFmt w:val="bullet"/>
      <w:lvlText w:val="○"/>
      <w:lvlJc w:val="left"/>
      <w:pPr>
        <w:ind w:left="1440" w:hanging="360"/>
      </w:pPr>
    </w:lvl>
    <w:lvl w:ilvl="2" w:tplc="381E4770">
      <w:start w:val="1"/>
      <w:numFmt w:val="bullet"/>
      <w:lvlText w:val="■"/>
      <w:lvlJc w:val="left"/>
      <w:pPr>
        <w:ind w:left="2160" w:hanging="360"/>
      </w:pPr>
    </w:lvl>
    <w:lvl w:ilvl="3" w:tplc="0B22962C">
      <w:start w:val="1"/>
      <w:numFmt w:val="bullet"/>
      <w:lvlText w:val="●"/>
      <w:lvlJc w:val="left"/>
      <w:pPr>
        <w:ind w:left="2880" w:hanging="360"/>
      </w:pPr>
    </w:lvl>
    <w:lvl w:ilvl="4" w:tplc="7C320A62">
      <w:start w:val="1"/>
      <w:numFmt w:val="bullet"/>
      <w:lvlText w:val="○"/>
      <w:lvlJc w:val="left"/>
      <w:pPr>
        <w:ind w:left="3600" w:hanging="360"/>
      </w:pPr>
    </w:lvl>
    <w:lvl w:ilvl="5" w:tplc="CC14B5A4">
      <w:start w:val="1"/>
      <w:numFmt w:val="bullet"/>
      <w:lvlText w:val="■"/>
      <w:lvlJc w:val="left"/>
      <w:pPr>
        <w:ind w:left="4320" w:hanging="360"/>
      </w:pPr>
    </w:lvl>
    <w:lvl w:ilvl="6" w:tplc="C9AA2B76">
      <w:start w:val="1"/>
      <w:numFmt w:val="bullet"/>
      <w:lvlText w:val="●"/>
      <w:lvlJc w:val="left"/>
      <w:pPr>
        <w:ind w:left="5040" w:hanging="360"/>
      </w:pPr>
    </w:lvl>
    <w:lvl w:ilvl="7" w:tplc="D8027870">
      <w:start w:val="1"/>
      <w:numFmt w:val="bullet"/>
      <w:lvlText w:val="●"/>
      <w:lvlJc w:val="left"/>
      <w:pPr>
        <w:ind w:left="5760" w:hanging="360"/>
      </w:pPr>
    </w:lvl>
    <w:lvl w:ilvl="8" w:tplc="ED846C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F977DE"/>
    <w:multiLevelType w:val="hybridMultilevel"/>
    <w:tmpl w:val="01AEF1CC"/>
    <w:lvl w:ilvl="0" w:tplc="94D2EA5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F07605"/>
    <w:multiLevelType w:val="hybridMultilevel"/>
    <w:tmpl w:val="F8849056"/>
    <w:lvl w:ilvl="0" w:tplc="CFA8E1E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960892">
    <w:abstractNumId w:val="1"/>
    <w:lvlOverride w:ilvl="0">
      <w:startOverride w:val="1"/>
    </w:lvlOverride>
  </w:num>
  <w:num w:numId="2" w16cid:durableId="1258446896">
    <w:abstractNumId w:val="2"/>
  </w:num>
  <w:num w:numId="3" w16cid:durableId="438987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269"/>
    <w:rsid w:val="000A7F61"/>
    <w:rsid w:val="001525F4"/>
    <w:rsid w:val="00163C58"/>
    <w:rsid w:val="003D54AF"/>
    <w:rsid w:val="00597A92"/>
    <w:rsid w:val="00597D20"/>
    <w:rsid w:val="007A567F"/>
    <w:rsid w:val="008278D0"/>
    <w:rsid w:val="008B441B"/>
    <w:rsid w:val="00B121FE"/>
    <w:rsid w:val="00CD2ED2"/>
    <w:rsid w:val="00D03269"/>
    <w:rsid w:val="00EE5BAD"/>
    <w:rsid w:val="00EF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ED38"/>
  <w15:docId w15:val="{B2867368-D7AD-42DC-B367-31E3AF5F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152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link w:val="ab"/>
    <w:uiPriority w:val="1"/>
    <w:qFormat/>
    <w:rsid w:val="00163C58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ab">
    <w:name w:val="无间隔 字符"/>
    <w:basedOn w:val="a0"/>
    <w:link w:val="aa"/>
    <w:uiPriority w:val="1"/>
    <w:rsid w:val="00163C58"/>
    <w:rPr>
      <w:rFonts w:asciiTheme="minorHAnsi" w:hAnsiTheme="minorHAnsi" w:cstheme="minorBidi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EE5B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E5BA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E5B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E5BA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121F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278D0"/>
    <w:pPr>
      <w:tabs>
        <w:tab w:val="right" w:leader="dot" w:pos="9736"/>
      </w:tabs>
    </w:pPr>
    <w:rPr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B121FE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0CBB4-A6ED-4D0D-A40D-8B3C45BA4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 Alice</cp:lastModifiedBy>
  <cp:revision>6</cp:revision>
  <dcterms:created xsi:type="dcterms:W3CDTF">2026-03-08T07:24:00Z</dcterms:created>
  <dcterms:modified xsi:type="dcterms:W3CDTF">2026-03-08T17:55:00Z</dcterms:modified>
</cp:coreProperties>
</file>