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BCCA" w14:textId="77777777" w:rsidR="00AD548A" w:rsidRDefault="00000000">
      <w:pPr>
        <w:adjustRightInd w:val="0"/>
        <w:snapToGrid w:val="0"/>
        <w:ind w:firstLine="560"/>
        <w:jc w:val="center"/>
        <w:rPr>
          <w:rFonts w:eastAsia="DengXian"/>
          <w:b/>
          <w:bCs/>
          <w:kern w:val="2"/>
          <w:sz w:val="28"/>
          <w:szCs w:val="28"/>
          <w:lang w:val="en-US"/>
        </w:rPr>
      </w:pPr>
      <w:bookmarkStart w:id="0" w:name="_Hlk192256904"/>
      <w:bookmarkStart w:id="1" w:name="_Hlk150152295"/>
      <w:bookmarkStart w:id="2" w:name="_Hlk96091517"/>
      <w:bookmarkStart w:id="3" w:name="_Toc96093206"/>
      <w:r>
        <w:rPr>
          <w:rFonts w:eastAsia="DengXian"/>
          <w:b/>
          <w:bCs/>
          <w:kern w:val="2"/>
          <w:sz w:val="28"/>
          <w:szCs w:val="28"/>
          <w:lang w:val="en-US"/>
        </w:rPr>
        <w:t>Institutional Tactics and Power Dynamics in Asymmetric Buyer–Supplier Relationships</w:t>
      </w:r>
    </w:p>
    <w:p w14:paraId="44AB6899" w14:textId="77777777" w:rsidR="00AD548A" w:rsidRDefault="00AD548A">
      <w:pPr>
        <w:adjustRightInd w:val="0"/>
        <w:snapToGrid w:val="0"/>
        <w:spacing w:line="240" w:lineRule="auto"/>
        <w:ind w:firstLineChars="0" w:firstLine="0"/>
        <w:jc w:val="center"/>
        <w:rPr>
          <w:rFonts w:eastAsia="DengXian"/>
          <w:b/>
          <w:bCs/>
          <w:kern w:val="2"/>
          <w:sz w:val="28"/>
          <w:szCs w:val="28"/>
          <w:lang w:val="en-US"/>
        </w:rPr>
      </w:pPr>
    </w:p>
    <w:p w14:paraId="7ED89FE7" w14:textId="77777777" w:rsidR="00AD548A" w:rsidRDefault="00AD548A">
      <w:pPr>
        <w:spacing w:line="240" w:lineRule="auto"/>
        <w:ind w:firstLineChars="0" w:firstLine="0"/>
        <w:rPr>
          <w:rFonts w:eastAsia="DengXian"/>
          <w:kern w:val="2"/>
          <w:szCs w:val="24"/>
          <w:lang w:val="en-US"/>
        </w:rPr>
      </w:pPr>
    </w:p>
    <w:p w14:paraId="577B5774" w14:textId="77777777" w:rsidR="00AD548A" w:rsidRDefault="00AD548A">
      <w:pPr>
        <w:spacing w:line="240" w:lineRule="auto"/>
        <w:ind w:firstLineChars="0" w:firstLine="0"/>
        <w:rPr>
          <w:rFonts w:eastAsia="DengXian"/>
          <w:kern w:val="2"/>
          <w:szCs w:val="24"/>
          <w:lang w:val="en-US"/>
        </w:rPr>
      </w:pPr>
    </w:p>
    <w:p w14:paraId="31D6E4C5" w14:textId="77777777" w:rsidR="00AD548A" w:rsidRDefault="00AD548A">
      <w:pPr>
        <w:spacing w:line="240" w:lineRule="auto"/>
        <w:ind w:firstLineChars="0" w:firstLine="0"/>
        <w:rPr>
          <w:rFonts w:eastAsia="DengXian"/>
          <w:kern w:val="2"/>
          <w:szCs w:val="24"/>
          <w:lang w:val="en-US"/>
        </w:rPr>
      </w:pPr>
    </w:p>
    <w:p w14:paraId="1C131510" w14:textId="77777777" w:rsidR="00AD548A" w:rsidRDefault="00AD548A">
      <w:pPr>
        <w:spacing w:line="240" w:lineRule="auto"/>
        <w:ind w:firstLineChars="0" w:firstLine="0"/>
        <w:rPr>
          <w:rFonts w:eastAsia="DengXian"/>
          <w:kern w:val="2"/>
          <w:szCs w:val="24"/>
          <w:lang w:val="en-US"/>
        </w:rPr>
      </w:pPr>
    </w:p>
    <w:p w14:paraId="231BC2D5" w14:textId="77777777" w:rsidR="00AD548A" w:rsidRDefault="00AD548A">
      <w:pPr>
        <w:spacing w:line="240" w:lineRule="auto"/>
        <w:ind w:firstLineChars="0" w:firstLine="0"/>
        <w:jc w:val="center"/>
        <w:rPr>
          <w:rFonts w:eastAsia="DengXian"/>
          <w:kern w:val="2"/>
          <w:szCs w:val="24"/>
        </w:rPr>
      </w:pPr>
    </w:p>
    <w:p w14:paraId="7B0E2BCF" w14:textId="77777777" w:rsidR="00AD548A" w:rsidRDefault="00000000">
      <w:pPr>
        <w:spacing w:line="240" w:lineRule="auto"/>
        <w:ind w:firstLineChars="0" w:firstLine="0"/>
        <w:jc w:val="center"/>
        <w:rPr>
          <w:rFonts w:eastAsia="DengXian"/>
          <w:kern w:val="2"/>
          <w:szCs w:val="24"/>
        </w:rPr>
      </w:pPr>
      <w:r>
        <w:rPr>
          <w:rFonts w:eastAsia="DengXian"/>
          <w:b/>
          <w:bCs/>
          <w:kern w:val="2"/>
          <w:szCs w:val="24"/>
        </w:rPr>
        <w:t>Yu Han</w:t>
      </w:r>
    </w:p>
    <w:p w14:paraId="69B39A82" w14:textId="77777777" w:rsidR="00AD548A" w:rsidRDefault="00000000">
      <w:pPr>
        <w:spacing w:line="240" w:lineRule="auto"/>
        <w:ind w:firstLineChars="0" w:firstLine="0"/>
        <w:jc w:val="center"/>
        <w:rPr>
          <w:rFonts w:eastAsia="DengXian"/>
          <w:kern w:val="2"/>
          <w:szCs w:val="24"/>
        </w:rPr>
      </w:pPr>
      <w:r>
        <w:rPr>
          <w:rFonts w:eastAsia="DengXian"/>
          <w:kern w:val="2"/>
          <w:szCs w:val="24"/>
        </w:rPr>
        <w:t>School of Marketing and Logistics Management</w:t>
      </w:r>
    </w:p>
    <w:p w14:paraId="2A3B663D" w14:textId="77777777" w:rsidR="00AD548A" w:rsidRDefault="00000000">
      <w:pPr>
        <w:spacing w:line="240" w:lineRule="auto"/>
        <w:ind w:firstLineChars="0" w:firstLine="0"/>
        <w:jc w:val="center"/>
        <w:rPr>
          <w:rFonts w:eastAsia="DengXian"/>
          <w:kern w:val="2"/>
          <w:szCs w:val="24"/>
        </w:rPr>
      </w:pPr>
      <w:r>
        <w:rPr>
          <w:rFonts w:eastAsia="DengXian"/>
          <w:kern w:val="2"/>
          <w:szCs w:val="24"/>
        </w:rPr>
        <w:t>Nanjing University of Finance and Economics</w:t>
      </w:r>
    </w:p>
    <w:p w14:paraId="43CDF30C" w14:textId="77777777" w:rsidR="00AD548A" w:rsidRDefault="00000000">
      <w:pPr>
        <w:spacing w:line="240" w:lineRule="auto"/>
        <w:ind w:firstLineChars="0" w:firstLine="0"/>
        <w:jc w:val="center"/>
        <w:rPr>
          <w:rFonts w:eastAsia="DengXian"/>
          <w:kern w:val="2"/>
          <w:szCs w:val="24"/>
        </w:rPr>
      </w:pPr>
      <w:r>
        <w:rPr>
          <w:rFonts w:eastAsia="DengXian"/>
          <w:kern w:val="2"/>
          <w:szCs w:val="24"/>
        </w:rPr>
        <w:t>3 Wenyuan Road, Nanjing, Jiangsu, 210023, China</w:t>
      </w:r>
    </w:p>
    <w:p w14:paraId="4EF1F8BD" w14:textId="77777777" w:rsidR="00AD548A" w:rsidRDefault="00000000">
      <w:pPr>
        <w:spacing w:line="240" w:lineRule="auto"/>
        <w:ind w:firstLineChars="0" w:firstLine="0"/>
        <w:jc w:val="center"/>
        <w:rPr>
          <w:rFonts w:eastAsia="DengXian"/>
          <w:kern w:val="2"/>
          <w:szCs w:val="24"/>
        </w:rPr>
      </w:pPr>
      <w:r>
        <w:rPr>
          <w:rFonts w:eastAsia="DengXian"/>
          <w:kern w:val="2"/>
          <w:szCs w:val="24"/>
        </w:rPr>
        <w:t xml:space="preserve">Email: </w:t>
      </w:r>
      <w:hyperlink r:id="rId8" w:history="1">
        <w:r>
          <w:rPr>
            <w:rFonts w:eastAsia="DengXian"/>
            <w:kern w:val="2"/>
            <w:szCs w:val="24"/>
            <w:u w:val="single"/>
          </w:rPr>
          <w:t>Yu.Han@nufe.edu.cn</w:t>
        </w:r>
      </w:hyperlink>
      <w:r>
        <w:rPr>
          <w:rFonts w:eastAsia="DengXian"/>
          <w:kern w:val="2"/>
          <w:szCs w:val="24"/>
        </w:rPr>
        <w:t xml:space="preserve"> </w:t>
      </w:r>
    </w:p>
    <w:p w14:paraId="33E03B49" w14:textId="77777777" w:rsidR="00AD548A" w:rsidRDefault="00AD548A">
      <w:pPr>
        <w:spacing w:line="240" w:lineRule="auto"/>
        <w:ind w:firstLineChars="0" w:firstLine="0"/>
        <w:jc w:val="center"/>
        <w:rPr>
          <w:rFonts w:eastAsia="DengXian"/>
          <w:kern w:val="2"/>
          <w:szCs w:val="24"/>
        </w:rPr>
      </w:pPr>
    </w:p>
    <w:p w14:paraId="3C4F2414" w14:textId="7F16FC3C" w:rsidR="00AD548A" w:rsidRDefault="00000000">
      <w:pPr>
        <w:spacing w:line="240" w:lineRule="auto"/>
        <w:ind w:firstLineChars="0" w:firstLine="0"/>
        <w:jc w:val="center"/>
        <w:rPr>
          <w:rFonts w:eastAsia="DengXian"/>
          <w:kern w:val="2"/>
          <w:szCs w:val="24"/>
        </w:rPr>
      </w:pPr>
      <w:r>
        <w:rPr>
          <w:rFonts w:eastAsia="DengXian"/>
          <w:b/>
          <w:bCs/>
          <w:kern w:val="2"/>
          <w:szCs w:val="24"/>
        </w:rPr>
        <w:t>Woon Kian Chong</w:t>
      </w:r>
      <w:r w:rsidR="00350B31">
        <w:rPr>
          <w:rFonts w:eastAsia="DengXian"/>
          <w:b/>
          <w:bCs/>
          <w:kern w:val="2"/>
          <w:szCs w:val="24"/>
        </w:rPr>
        <w:t xml:space="preserve"> (</w:t>
      </w:r>
      <w:r w:rsidR="00350B31" w:rsidRPr="00350B31">
        <w:rPr>
          <w:rFonts w:eastAsia="DengXian"/>
          <w:b/>
          <w:bCs/>
          <w:kern w:val="2"/>
          <w:szCs w:val="24"/>
        </w:rPr>
        <w:t>corresponding author</w:t>
      </w:r>
      <w:r w:rsidR="00350B31">
        <w:rPr>
          <w:rFonts w:eastAsia="DengXian"/>
          <w:b/>
          <w:bCs/>
          <w:kern w:val="2"/>
          <w:szCs w:val="24"/>
        </w:rPr>
        <w:t>)</w:t>
      </w:r>
    </w:p>
    <w:p w14:paraId="4327F4D3" w14:textId="77777777" w:rsidR="00AD548A" w:rsidRDefault="00000000">
      <w:pPr>
        <w:spacing w:line="240" w:lineRule="auto"/>
        <w:ind w:firstLineChars="0" w:firstLine="0"/>
        <w:jc w:val="center"/>
        <w:rPr>
          <w:rFonts w:eastAsia="DengXian"/>
          <w:kern w:val="2"/>
          <w:szCs w:val="24"/>
        </w:rPr>
      </w:pPr>
      <w:r>
        <w:rPr>
          <w:rFonts w:eastAsia="DengXian"/>
          <w:kern w:val="2"/>
          <w:szCs w:val="24"/>
        </w:rPr>
        <w:t>S P Jain School of Global Management</w:t>
      </w:r>
    </w:p>
    <w:p w14:paraId="6EE80928" w14:textId="77777777" w:rsidR="00AD548A" w:rsidRDefault="00000000">
      <w:pPr>
        <w:spacing w:line="240" w:lineRule="auto"/>
        <w:ind w:firstLineChars="0" w:firstLine="0"/>
        <w:jc w:val="center"/>
        <w:rPr>
          <w:rFonts w:eastAsia="DengXian"/>
          <w:kern w:val="2"/>
          <w:szCs w:val="24"/>
        </w:rPr>
      </w:pPr>
      <w:r>
        <w:rPr>
          <w:rFonts w:eastAsia="DengXian"/>
          <w:kern w:val="2"/>
          <w:szCs w:val="24"/>
        </w:rPr>
        <w:t>Singapore Campus</w:t>
      </w:r>
    </w:p>
    <w:p w14:paraId="56B440CF" w14:textId="77777777" w:rsidR="00AD548A" w:rsidRDefault="00000000">
      <w:pPr>
        <w:spacing w:line="240" w:lineRule="auto"/>
        <w:ind w:firstLineChars="0" w:firstLine="0"/>
        <w:jc w:val="center"/>
        <w:rPr>
          <w:rFonts w:eastAsia="DengXian"/>
          <w:kern w:val="2"/>
          <w:szCs w:val="24"/>
        </w:rPr>
      </w:pPr>
      <w:r>
        <w:rPr>
          <w:rFonts w:eastAsia="DengXian"/>
          <w:kern w:val="2"/>
          <w:szCs w:val="24"/>
        </w:rPr>
        <w:t>10 Hyderabad Road, 119579, Singapore</w:t>
      </w:r>
    </w:p>
    <w:p w14:paraId="5C273A03" w14:textId="77777777" w:rsidR="00AD548A" w:rsidRDefault="00000000">
      <w:pPr>
        <w:spacing w:line="240" w:lineRule="auto"/>
        <w:ind w:firstLineChars="0" w:firstLine="0"/>
        <w:jc w:val="center"/>
        <w:rPr>
          <w:rFonts w:eastAsia="DengXian"/>
          <w:kern w:val="2"/>
          <w:szCs w:val="24"/>
        </w:rPr>
      </w:pPr>
      <w:r>
        <w:rPr>
          <w:rFonts w:eastAsia="DengXian"/>
          <w:kern w:val="2"/>
          <w:szCs w:val="24"/>
        </w:rPr>
        <w:t xml:space="preserve">Email: </w:t>
      </w:r>
      <w:hyperlink r:id="rId9" w:history="1">
        <w:r>
          <w:rPr>
            <w:rFonts w:eastAsia="DengXian"/>
            <w:kern w:val="2"/>
            <w:szCs w:val="24"/>
            <w:u w:val="single"/>
          </w:rPr>
          <w:t>tristan.chong@spjain.org</w:t>
        </w:r>
      </w:hyperlink>
    </w:p>
    <w:p w14:paraId="67E965BF" w14:textId="77777777" w:rsidR="00AD548A" w:rsidRDefault="00AD548A">
      <w:pPr>
        <w:spacing w:line="240" w:lineRule="auto"/>
        <w:ind w:firstLineChars="0" w:firstLine="0"/>
        <w:jc w:val="center"/>
        <w:rPr>
          <w:rFonts w:eastAsia="DengXian"/>
          <w:kern w:val="2"/>
          <w:szCs w:val="24"/>
        </w:rPr>
      </w:pPr>
    </w:p>
    <w:p w14:paraId="7FF1365C" w14:textId="77777777" w:rsidR="00AD548A" w:rsidRDefault="00000000">
      <w:pPr>
        <w:spacing w:line="240" w:lineRule="auto"/>
        <w:ind w:firstLineChars="0" w:firstLine="0"/>
        <w:jc w:val="center"/>
        <w:rPr>
          <w:rFonts w:eastAsia="DengXian"/>
          <w:kern w:val="2"/>
          <w:szCs w:val="24"/>
        </w:rPr>
      </w:pPr>
      <w:r>
        <w:rPr>
          <w:rFonts w:eastAsia="DengXian"/>
          <w:b/>
          <w:bCs/>
          <w:kern w:val="2"/>
          <w:szCs w:val="24"/>
        </w:rPr>
        <w:t>Lei Qin</w:t>
      </w:r>
    </w:p>
    <w:p w14:paraId="63BF6FCA" w14:textId="77777777" w:rsidR="00AD548A" w:rsidRDefault="00000000">
      <w:pPr>
        <w:spacing w:line="240" w:lineRule="auto"/>
        <w:ind w:firstLineChars="0" w:firstLine="0"/>
        <w:jc w:val="center"/>
        <w:rPr>
          <w:rFonts w:eastAsia="DengXian"/>
          <w:kern w:val="2"/>
          <w:szCs w:val="24"/>
        </w:rPr>
      </w:pPr>
      <w:r>
        <w:rPr>
          <w:rFonts w:eastAsia="DengXian"/>
          <w:kern w:val="2"/>
          <w:szCs w:val="24"/>
        </w:rPr>
        <w:t>School of Business</w:t>
      </w:r>
    </w:p>
    <w:p w14:paraId="423088B3" w14:textId="77777777" w:rsidR="00AD548A" w:rsidRDefault="00000000">
      <w:pPr>
        <w:spacing w:line="240" w:lineRule="auto"/>
        <w:ind w:firstLineChars="0" w:firstLine="0"/>
        <w:jc w:val="center"/>
        <w:rPr>
          <w:rFonts w:eastAsia="DengXian"/>
          <w:kern w:val="2"/>
          <w:szCs w:val="24"/>
        </w:rPr>
      </w:pPr>
      <w:r>
        <w:rPr>
          <w:rFonts w:eastAsia="DengXian"/>
          <w:kern w:val="2"/>
          <w:szCs w:val="24"/>
        </w:rPr>
        <w:t xml:space="preserve">North Minzu University </w:t>
      </w:r>
    </w:p>
    <w:p w14:paraId="5AF91F94" w14:textId="77777777" w:rsidR="00AD548A" w:rsidRDefault="00000000">
      <w:pPr>
        <w:spacing w:line="240" w:lineRule="auto"/>
        <w:ind w:firstLineChars="0" w:firstLine="0"/>
        <w:jc w:val="center"/>
        <w:rPr>
          <w:rFonts w:eastAsia="DengXian"/>
          <w:kern w:val="2"/>
          <w:szCs w:val="24"/>
        </w:rPr>
      </w:pPr>
      <w:r>
        <w:rPr>
          <w:rFonts w:eastAsia="DengXian"/>
          <w:kern w:val="2"/>
          <w:szCs w:val="24"/>
        </w:rPr>
        <w:t>204 North Wenchang Road, Ningxia, 750021, China.</w:t>
      </w:r>
    </w:p>
    <w:p w14:paraId="223D67D4" w14:textId="77777777" w:rsidR="00AD548A" w:rsidRDefault="00000000">
      <w:pPr>
        <w:spacing w:line="240" w:lineRule="auto"/>
        <w:ind w:firstLineChars="0" w:firstLine="0"/>
        <w:jc w:val="center"/>
        <w:rPr>
          <w:rFonts w:eastAsia="DengXian"/>
          <w:kern w:val="2"/>
          <w:szCs w:val="24"/>
        </w:rPr>
      </w:pPr>
      <w:r>
        <w:rPr>
          <w:rFonts w:eastAsia="DengXian"/>
          <w:kern w:val="2"/>
          <w:szCs w:val="24"/>
        </w:rPr>
        <w:t xml:space="preserve">Email: </w:t>
      </w:r>
      <w:hyperlink r:id="rId10" w:history="1">
        <w:r>
          <w:rPr>
            <w:rFonts w:eastAsia="DengXian"/>
            <w:kern w:val="2"/>
            <w:szCs w:val="24"/>
            <w:u w:val="single"/>
          </w:rPr>
          <w:t>lei.qin@nmu.edu.cn</w:t>
        </w:r>
      </w:hyperlink>
      <w:r>
        <w:rPr>
          <w:rFonts w:eastAsia="DengXian"/>
          <w:kern w:val="2"/>
          <w:szCs w:val="24"/>
        </w:rPr>
        <w:t xml:space="preserve"> </w:t>
      </w:r>
    </w:p>
    <w:p w14:paraId="28C4FB8C" w14:textId="77777777" w:rsidR="00AD548A" w:rsidRDefault="00AD548A">
      <w:pPr>
        <w:spacing w:line="240" w:lineRule="auto"/>
        <w:ind w:firstLineChars="0" w:firstLine="0"/>
        <w:jc w:val="center"/>
        <w:rPr>
          <w:rFonts w:eastAsia="DengXian"/>
          <w:kern w:val="2"/>
          <w:szCs w:val="24"/>
        </w:rPr>
      </w:pPr>
    </w:p>
    <w:p w14:paraId="27F2E0EF" w14:textId="77777777" w:rsidR="00AD548A" w:rsidRDefault="00000000">
      <w:pPr>
        <w:spacing w:line="240" w:lineRule="auto"/>
        <w:ind w:firstLineChars="0" w:firstLine="0"/>
        <w:jc w:val="center"/>
        <w:rPr>
          <w:rFonts w:eastAsia="DengXian"/>
          <w:kern w:val="2"/>
          <w:szCs w:val="24"/>
        </w:rPr>
      </w:pPr>
      <w:r>
        <w:rPr>
          <w:rFonts w:eastAsia="DengXian"/>
          <w:b/>
          <w:bCs/>
          <w:kern w:val="2"/>
          <w:szCs w:val="24"/>
        </w:rPr>
        <w:t>Yidan Liu</w:t>
      </w:r>
    </w:p>
    <w:p w14:paraId="2BABF7B5" w14:textId="77777777" w:rsidR="00AD548A" w:rsidRDefault="00000000">
      <w:pPr>
        <w:spacing w:line="240" w:lineRule="auto"/>
        <w:ind w:firstLineChars="0" w:firstLine="0"/>
        <w:jc w:val="center"/>
        <w:rPr>
          <w:rFonts w:eastAsia="DengXian"/>
          <w:kern w:val="2"/>
          <w:szCs w:val="24"/>
        </w:rPr>
      </w:pPr>
      <w:r>
        <w:rPr>
          <w:rFonts w:eastAsia="DengXian"/>
          <w:kern w:val="2"/>
          <w:szCs w:val="24"/>
        </w:rPr>
        <w:t>Business Economic</w:t>
      </w:r>
    </w:p>
    <w:p w14:paraId="7F4AAE25" w14:textId="77777777" w:rsidR="00AD548A" w:rsidRDefault="00000000">
      <w:pPr>
        <w:spacing w:line="240" w:lineRule="auto"/>
        <w:ind w:firstLineChars="0" w:firstLine="0"/>
        <w:jc w:val="center"/>
        <w:rPr>
          <w:rFonts w:eastAsia="DengXian"/>
          <w:kern w:val="2"/>
          <w:szCs w:val="24"/>
        </w:rPr>
      </w:pPr>
      <w:r>
        <w:rPr>
          <w:rFonts w:eastAsia="DengXian"/>
          <w:kern w:val="2"/>
          <w:szCs w:val="24"/>
        </w:rPr>
        <w:t>Shanghai Business School</w:t>
      </w:r>
    </w:p>
    <w:p w14:paraId="6F07C803" w14:textId="77777777" w:rsidR="00AD548A" w:rsidRDefault="00000000">
      <w:pPr>
        <w:spacing w:line="240" w:lineRule="auto"/>
        <w:ind w:firstLineChars="0" w:firstLine="0"/>
        <w:jc w:val="center"/>
        <w:rPr>
          <w:rFonts w:eastAsia="DengXian"/>
          <w:kern w:val="2"/>
          <w:szCs w:val="24"/>
        </w:rPr>
      </w:pPr>
      <w:r>
        <w:rPr>
          <w:rFonts w:eastAsia="DengXian"/>
          <w:kern w:val="2"/>
          <w:szCs w:val="24"/>
        </w:rPr>
        <w:t>2271 West Zhongshan Road, Shanghai, 200000, China.</w:t>
      </w:r>
    </w:p>
    <w:p w14:paraId="1890FDA0" w14:textId="77777777" w:rsidR="00AD548A" w:rsidRDefault="00000000">
      <w:pPr>
        <w:spacing w:line="240" w:lineRule="auto"/>
        <w:ind w:firstLineChars="0" w:firstLine="0"/>
        <w:jc w:val="center"/>
        <w:rPr>
          <w:rFonts w:eastAsia="DengXian"/>
          <w:kern w:val="2"/>
          <w:szCs w:val="24"/>
        </w:rPr>
      </w:pPr>
      <w:r>
        <w:rPr>
          <w:rFonts w:eastAsia="DengXian"/>
          <w:kern w:val="2"/>
          <w:szCs w:val="24"/>
        </w:rPr>
        <w:t xml:space="preserve">Email: </w:t>
      </w:r>
      <w:hyperlink r:id="rId11" w:history="1">
        <w:r>
          <w:rPr>
            <w:rFonts w:eastAsia="DengXian"/>
            <w:kern w:val="2"/>
            <w:szCs w:val="24"/>
            <w:u w:val="single"/>
          </w:rPr>
          <w:t>yidanliu@outlook.com</w:t>
        </w:r>
      </w:hyperlink>
    </w:p>
    <w:p w14:paraId="0D5E9136" w14:textId="77777777" w:rsidR="00AD548A" w:rsidRDefault="00AD548A">
      <w:pPr>
        <w:spacing w:line="240" w:lineRule="auto"/>
        <w:ind w:firstLineChars="0" w:firstLine="0"/>
        <w:jc w:val="center"/>
        <w:rPr>
          <w:rFonts w:eastAsia="DengXian"/>
          <w:kern w:val="2"/>
          <w:szCs w:val="24"/>
        </w:rPr>
      </w:pPr>
    </w:p>
    <w:p w14:paraId="7FF56CED" w14:textId="77777777" w:rsidR="00AD548A" w:rsidRDefault="00AD548A">
      <w:pPr>
        <w:spacing w:line="240" w:lineRule="auto"/>
        <w:ind w:firstLineChars="0" w:firstLine="0"/>
        <w:jc w:val="center"/>
        <w:rPr>
          <w:rFonts w:eastAsia="DengXian"/>
          <w:kern w:val="2"/>
          <w:szCs w:val="24"/>
        </w:rPr>
      </w:pPr>
    </w:p>
    <w:p w14:paraId="0560B5AA" w14:textId="77777777" w:rsidR="00AD548A" w:rsidRDefault="00AD548A">
      <w:pPr>
        <w:spacing w:line="240" w:lineRule="auto"/>
        <w:ind w:firstLineChars="0" w:firstLine="0"/>
        <w:jc w:val="center"/>
        <w:rPr>
          <w:rFonts w:eastAsia="DengXian"/>
          <w:kern w:val="2"/>
          <w:szCs w:val="24"/>
        </w:rPr>
      </w:pPr>
    </w:p>
    <w:p w14:paraId="6A25EE15" w14:textId="77777777" w:rsidR="00AD548A" w:rsidRDefault="00AD548A">
      <w:pPr>
        <w:spacing w:line="240" w:lineRule="auto"/>
        <w:ind w:firstLineChars="0" w:firstLine="0"/>
        <w:jc w:val="center"/>
        <w:rPr>
          <w:rFonts w:eastAsia="DengXian"/>
          <w:kern w:val="2"/>
          <w:szCs w:val="24"/>
        </w:rPr>
      </w:pPr>
    </w:p>
    <w:p w14:paraId="4C2B85BA" w14:textId="77777777" w:rsidR="00AD548A" w:rsidRDefault="00AD548A">
      <w:pPr>
        <w:spacing w:line="240" w:lineRule="auto"/>
        <w:ind w:firstLineChars="0" w:firstLine="0"/>
        <w:jc w:val="center"/>
        <w:rPr>
          <w:rFonts w:eastAsia="DengXian"/>
          <w:kern w:val="2"/>
          <w:szCs w:val="24"/>
        </w:rPr>
      </w:pPr>
    </w:p>
    <w:p w14:paraId="3CB61234" w14:textId="77777777" w:rsidR="00AD548A" w:rsidRDefault="00AD548A">
      <w:pPr>
        <w:spacing w:line="240" w:lineRule="auto"/>
        <w:ind w:firstLineChars="0" w:firstLine="0"/>
        <w:jc w:val="center"/>
        <w:rPr>
          <w:rFonts w:eastAsia="DengXian"/>
          <w:kern w:val="2"/>
          <w:szCs w:val="24"/>
        </w:rPr>
      </w:pPr>
    </w:p>
    <w:p w14:paraId="2FE5225E" w14:textId="77777777" w:rsidR="00AD548A" w:rsidRDefault="00AD548A">
      <w:pPr>
        <w:spacing w:line="240" w:lineRule="auto"/>
        <w:ind w:firstLineChars="0" w:firstLine="0"/>
        <w:jc w:val="center"/>
        <w:rPr>
          <w:rFonts w:eastAsia="DengXian"/>
          <w:kern w:val="2"/>
          <w:szCs w:val="24"/>
        </w:rPr>
      </w:pPr>
    </w:p>
    <w:p w14:paraId="046442F3" w14:textId="77777777" w:rsidR="00AD548A" w:rsidRDefault="00AD548A">
      <w:pPr>
        <w:spacing w:line="240" w:lineRule="auto"/>
        <w:ind w:firstLineChars="0" w:firstLine="0"/>
        <w:jc w:val="center"/>
        <w:rPr>
          <w:rFonts w:eastAsia="DengXian"/>
          <w:kern w:val="2"/>
          <w:szCs w:val="24"/>
        </w:rPr>
      </w:pPr>
    </w:p>
    <w:p w14:paraId="15690CBE" w14:textId="77777777" w:rsidR="00AD548A" w:rsidRDefault="00000000">
      <w:pPr>
        <w:spacing w:line="240" w:lineRule="auto"/>
        <w:ind w:firstLineChars="0" w:firstLine="0"/>
        <w:jc w:val="center"/>
        <w:rPr>
          <w:rFonts w:eastAsia="DengXian"/>
          <w:kern w:val="2"/>
          <w:szCs w:val="24"/>
        </w:rPr>
      </w:pPr>
      <w:r>
        <w:rPr>
          <w:rFonts w:eastAsia="DengXian"/>
          <w:kern w:val="2"/>
          <w:szCs w:val="24"/>
        </w:rPr>
        <w:t>Disclosure statement: The authors declare that there are no conflicts of interest associated with this submission and confirm adherence to the ethics and integrity policies of the journal.</w:t>
      </w:r>
      <w:r>
        <w:rPr>
          <w:rFonts w:eastAsiaTheme="minorEastAsia"/>
          <w:lang w:val="en-US"/>
        </w:rPr>
        <w:br w:type="page"/>
      </w:r>
    </w:p>
    <w:bookmarkEnd w:id="0"/>
    <w:p w14:paraId="7A1A8BCB" w14:textId="77777777" w:rsidR="00AD548A" w:rsidRDefault="00000000">
      <w:pPr>
        <w:pStyle w:val="Heading2"/>
        <w:spacing w:line="276" w:lineRule="auto"/>
        <w:jc w:val="center"/>
      </w:pPr>
      <w:r>
        <w:lastRenderedPageBreak/>
        <w:t>A</w:t>
      </w:r>
      <w:r>
        <w:rPr>
          <w:rFonts w:hint="eastAsia"/>
        </w:rPr>
        <w:t>bstract</w:t>
      </w:r>
    </w:p>
    <w:p w14:paraId="6771E27B" w14:textId="4E0133C3" w:rsidR="00AD548A" w:rsidRDefault="00000000">
      <w:pPr>
        <w:spacing w:line="276" w:lineRule="auto"/>
        <w:ind w:firstLineChars="0" w:firstLine="0"/>
        <w:rPr>
          <w:lang w:val="en-US"/>
        </w:rPr>
      </w:pPr>
      <w:r>
        <w:rPr>
          <w:lang w:val="en-US"/>
        </w:rPr>
        <w:t>Power asymmetry often undermines collaboration in buyer–supplier relationships, particularly during times of global disruption. This study adopts an institutional perspective to explore how external actors help smaller suppliers restore balance with powerful buyers. Drawing on a multiple case study of ten Chinese small and medium</w:t>
      </w:r>
      <w:r>
        <w:rPr>
          <w:rFonts w:hint="eastAsia"/>
          <w:lang w:val="en-US"/>
        </w:rPr>
        <w:t>-sized</w:t>
      </w:r>
      <w:r>
        <w:rPr>
          <w:lang w:val="en-US"/>
        </w:rPr>
        <w:t xml:space="preserve"> enterprises</w:t>
      </w:r>
      <w:r w:rsidR="00D74524">
        <w:rPr>
          <w:color w:val="00B0F0"/>
          <w:lang w:val="en-US"/>
        </w:rPr>
        <w:t xml:space="preserve"> </w:t>
      </w:r>
      <w:r>
        <w:rPr>
          <w:lang w:val="en-US"/>
        </w:rPr>
        <w:t xml:space="preserve">and four major buyers, based on 37 interviews during the COVID19 pandemic, </w:t>
      </w:r>
      <w:r>
        <w:rPr>
          <w:rFonts w:hint="eastAsia"/>
          <w:lang w:val="en-US"/>
        </w:rPr>
        <w:t xml:space="preserve">this research </w:t>
      </w:r>
      <w:r>
        <w:rPr>
          <w:lang w:val="en-US"/>
        </w:rPr>
        <w:t>identifies</w:t>
      </w:r>
      <w:r>
        <w:rPr>
          <w:rFonts w:hint="eastAsia"/>
          <w:lang w:val="en-US"/>
        </w:rPr>
        <w:t xml:space="preserve"> the process power-balancing under institutional interventions. The process is driven by </w:t>
      </w:r>
      <w:r>
        <w:rPr>
          <w:lang w:val="en-US"/>
        </w:rPr>
        <w:t>dual-pathway model where institutional tactics</w:t>
      </w:r>
      <w:r>
        <w:rPr>
          <w:rFonts w:hint="eastAsia"/>
          <w:lang w:val="en-US"/>
        </w:rPr>
        <w:t xml:space="preserve"> simultaneously, including supplier empowerment and supplier constraint. We identify four specific mechanisms enabling the process: multi-actor institutional synergy, the alteration of buyers' cost-benefit evaluation, the temporary suspension of structural privileges, and industry norm transformation. The study advances institutional theory by theorizing its enabling dimension as essential for power reconfiguration and provides a mechanism-based framework to strategically leverage institutional support, thereby fostering more equitable and resilient supply chains.</w:t>
      </w:r>
    </w:p>
    <w:p w14:paraId="170A6CB7" w14:textId="77777777" w:rsidR="00AD548A" w:rsidRDefault="00AD548A">
      <w:pPr>
        <w:spacing w:line="276" w:lineRule="auto"/>
        <w:rPr>
          <w:lang w:val="en-US"/>
        </w:rPr>
      </w:pPr>
    </w:p>
    <w:p w14:paraId="05F96EC4" w14:textId="77777777" w:rsidR="00AD548A" w:rsidRDefault="00000000">
      <w:pPr>
        <w:spacing w:line="276" w:lineRule="auto"/>
        <w:ind w:firstLineChars="0" w:firstLine="0"/>
        <w:rPr>
          <w:lang w:val="en-US"/>
        </w:rPr>
      </w:pPr>
      <w:r>
        <w:rPr>
          <w:b/>
          <w:bCs/>
          <w:lang w:val="en-US"/>
        </w:rPr>
        <w:t>Keywords:</w:t>
      </w:r>
      <w:r>
        <w:rPr>
          <w:lang w:val="en-US"/>
        </w:rPr>
        <w:t xml:space="preserve"> </w:t>
      </w:r>
      <w:r>
        <w:rPr>
          <w:rFonts w:hint="eastAsia"/>
          <w:lang w:val="en-US"/>
        </w:rPr>
        <w:t>institutional tactics</w:t>
      </w:r>
      <w:r>
        <w:rPr>
          <w:lang w:val="en-US"/>
        </w:rPr>
        <w:t>, power</w:t>
      </w:r>
      <w:r>
        <w:rPr>
          <w:rFonts w:hint="eastAsia"/>
          <w:lang w:val="en-US"/>
        </w:rPr>
        <w:t xml:space="preserve"> asymmetry</w:t>
      </w:r>
      <w:r>
        <w:rPr>
          <w:lang w:val="en-US"/>
        </w:rPr>
        <w:t>, buyer-supplier relationship, volatile environments, COVID-19</w:t>
      </w:r>
    </w:p>
    <w:p w14:paraId="4D1B1737" w14:textId="77777777" w:rsidR="00AD548A" w:rsidRDefault="00000000">
      <w:pPr>
        <w:rPr>
          <w:lang w:val="en-US"/>
        </w:rPr>
      </w:pPr>
      <w:r>
        <w:rPr>
          <w:lang w:val="en-US"/>
        </w:rPr>
        <w:br w:type="page"/>
      </w:r>
    </w:p>
    <w:p w14:paraId="235673CC" w14:textId="77777777" w:rsidR="00AD548A" w:rsidRDefault="00000000">
      <w:pPr>
        <w:pStyle w:val="Heading2"/>
      </w:pPr>
      <w:r>
        <w:lastRenderedPageBreak/>
        <w:t>1. Introduction</w:t>
      </w:r>
    </w:p>
    <w:p w14:paraId="46A51248" w14:textId="77777777" w:rsidR="00AD548A" w:rsidRDefault="00000000">
      <w:pPr>
        <w:ind w:firstLineChars="0" w:firstLine="0"/>
      </w:pPr>
      <w:bookmarkStart w:id="4" w:name="OLE_LINK1"/>
      <w:r>
        <w:t>Buyer-supplier relationships are inherently characterized by power asymmetry, where differences in expertise, size, and market position enable stronger parties to leverage advantages over weaker partners</w:t>
      </w:r>
      <w:r>
        <w:rPr>
          <w:rFonts w:hint="eastAsia"/>
        </w:rPr>
        <w:t xml:space="preserve"> </w:t>
      </w:r>
      <w:sdt>
        <w:sdtPr>
          <w:rPr>
            <w:rFonts w:hint="eastAsia"/>
          </w:rPr>
          <w:tag w:val="MENDELEY_CITATION_v3_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"/>
          <w:id w:val="-525712477"/>
          <w:placeholder>
            <w:docPart w:val="DefaultPlaceholder_-1854013440"/>
          </w:placeholder>
        </w:sdtPr>
        <w:sdtContent>
          <w:r>
            <w:t xml:space="preserve">(Huo, Wang, </w:t>
          </w:r>
          <w:r>
            <w:rPr>
              <w:i/>
              <w:iCs/>
            </w:rPr>
            <w:t>et al.</w:t>
          </w:r>
          <w:r>
            <w:t xml:space="preserve">, 2016; </w:t>
          </w:r>
          <w:r>
            <w:rPr>
              <w:rFonts w:hint="eastAsia"/>
            </w:rPr>
            <w:t>Zanini</w:t>
          </w:r>
          <w:r>
            <w:rPr>
              <w:rFonts w:hint="eastAsia"/>
              <w:lang w:val="en-US"/>
            </w:rPr>
            <w:t xml:space="preserve"> et al., 2023; </w:t>
          </w:r>
          <w:r>
            <w:t xml:space="preserve">Singh </w:t>
          </w:r>
          <w:r>
            <w:rPr>
              <w:i/>
              <w:iCs/>
            </w:rPr>
            <w:t>et al.</w:t>
          </w:r>
          <w:r>
            <w:t>, 2024)</w:t>
          </w:r>
        </w:sdtContent>
      </w:sdt>
      <w:r>
        <w:rPr>
          <w:rFonts w:hint="eastAsia"/>
        </w:rPr>
        <w:t xml:space="preserve">. </w:t>
      </w:r>
      <w:r>
        <w:t xml:space="preserve">For smaller companies, reducing power asymmetry while maximizing partnership benefits with large, influential buyers presents a critical management </w:t>
      </w:r>
      <w:r>
        <w:rPr>
          <w:rFonts w:hint="eastAsia"/>
          <w:lang w:val="en-US"/>
        </w:rPr>
        <w:t>pathway</w:t>
      </w:r>
      <w:r>
        <w:t xml:space="preserve">. </w:t>
      </w:r>
    </w:p>
    <w:p w14:paraId="45BB1E56" w14:textId="77777777" w:rsidR="00AD548A" w:rsidRDefault="00000000">
      <w:r>
        <w:t>V</w:t>
      </w:r>
      <w:r>
        <w:rPr>
          <w:rFonts w:hint="eastAsia"/>
        </w:rPr>
        <w:t xml:space="preserve">arious tactics have been developed for weaker parties to achieve power-balancing </w:t>
      </w:r>
      <w:sdt>
        <w:sdtPr>
          <w:rPr>
            <w:rFonts w:hint="eastAsia"/>
          </w:rPr>
          <w:tag w:val="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"/>
          <w:id w:val="-2102786466"/>
          <w:placeholder>
            <w:docPart w:val="A22F930146AA430D822C398892CA028F"/>
          </w:placeholder>
        </w:sdtPr>
        <w:sdtContent>
          <w:r>
            <w:t>(Gölgeci et al., 2018; Maglaras et al., 2015</w:t>
          </w:r>
          <w:r>
            <w:rPr>
              <w:rFonts w:hint="eastAsia"/>
              <w:lang w:val="en-US"/>
            </w:rPr>
            <w:t>; Ben-Slimane et al., 2024</w:t>
          </w:r>
          <w:r>
            <w:t>)</w:t>
          </w:r>
          <w:r>
            <w:rPr>
              <w:rFonts w:hint="eastAsia"/>
              <w:lang w:val="en-US"/>
            </w:rPr>
            <w:t>.</w:t>
          </w:r>
        </w:sdtContent>
      </w:sdt>
      <w:r>
        <w:rPr>
          <w:rFonts w:hint="eastAsia"/>
          <w:lang w:val="en-US"/>
        </w:rPr>
        <w:t xml:space="preserve">However, </w:t>
      </w:r>
      <w:r>
        <w:rPr>
          <w:rFonts w:hint="eastAsia"/>
        </w:rPr>
        <w:t>their efficacy presupposes a stability and resource slack that evaporates during systemic crises</w:t>
      </w:r>
      <w:r>
        <w:rPr>
          <w:rFonts w:hint="eastAsia"/>
          <w:lang w:val="en-US"/>
        </w:rPr>
        <w:t xml:space="preserve">, such as the </w:t>
      </w:r>
      <w:r>
        <w:rPr>
          <w:rFonts w:hint="eastAsia"/>
        </w:rPr>
        <w:t>COVID-19</w:t>
      </w:r>
      <w:r>
        <w:rPr>
          <w:rFonts w:hint="eastAsia"/>
          <w:lang w:val="en-US"/>
        </w:rPr>
        <w:t xml:space="preserve">, </w:t>
      </w:r>
      <w:r>
        <w:rPr>
          <w:rFonts w:hint="eastAsia"/>
        </w:rPr>
        <w:t>where environmental volatility exacerbate dependencies and opportunistic behaviour, intensifying power imbalances and threatening the survival of small and medium-sized enterprises (SMEs)</w:t>
      </w:r>
      <w:r>
        <w:t xml:space="preserve"> </w:t>
      </w:r>
      <w:sdt>
        <w:sdtPr>
          <w:tag w:val="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"/>
          <w:id w:val="147471386"/>
          <w:placeholder>
            <w:docPart w:val="{b68d4b71-a6ec-4504-93db-2cd1421b40e1}"/>
          </w:placeholder>
        </w:sdtPr>
        <w:sdtContent>
          <w:r>
            <w:t xml:space="preserve">(Glavee-Geo </w:t>
          </w:r>
          <w:r>
            <w:rPr>
              <w:i/>
              <w:iCs/>
            </w:rPr>
            <w:t>et al.</w:t>
          </w:r>
          <w:r>
            <w:t xml:space="preserve">, 2021; Huo </w:t>
          </w:r>
          <w:r>
            <w:rPr>
              <w:i/>
              <w:iCs/>
            </w:rPr>
            <w:t>et al.</w:t>
          </w:r>
          <w:r>
            <w:t xml:space="preserve">, 2017; Huo, Fu, </w:t>
          </w:r>
          <w:r>
            <w:rPr>
              <w:i/>
              <w:iCs/>
            </w:rPr>
            <w:t>et al.</w:t>
          </w:r>
          <w:r>
            <w:t>, 2016</w:t>
          </w:r>
          <w:r>
            <w:rPr>
              <w:rFonts w:hint="eastAsia"/>
              <w:lang w:val="en-US"/>
            </w:rPr>
            <w:t>; Bag et al., 2023</w:t>
          </w:r>
          <w:r>
            <w:t>)</w:t>
          </w:r>
        </w:sdtContent>
      </w:sdt>
      <w:r>
        <w:rPr>
          <w:rFonts w:hint="eastAsia"/>
        </w:rPr>
        <w:t>.</w:t>
      </w:r>
      <w:r>
        <w:t xml:space="preserve"> </w:t>
      </w:r>
      <w:r>
        <w:rPr>
          <w:rFonts w:hint="eastAsia"/>
        </w:rPr>
        <w:t>This exposes an over-reliance on supplier</w:t>
      </w:r>
      <w:r>
        <w:rPr>
          <w:rFonts w:hint="eastAsia"/>
          <w:lang w:val="en-US"/>
        </w:rPr>
        <w:t xml:space="preserve"> </w:t>
      </w:r>
      <w:r>
        <w:rPr>
          <w:rFonts w:hint="eastAsia"/>
        </w:rPr>
        <w:t>centric strategies that are often impractical for resource-constrained SMEs during disasters, creating a pressing need to understand external pathways to power rebalancing.</w:t>
      </w:r>
    </w:p>
    <w:p w14:paraId="36879C57" w14:textId="77777777" w:rsidR="00AD548A" w:rsidRDefault="00000000">
      <w:pPr>
        <w:rPr>
          <w:lang w:val="en-US"/>
        </w:rPr>
      </w:pPr>
      <w:r>
        <w:rPr>
          <w:rFonts w:hint="eastAsia"/>
        </w:rPr>
        <w:t>Institutional theory offers a potential lens</w:t>
      </w:r>
      <w:r>
        <w:rPr>
          <w:rFonts w:hint="eastAsia"/>
          <w:lang w:val="en-US"/>
        </w:rPr>
        <w:t xml:space="preserve">. </w:t>
      </w:r>
      <w:r>
        <w:t>Notably</w:t>
      </w:r>
      <w:r>
        <w:rPr>
          <w:rFonts w:hint="eastAsia"/>
        </w:rPr>
        <w:t xml:space="preserve">, in </w:t>
      </w:r>
      <w:r>
        <w:t>responding to pandemic impacts, various institutions implemented market bailout initiatives supporting vulnerable firms and ensuring supply chain sustainability</w:t>
      </w:r>
      <w:r>
        <w:rPr>
          <w:rFonts w:hint="eastAsia"/>
        </w:rPr>
        <w:t xml:space="preserve">, </w:t>
      </w:r>
      <w:r>
        <w:t xml:space="preserve">highlighting how organizational behaviour is influenced by institutional environments </w:t>
      </w:r>
      <w:r>
        <w:rPr>
          <w:rFonts w:hint="eastAsia"/>
          <w:lang w:val="en-US"/>
        </w:rPr>
        <w:t>(Remko 2020; Onjewu et al., 2023)</w:t>
      </w:r>
      <w:r>
        <w:t>.</w:t>
      </w:r>
      <w:r>
        <w:rPr>
          <w:rFonts w:hint="eastAsia"/>
        </w:rPr>
        <w:t xml:space="preserve"> </w:t>
      </w:r>
      <w:r>
        <w:t xml:space="preserve">While previous literature has adopted institutional </w:t>
      </w:r>
      <w:r>
        <w:rPr>
          <w:rFonts w:hint="eastAsia"/>
          <w:lang w:val="en-US"/>
        </w:rPr>
        <w:t>theory</w:t>
      </w:r>
      <w:r>
        <w:t xml:space="preserve"> to </w:t>
      </w:r>
      <w:r>
        <w:lastRenderedPageBreak/>
        <w:t xml:space="preserve">explain power position changes, </w:t>
      </w:r>
      <w:r>
        <w:rPr>
          <w:rFonts w:hint="eastAsia"/>
          <w:lang w:val="en-US"/>
        </w:rPr>
        <w:t>it</w:t>
      </w:r>
      <w:r>
        <w:rPr>
          <w:rFonts w:hint="eastAsia"/>
        </w:rPr>
        <w:t xml:space="preserve"> </w:t>
      </w:r>
      <w:r>
        <w:rPr>
          <w:rFonts w:hint="eastAsia"/>
          <w:lang w:val="en-US"/>
        </w:rPr>
        <w:t>was</w:t>
      </w:r>
      <w:r>
        <w:rPr>
          <w:rFonts w:hint="eastAsia"/>
        </w:rPr>
        <w:t xml:space="preserve"> applied narrowly </w:t>
      </w:r>
      <w:r>
        <w:rPr>
          <w:rFonts w:hint="eastAsia"/>
          <w:lang w:val="en-US"/>
        </w:rPr>
        <w:t xml:space="preserve">on </w:t>
      </w:r>
      <w:r>
        <w:rPr>
          <w:rFonts w:hint="eastAsia"/>
        </w:rPr>
        <w:t>the constraining role of institutions (DiMaggio and Powell, 1983; Sahin and Mert, 2023)</w:t>
      </w:r>
      <w:r>
        <w:rPr>
          <w:rFonts w:hint="eastAsia"/>
          <w:lang w:val="en-US"/>
        </w:rPr>
        <w:t>, which overlooks the equally vital enabling role of institutions as active agents that provide resources, legitimacy, and direct support, as characterized by the unprecedented governmental and non-governmental interventions to sustain vulnerable firms during the COVID-19 (Peng et al., 2008; Berlinger et al., 2024). However, the specific mechanisms through which such institutional actions reconfigure power dynamics between asymmetric actors remain poorly understood, representing a significant gap in both institutional and supply chain management literatures.</w:t>
      </w:r>
    </w:p>
    <w:p w14:paraId="0B8579F2" w14:textId="77777777" w:rsidR="00AD548A" w:rsidRDefault="00000000">
      <w:r>
        <w:t>H</w:t>
      </w:r>
      <w:r>
        <w:rPr>
          <w:rFonts w:hint="eastAsia"/>
        </w:rPr>
        <w:t>ence,</w:t>
      </w:r>
      <w:r>
        <w:t xml:space="preserve"> </w:t>
      </w:r>
      <w:r>
        <w:rPr>
          <w:rFonts w:hint="eastAsia"/>
        </w:rPr>
        <w:t xml:space="preserve">this study moves beyond dyadic, firm-centric perspectives to investigate the following research question: </w:t>
      </w:r>
      <w:r>
        <w:rPr>
          <w:rFonts w:hint="eastAsia"/>
          <w:i/>
          <w:iCs/>
        </w:rPr>
        <w:t>Through what mechanisms do institutional interventions rebalance power asymmetry between SMEs and powerful buyers during periods of extreme environmental volatility?</w:t>
      </w:r>
      <w:r>
        <w:rPr>
          <w:rFonts w:hint="eastAsia"/>
        </w:rPr>
        <w:t xml:space="preserve"> We address this question through a qualitative, multiple case study of ten SMEs and their four key buyers in China during the COVID-19 pandemic</w:t>
      </w:r>
      <w:r>
        <w:rPr>
          <w:rFonts w:hint="eastAsia"/>
          <w:lang w:val="en-US"/>
        </w:rPr>
        <w:t>,</w:t>
      </w:r>
      <w:r>
        <w:rPr>
          <w:rFonts w:hint="eastAsia"/>
        </w:rPr>
        <w:t xml:space="preserve"> to trace the causal processes linking institutional actions to shifts in power dynamics.</w:t>
      </w:r>
    </w:p>
    <w:p w14:paraId="1AA3DF34" w14:textId="77777777" w:rsidR="00AD548A" w:rsidRDefault="00000000">
      <w:r>
        <w:rPr>
          <w:rFonts w:hint="eastAsia"/>
        </w:rPr>
        <w:t>We develop an integrative model showing how institutional tactics operate through</w:t>
      </w:r>
      <w:r>
        <w:rPr>
          <w:rFonts w:hint="eastAsia"/>
          <w:lang w:val="en-US"/>
        </w:rPr>
        <w:t xml:space="preserve"> </w:t>
      </w:r>
      <w:r>
        <w:rPr>
          <w:rFonts w:hint="eastAsia"/>
        </w:rPr>
        <w:t>an empowerment pathway that enhances SMEs</w:t>
      </w:r>
      <w:r>
        <w:rPr>
          <w:lang w:val="en-US"/>
        </w:rPr>
        <w:t>’</w:t>
      </w:r>
      <w:r>
        <w:rPr>
          <w:rFonts w:hint="eastAsia"/>
        </w:rPr>
        <w:t xml:space="preserve"> non-mediated power, and a constraint pathway that restricts buyers</w:t>
      </w:r>
      <w:r>
        <w:rPr>
          <w:rFonts w:hint="eastAsia"/>
        </w:rPr>
        <w:t>’</w:t>
      </w:r>
      <w:r>
        <w:rPr>
          <w:rFonts w:hint="eastAsia"/>
        </w:rPr>
        <w:t xml:space="preserve"> mediated power. This paper makes several key contributions. First, it expands institutional theory in supply chains by theorizing the enabling dimension as critical for power rebalancing. Second, it introduces crucial mechanism</w:t>
      </w:r>
      <w:r>
        <w:rPr>
          <w:rFonts w:hint="eastAsia"/>
          <w:lang w:val="en-US"/>
        </w:rPr>
        <w:t>s</w:t>
      </w:r>
      <w:r>
        <w:rPr>
          <w:rFonts w:hint="eastAsia"/>
        </w:rPr>
        <w:t xml:space="preserve"> for crisis contexts, explaining how the utility of asymmetric power can be </w:t>
      </w:r>
      <w:r>
        <w:rPr>
          <w:rFonts w:hint="eastAsia"/>
        </w:rPr>
        <w:lastRenderedPageBreak/>
        <w:t>nullified. Third, it provides a multi-actor, process-oriented framework that explains how significant rebalancing occur. Our work offers actionable insights for policymakers designing crisis interventions and for SME managers seeking resilience in a</w:t>
      </w:r>
      <w:r>
        <w:rPr>
          <w:rFonts w:hint="eastAsia"/>
          <w:lang w:val="en-US"/>
        </w:rPr>
        <w:t xml:space="preserve"> </w:t>
      </w:r>
      <w:r>
        <w:rPr>
          <w:rFonts w:hint="eastAsia"/>
        </w:rPr>
        <w:t>persistent disruption.</w:t>
      </w:r>
    </w:p>
    <w:bookmarkEnd w:id="4"/>
    <w:p w14:paraId="1BB6A0C4" w14:textId="77777777" w:rsidR="00AD548A" w:rsidRDefault="00000000">
      <w:pPr>
        <w:pStyle w:val="Heading2"/>
        <w:numPr>
          <w:ilvl w:val="0"/>
          <w:numId w:val="5"/>
        </w:numPr>
        <w:rPr>
          <w:lang w:eastAsia="zh-CN"/>
        </w:rPr>
      </w:pPr>
      <w:r>
        <w:rPr>
          <w:rFonts w:hint="eastAsia"/>
          <w:lang w:eastAsia="zh-CN"/>
        </w:rPr>
        <w:t>Literature review</w:t>
      </w:r>
    </w:p>
    <w:p w14:paraId="48422EA2" w14:textId="77777777" w:rsidR="00AD548A" w:rsidRDefault="00000000">
      <w:pPr>
        <w:pStyle w:val="Heading2"/>
      </w:pPr>
      <w:r>
        <w:t xml:space="preserve">2.1 Power </w:t>
      </w:r>
      <w:r>
        <w:rPr>
          <w:lang w:eastAsia="zh-CN"/>
        </w:rPr>
        <w:t>a</w:t>
      </w:r>
      <w:r>
        <w:t xml:space="preserve">symmetry and </w:t>
      </w:r>
      <w:r>
        <w:rPr>
          <w:lang w:eastAsia="zh-CN"/>
        </w:rPr>
        <w:t>v</w:t>
      </w:r>
      <w:r>
        <w:t xml:space="preserve">olatile </w:t>
      </w:r>
      <w:r>
        <w:rPr>
          <w:lang w:eastAsia="zh-CN"/>
        </w:rPr>
        <w:t>e</w:t>
      </w:r>
      <w:r>
        <w:t>nvironments</w:t>
      </w:r>
    </w:p>
    <w:p w14:paraId="2E03D5DE" w14:textId="77777777" w:rsidR="00AD548A" w:rsidRDefault="00000000">
      <w:pPr>
        <w:ind w:firstLineChars="0" w:firstLine="0"/>
      </w:pPr>
      <w:r>
        <w:t xml:space="preserve">Rooted in social exchange theories, power asymmetry is often analysed through the lens of dependence </w:t>
      </w:r>
      <w:sdt>
        <w:sdtPr>
          <w:tag w:val="MENDELEY_CITATION_v3_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"/>
          <w:id w:val="147461173"/>
          <w:placeholder>
            <w:docPart w:val="{fe6ae746-facd-41a7-8fa1-62ee4e599eb7}"/>
          </w:placeholder>
        </w:sdtPr>
        <w:sdtContent>
          <w:r>
            <w:t xml:space="preserve">(Bastl </w:t>
          </w:r>
          <w:r>
            <w:rPr>
              <w:i/>
              <w:iCs/>
            </w:rPr>
            <w:t>et al.</w:t>
          </w:r>
          <w:r>
            <w:t xml:space="preserve">, 2013; Isabel </w:t>
          </w:r>
          <w:r>
            <w:rPr>
              <w:i/>
              <w:iCs/>
            </w:rPr>
            <w:t>et al.</w:t>
          </w:r>
          <w:r>
            <w:t>, 2016)</w:t>
          </w:r>
        </w:sdtContent>
      </w:sdt>
      <w:r>
        <w:t xml:space="preserve">. For example, in a buyer-supplier relationship, if a supplier controls access to a rare raw material that a buyer needs to manufacture its products, the supplier holds a higher power position </w:t>
      </w:r>
      <w:sdt>
        <w:sdtPr>
          <w:tag w:val="MENDELEY_CITATION_v3_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"/>
          <w:id w:val="147470874"/>
          <w:placeholder>
            <w:docPart w:val="{fe6ae746-facd-41a7-8fa1-62ee4e599eb7}"/>
          </w:placeholder>
        </w:sdtPr>
        <w:sdtContent>
          <w:r>
            <w:t xml:space="preserve">(Prosman </w:t>
          </w:r>
          <w:r>
            <w:rPr>
              <w:i/>
              <w:iCs/>
            </w:rPr>
            <w:t>et al.</w:t>
          </w:r>
          <w:r>
            <w:t>, 2016)</w:t>
          </w:r>
        </w:sdtContent>
      </w:sdt>
      <w:r>
        <w:t xml:space="preserve">. The weaker party is considered to have a higher dependence on its powerful partner </w:t>
      </w:r>
      <w:sdt>
        <w:sdtPr>
          <w:tag w:val="MENDELEY_CITATION_v3_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"/>
          <w:id w:val="147482479"/>
          <w:placeholder>
            <w:docPart w:val="{fe6ae746-facd-41a7-8fa1-62ee4e599eb7}"/>
          </w:placeholder>
        </w:sdtPr>
        <w:sdtContent>
          <w:r>
            <w:t xml:space="preserve">(Caniëls and Gelderman, 2005; Ma </w:t>
          </w:r>
          <w:r>
            <w:rPr>
              <w:i/>
              <w:iCs/>
            </w:rPr>
            <w:t>et al.</w:t>
          </w:r>
          <w:r>
            <w:t>, 2019)</w:t>
          </w:r>
        </w:sdtContent>
      </w:sdt>
      <w:r>
        <w:t>. This conceptualization underscores that power asymmetry is fundamentally rooted in dependence structures, where the ability of one party to control critical resources determines the vulnerability and strategic behavior of the other.</w:t>
      </w:r>
    </w:p>
    <w:p w14:paraId="64307765" w14:textId="77777777" w:rsidR="00AD548A" w:rsidRDefault="00000000">
      <w:pPr>
        <w:pStyle w:val="Heading3"/>
        <w:rPr>
          <w:color w:val="auto"/>
        </w:rPr>
      </w:pPr>
      <w:r>
        <w:rPr>
          <w:color w:val="auto"/>
        </w:rPr>
        <w:t xml:space="preserve">2.1.1 </w:t>
      </w:r>
      <w:r>
        <w:rPr>
          <w:rStyle w:val="Strong"/>
          <w:b/>
          <w:color w:val="auto"/>
        </w:rPr>
        <w:t xml:space="preserve">Power and </w:t>
      </w:r>
      <w:r>
        <w:rPr>
          <w:rStyle w:val="Strong"/>
          <w:rFonts w:hint="eastAsia"/>
          <w:b/>
          <w:color w:val="auto"/>
          <w:lang w:eastAsia="zh-CN"/>
        </w:rPr>
        <w:t>d</w:t>
      </w:r>
      <w:r>
        <w:rPr>
          <w:rStyle w:val="Strong"/>
          <w:b/>
          <w:color w:val="auto"/>
        </w:rPr>
        <w:t>ependence</w:t>
      </w:r>
      <w:r>
        <w:rPr>
          <w:rStyle w:val="Strong"/>
          <w:rFonts w:hint="eastAsia"/>
          <w:b/>
          <w:color w:val="auto"/>
          <w:lang w:eastAsia="zh-CN"/>
        </w:rPr>
        <w:t xml:space="preserve"> </w:t>
      </w:r>
    </w:p>
    <w:p w14:paraId="32613E0D" w14:textId="77777777" w:rsidR="00AD548A" w:rsidRDefault="00000000">
      <w:pPr>
        <w:ind w:firstLineChars="0" w:firstLine="0"/>
      </w:pPr>
      <w:r>
        <w:t>Power in supply chain relationships can be broadly classified into mediated and non-mediated power (Reimann and Ketchen, 2017), reflecting a company's role and the nature of its interactions with supply chain partners</w:t>
      </w:r>
      <w:r>
        <w:rPr>
          <w:b/>
          <w:bCs/>
        </w:rPr>
        <w:t xml:space="preserve"> </w:t>
      </w:r>
      <w:sdt>
        <w:sdtPr>
          <w:rPr>
            <w:bCs/>
          </w:rPr>
          <w:tag w:val="MENDELEY_CITATION_v3_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"/>
          <w:id w:val="147469369"/>
          <w:placeholder>
            <w:docPart w:val="{0d4f8117-b403-4c43-8e03-faad8c5adf8f}"/>
          </w:placeholder>
        </w:sdtPr>
        <w:sdtEndPr>
          <w:rPr>
            <w:bCs w:val="0"/>
          </w:rPr>
        </w:sdtEndPr>
        <w:sdtContent>
          <w:r>
            <w:t xml:space="preserve">(Bastl </w:t>
          </w:r>
          <w:r>
            <w:rPr>
              <w:i/>
              <w:iCs/>
            </w:rPr>
            <w:t>et al.</w:t>
          </w:r>
          <w:r>
            <w:t>, 2013; Morsy, 2017)</w:t>
          </w:r>
        </w:sdtContent>
      </w:sdt>
      <w:r>
        <w:t xml:space="preserve">. </w:t>
      </w:r>
      <w:r>
        <w:rPr>
          <w:rFonts w:hint="eastAsia"/>
          <w:color w:val="00B0F0"/>
          <w:lang w:val="en-US"/>
        </w:rPr>
        <w:t xml:space="preserve">As shown in Table 1, </w:t>
      </w:r>
      <w:r>
        <w:rPr>
          <w:color w:val="00B0F0"/>
        </w:rPr>
        <w:t>Reward and coercive</w:t>
      </w:r>
      <w:r>
        <w:t xml:space="preserve"> power are mediated because they are controlled by the powerful party in a relationship. The powerful company has the right </w:t>
      </w:r>
      <w:r>
        <w:lastRenderedPageBreak/>
        <w:t xml:space="preserve">to decide whether, when, and how to reward or coerce the weaker partner </w:t>
      </w:r>
      <w:sdt>
        <w:sdtPr>
          <w:tag w:val="MENDELEY_CITATION_v3_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"/>
          <w:id w:val="147469893"/>
          <w:placeholder>
            <w:docPart w:val="{ce69948a-8790-4ae4-9e5b-5c5bfb9e14e6}"/>
          </w:placeholder>
        </w:sdtPr>
        <w:sdtContent>
          <w:r>
            <w:t xml:space="preserve">(Chae </w:t>
          </w:r>
          <w:r>
            <w:rPr>
              <w:i/>
              <w:iCs/>
            </w:rPr>
            <w:t>et al.</w:t>
          </w:r>
          <w:r>
            <w:t>, 2017)</w:t>
          </w:r>
        </w:sdtContent>
      </w:sdt>
      <w:r>
        <w:t xml:space="preserve">. </w:t>
      </w:r>
      <w:r>
        <w:rPr>
          <w:lang w:val="en-US"/>
        </w:rPr>
        <w:t>Such power sources</w:t>
      </w:r>
      <w:r>
        <w:t xml:space="preserve"> are strategically deployed to secure compliance and maintain control over weaker suppliers in complex supply chain networks. In contrast, expert, referent, and legitimate power are non-mediated forms of power, relying on influence rather than coercion, which allows the weaker company the choice to align with the more powerful partner </w:t>
      </w:r>
      <w:sdt>
        <w:sdtPr>
          <w:tag w:val="MENDELEY_CITATION_v3_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"/>
          <w:id w:val="147455509"/>
          <w:placeholder>
            <w:docPart w:val="{8a106766-fa40-41c0-ba16-16b962f6ce04}"/>
          </w:placeholder>
        </w:sdtPr>
        <w:sdtContent>
          <w:r>
            <w:t>(Benton and Maloni, 2005; Siemieniako and Mitręga, 2018)</w:t>
          </w:r>
        </w:sdtContent>
      </w:sdt>
      <w:r>
        <w:t>.</w:t>
      </w:r>
    </w:p>
    <w:p w14:paraId="579642D3" w14:textId="77777777" w:rsidR="00AD548A" w:rsidRDefault="00000000">
      <w:r>
        <w:t xml:space="preserve">A party with higher mediated power has the ability to intentionally reward or coerce the weaker partner to influence their actions </w:t>
      </w:r>
      <w:sdt>
        <w:sdtPr>
          <w:tag w:val="MENDELEY_CITATION_v3_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"/>
          <w:id w:val="147454479"/>
          <w:placeholder>
            <w:docPart w:val="{0d4f8117-b403-4c43-8e03-faad8c5adf8f}"/>
          </w:placeholder>
        </w:sdtPr>
        <w:sdtContent>
          <w:r>
            <w:t xml:space="preserve">(Chae </w:t>
          </w:r>
          <w:r>
            <w:rPr>
              <w:i/>
              <w:iCs/>
            </w:rPr>
            <w:t>et al.</w:t>
          </w:r>
          <w:r>
            <w:t>, 2017)</w:t>
          </w:r>
        </w:sdtContent>
      </w:sdt>
      <w:r>
        <w:t xml:space="preserve">. For example, a stronger company might exercise this power positively by placing significant buyer orders, offering financial benefits to the weaker partner. Alternatively, it could use this power negatively by </w:t>
      </w:r>
      <w:r>
        <w:rPr>
          <w:rFonts w:hint="eastAsia"/>
        </w:rPr>
        <w:t>canceling</w:t>
      </w:r>
      <w:r>
        <w:t xml:space="preserve"> orders, imposing penalties, or setting unfavourable terms. In contrast, non-mediated power influences the other party in a more indirect and less coercive manner, allowing the weaker party the autonomy to decide whether to be influenced </w:t>
      </w:r>
      <w:sdt>
        <w:sdtPr>
          <w:tag w:val="MENDELEY_CITATION_v3_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"/>
          <w:id w:val="147481664"/>
          <w:placeholder>
            <w:docPart w:val="{0d4f8117-b403-4c43-8e03-faad8c5adf8f}"/>
          </w:placeholder>
        </w:sdtPr>
        <w:sdtContent>
          <w:r>
            <w:t>(Benton and Maloni, 2005; Terpend and Ashenbaum, 2012)</w:t>
          </w:r>
        </w:sdtContent>
      </w:sdt>
      <w:r>
        <w:t xml:space="preserve">. For instance, a powerful partner might exert influence through reputation, expertise, or mutual trust, encouraging the weaker partner to align voluntarily with their expectations for the perceived long-term benefits. </w:t>
      </w:r>
    </w:p>
    <w:p w14:paraId="3A8E8B25" w14:textId="77777777" w:rsidR="00AD548A" w:rsidRDefault="00000000">
      <w:pPr>
        <w:jc w:val="center"/>
      </w:pPr>
      <w:bookmarkStart w:id="5" w:name="_Hlk199417798"/>
      <w:r>
        <w:t>[Insert Table 1 about here]</w:t>
      </w:r>
      <w:bookmarkEnd w:id="5"/>
    </w:p>
    <w:p w14:paraId="097CD2E7" w14:textId="77777777" w:rsidR="00AD548A" w:rsidRDefault="00000000">
      <w:pPr>
        <w:pStyle w:val="Heading3"/>
        <w:rPr>
          <w:color w:val="auto"/>
        </w:rPr>
      </w:pPr>
      <w:r>
        <w:rPr>
          <w:rStyle w:val="Strong"/>
          <w:b/>
          <w:bCs w:val="0"/>
          <w:color w:val="auto"/>
        </w:rPr>
        <w:t>2.1.2.</w:t>
      </w:r>
      <w:r>
        <w:rPr>
          <w:rStyle w:val="Strong"/>
          <w:color w:val="auto"/>
        </w:rPr>
        <w:t xml:space="preserve"> </w:t>
      </w:r>
      <w:r>
        <w:rPr>
          <w:color w:val="auto"/>
        </w:rPr>
        <w:t>The influence of environmental uncertainties on power-asymmetry</w:t>
      </w:r>
    </w:p>
    <w:p w14:paraId="14B38DD6" w14:textId="77777777" w:rsidR="00AD548A" w:rsidRDefault="00000000">
      <w:pPr>
        <w:ind w:firstLineChars="0" w:firstLine="0"/>
      </w:pPr>
      <w:r>
        <w:t xml:space="preserve">Building on the foundational concepts of power and dependence, it is critical to move beyond correlation and delineate the specific causal mechanisms through which </w:t>
      </w:r>
      <w:r>
        <w:lastRenderedPageBreak/>
        <w:t>environmental volatility intensifies power asymmetry. Recent literature, particularly studies reflecting on post-pandemic supply chains, elucidates three primary pathways.</w:t>
      </w:r>
    </w:p>
    <w:p w14:paraId="4754FAC5" w14:textId="77777777" w:rsidR="00AD548A" w:rsidRDefault="00000000">
      <w:r>
        <w:t>The first and most documented pathway is the amplification of dependency. Volatile environments</w:t>
      </w:r>
      <w:r>
        <w:rPr>
          <w:rFonts w:hint="eastAsia"/>
          <w:lang w:val="en-US"/>
        </w:rPr>
        <w:t xml:space="preserve"> are always</w:t>
      </w:r>
      <w:r>
        <w:t xml:space="preserve"> characterized by disrupted logistics, unpredictable demand, and resource scarcity, </w:t>
      </w:r>
      <w:r>
        <w:rPr>
          <w:rFonts w:hint="eastAsia"/>
          <w:lang w:val="en-US"/>
        </w:rPr>
        <w:t xml:space="preserve">which might </w:t>
      </w:r>
      <w:r>
        <w:t xml:space="preserve">increase the reliance of smaller suppliers on their larger, </w:t>
      </w:r>
      <w:r>
        <w:rPr>
          <w:rFonts w:hint="eastAsia"/>
          <w:lang w:val="en-US"/>
        </w:rPr>
        <w:t xml:space="preserve">and </w:t>
      </w:r>
      <w:r>
        <w:t xml:space="preserve">more resilient buyers for economic survival and market access (Brito and Miguel, 2017; Glavee-Geo et al., 2021). </w:t>
      </w:r>
      <w:r>
        <w:rPr>
          <w:rFonts w:hint="eastAsia"/>
          <w:lang w:val="en-US"/>
        </w:rPr>
        <w:t>Such</w:t>
      </w:r>
      <w:r>
        <w:t xml:space="preserve"> heightened dependence directly strengthens the structural power of the dominant firm</w:t>
      </w:r>
      <w:r>
        <w:rPr>
          <w:rFonts w:hint="eastAsia"/>
          <w:lang w:val="en-US"/>
        </w:rPr>
        <w:t>s</w:t>
      </w:r>
      <w:r>
        <w:t>, as the perceived cost</w:t>
      </w:r>
      <w:r>
        <w:rPr>
          <w:rFonts w:hint="eastAsia"/>
          <w:lang w:val="en-US"/>
        </w:rPr>
        <w:t>s</w:t>
      </w:r>
      <w:r>
        <w:t xml:space="preserve"> of relationship termination for the </w:t>
      </w:r>
      <w:r>
        <w:rPr>
          <w:rFonts w:hint="eastAsia"/>
          <w:lang w:val="en-US"/>
        </w:rPr>
        <w:t xml:space="preserve">weaker </w:t>
      </w:r>
      <w:r>
        <w:t>supplier</w:t>
      </w:r>
      <w:r>
        <w:rPr>
          <w:rFonts w:hint="eastAsia"/>
          <w:lang w:val="en-US"/>
        </w:rPr>
        <w:t>s</w:t>
      </w:r>
      <w:r>
        <w:t xml:space="preserve"> become prohibitively high (Caniëls </w:t>
      </w:r>
      <w:r>
        <w:rPr>
          <w:rFonts w:hint="eastAsia"/>
        </w:rPr>
        <w:t>and</w:t>
      </w:r>
      <w:r>
        <w:t xml:space="preserve"> Gelderman, 2005). For example, during the COVID-19 pandemic, SMEs often became </w:t>
      </w:r>
      <w:r>
        <w:rPr>
          <w:rFonts w:hint="eastAsia"/>
          <w:lang w:val="en-US"/>
        </w:rPr>
        <w:t xml:space="preserve">more </w:t>
      </w:r>
      <w:r>
        <w:t xml:space="preserve">"captive" to major buyers who represented one of their few remaining stable sources of revenue, thereby ceding significant bargaining power (Dubey et al., 2020; </w:t>
      </w:r>
      <w:r>
        <w:rPr>
          <w:rFonts w:hint="eastAsia"/>
          <w:lang w:val="en-US"/>
        </w:rPr>
        <w:t>Bag et al., 2023</w:t>
      </w:r>
      <w:r>
        <w:t>).</w:t>
      </w:r>
    </w:p>
    <w:p w14:paraId="222541F7" w14:textId="77777777" w:rsidR="00AD548A" w:rsidRDefault="00000000">
      <w:r>
        <w:t>The second pathway involves the escalation of opportunistic behavior. Uncertainty provides both the incentive and the cover for powerful actors to employ coercive mediated power, leveraging the crisis to impose stricter terms, delay payments, or demand unilateral concessions (Duong and Chong, 2020; Taylor et al., 2015). Weaker firms, fearing the loss of critical contracts and lacking viable alternatives, feel compelled to comply with these demands, further entrenching their subordinate position. As noted by Huo et al. (2018), operational risks like supply disruptions directly exacerbate this imbalance, a dynamic that was starkly evident during the recent global crisis where reports of buyer opportunism surged (</w:t>
      </w:r>
      <w:r>
        <w:rPr>
          <w:rFonts w:hint="eastAsia"/>
          <w:lang w:val="en-US"/>
        </w:rPr>
        <w:t>Wang et al., 2024</w:t>
      </w:r>
      <w:r>
        <w:t>).</w:t>
      </w:r>
    </w:p>
    <w:p w14:paraId="0A6077E0" w14:textId="77777777" w:rsidR="00AD548A" w:rsidRDefault="00000000">
      <w:r>
        <w:lastRenderedPageBreak/>
        <w:t>The third pathway is the erosion of relational capital. While non-mediated power sources like trust, reputation, and expertise can foster stability in moderately uncertain times, extreme volatility can severely test these relational bonds. Partners may be forced to prioritize short-term survival and individualistic goals over long-term collaboration and mutual benefit (Huo et al., 2018; Sinha and Stothard, 2020). This shift undermines the very foundations of non-mediated power, diminishing the weaker party's ability to exert influence through voluntary alignment and leaving them more exposed to coercive power dynamics.</w:t>
      </w:r>
    </w:p>
    <w:p w14:paraId="31E3895E" w14:textId="77777777" w:rsidR="00AD548A" w:rsidRDefault="00000000">
      <w:pPr>
        <w:rPr>
          <w:lang w:val="en-US"/>
        </w:rPr>
      </w:pPr>
      <w:r>
        <w:t xml:space="preserve">In synthesis, the </w:t>
      </w:r>
      <w:r>
        <w:rPr>
          <w:rFonts w:hint="eastAsia"/>
          <w:lang w:val="en-US"/>
        </w:rPr>
        <w:t xml:space="preserve">current </w:t>
      </w:r>
      <w:r>
        <w:t>literature convincingly establishes a self-reinforcing cycle</w:t>
      </w:r>
      <w:r>
        <w:rPr>
          <w:rFonts w:hint="eastAsia"/>
          <w:lang w:val="en-US"/>
        </w:rPr>
        <w:t xml:space="preserve"> that </w:t>
      </w:r>
      <w:r>
        <w:t>environmental volatility</w:t>
      </w:r>
      <w:r>
        <w:rPr>
          <w:rFonts w:hint="eastAsia"/>
          <w:lang w:val="en-US"/>
        </w:rPr>
        <w:t xml:space="preserve"> could cause </w:t>
      </w:r>
      <w:r>
        <w:t>increased dependency and opportunism</w:t>
      </w:r>
      <w:r>
        <w:rPr>
          <w:rFonts w:hint="eastAsia"/>
          <w:lang w:val="en-US"/>
        </w:rPr>
        <w:t>, and through</w:t>
      </w:r>
      <w:r>
        <w:t xml:space="preserve"> strengthened mediated power</w:t>
      </w:r>
      <w:r>
        <w:rPr>
          <w:rFonts w:hint="eastAsia"/>
          <w:lang w:val="en-US"/>
        </w:rPr>
        <w:t xml:space="preserve"> use and</w:t>
      </w:r>
      <w:r>
        <w:t xml:space="preserve"> eroded relational capital</w:t>
      </w:r>
      <w:r>
        <w:rPr>
          <w:rFonts w:hint="eastAsia"/>
          <w:lang w:val="en-US"/>
        </w:rPr>
        <w:t>, the</w:t>
      </w:r>
      <w:r>
        <w:t xml:space="preserve"> power asymmetry</w:t>
      </w:r>
      <w:r>
        <w:rPr>
          <w:rFonts w:hint="eastAsia"/>
          <w:lang w:val="en-US"/>
        </w:rPr>
        <w:t xml:space="preserve"> is </w:t>
      </w:r>
      <w:r>
        <w:t>worsened. However, this narrative remains predominantly one-sided, focusing on volatility as an amplifier of existing negative dynamics. A critical gap exists in whether and how this cycle can be interrupted, particularly during disruptions where the scale of the crisis may trigger countervailing, external interventions</w:t>
      </w:r>
      <w:r>
        <w:rPr>
          <w:rFonts w:hint="eastAsia"/>
          <w:lang w:val="en-US"/>
        </w:rPr>
        <w:t>.</w:t>
      </w:r>
    </w:p>
    <w:p w14:paraId="0119AF72" w14:textId="77777777" w:rsidR="00AD548A" w:rsidRDefault="00000000">
      <w:pPr>
        <w:pStyle w:val="Heading2"/>
      </w:pPr>
      <w:r>
        <w:rPr>
          <w:rStyle w:val="Strong"/>
          <w:b/>
          <w:bCs w:val="0"/>
        </w:rPr>
        <w:t xml:space="preserve">2.2. The </w:t>
      </w:r>
      <w:r>
        <w:rPr>
          <w:rStyle w:val="Strong"/>
          <w:rFonts w:hint="eastAsia"/>
          <w:b/>
          <w:bCs w:val="0"/>
          <w:lang w:eastAsia="zh-CN"/>
        </w:rPr>
        <w:t>s</w:t>
      </w:r>
      <w:r>
        <w:rPr>
          <w:rStyle w:val="Strong"/>
          <w:b/>
          <w:bCs w:val="0"/>
        </w:rPr>
        <w:t>upplier-</w:t>
      </w:r>
      <w:r>
        <w:rPr>
          <w:rStyle w:val="Strong"/>
          <w:rFonts w:hint="eastAsia"/>
          <w:b/>
          <w:bCs w:val="0"/>
          <w:lang w:eastAsia="zh-CN"/>
        </w:rPr>
        <w:t>c</w:t>
      </w:r>
      <w:r>
        <w:rPr>
          <w:rStyle w:val="Strong"/>
          <w:b/>
          <w:bCs w:val="0"/>
        </w:rPr>
        <w:t xml:space="preserve">entric </w:t>
      </w:r>
      <w:r>
        <w:rPr>
          <w:rStyle w:val="Strong"/>
          <w:rFonts w:hint="eastAsia"/>
          <w:b/>
          <w:bCs w:val="0"/>
          <w:lang w:eastAsia="zh-CN"/>
        </w:rPr>
        <w:t>p</w:t>
      </w:r>
      <w:r>
        <w:rPr>
          <w:rStyle w:val="Strong"/>
          <w:b/>
          <w:bCs w:val="0"/>
        </w:rPr>
        <w:t>ower-</w:t>
      </w:r>
      <w:r>
        <w:rPr>
          <w:rStyle w:val="Strong"/>
          <w:rFonts w:hint="eastAsia"/>
          <w:b/>
          <w:bCs w:val="0"/>
          <w:lang w:eastAsia="zh-CN"/>
        </w:rPr>
        <w:t>b</w:t>
      </w:r>
      <w:r>
        <w:rPr>
          <w:rStyle w:val="Strong"/>
          <w:b/>
          <w:bCs w:val="0"/>
        </w:rPr>
        <w:t xml:space="preserve">alancing </w:t>
      </w:r>
      <w:r>
        <w:rPr>
          <w:rStyle w:val="Strong"/>
          <w:rFonts w:hint="eastAsia"/>
          <w:b/>
          <w:bCs w:val="0"/>
          <w:lang w:eastAsia="zh-CN"/>
        </w:rPr>
        <w:t>t</w:t>
      </w:r>
      <w:r>
        <w:rPr>
          <w:rStyle w:val="Strong"/>
          <w:b/>
          <w:bCs w:val="0"/>
        </w:rPr>
        <w:t>actics</w:t>
      </w:r>
    </w:p>
    <w:p w14:paraId="516C6927" w14:textId="77777777" w:rsidR="00AD548A" w:rsidRDefault="00000000">
      <w:pPr>
        <w:pStyle w:val="Heading2"/>
        <w:rPr>
          <w:i/>
          <w:iCs/>
        </w:rPr>
      </w:pPr>
      <w:r>
        <w:rPr>
          <w:i/>
          <w:iCs/>
        </w:rPr>
        <w:t>2.</w:t>
      </w:r>
      <w:r>
        <w:rPr>
          <w:i/>
          <w:iCs/>
          <w:lang w:eastAsia="zh-CN"/>
        </w:rPr>
        <w:t>2.1</w:t>
      </w:r>
      <w:r>
        <w:rPr>
          <w:i/>
          <w:iCs/>
        </w:rPr>
        <w:t xml:space="preserve"> Tactics for </w:t>
      </w:r>
      <w:r>
        <w:rPr>
          <w:i/>
          <w:iCs/>
          <w:lang w:eastAsia="zh-CN"/>
        </w:rPr>
        <w:t>p</w:t>
      </w:r>
      <w:r>
        <w:rPr>
          <w:i/>
          <w:iCs/>
        </w:rPr>
        <w:t xml:space="preserve">ower-balancing </w:t>
      </w:r>
    </w:p>
    <w:p w14:paraId="470AD49C" w14:textId="77777777" w:rsidR="00AD548A" w:rsidRDefault="00000000">
      <w:pPr>
        <w:ind w:firstLineChars="0" w:firstLine="0"/>
      </w:pPr>
      <w:r>
        <w:t xml:space="preserve">Achieving power-balancing is a major objective for most weaker companies in relationships </w:t>
      </w:r>
      <w:sdt>
        <w:sdtPr>
          <w:tag w:val="MENDELEY_CITATION_v3_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"/>
          <w:id w:val="147452321"/>
          <w:placeholder>
            <w:docPart w:val="{a9e4b044-ceb9-491b-9d41-20ba058a8ce2}"/>
          </w:placeholder>
        </w:sdtPr>
        <w:sdtContent>
          <w:r>
            <w:t xml:space="preserve">(Rehme </w:t>
          </w:r>
          <w:r>
            <w:rPr>
              <w:i/>
              <w:iCs/>
            </w:rPr>
            <w:t>et al.</w:t>
          </w:r>
          <w:r>
            <w:t>, 2016; Siemieniako and Mitręga, 2018</w:t>
          </w:r>
          <w:r>
            <w:rPr>
              <w:rFonts w:hint="eastAsia"/>
              <w:lang w:val="en-US"/>
            </w:rPr>
            <w:t>; Siemieniako et al., 2023</w:t>
          </w:r>
          <w:r>
            <w:t>)</w:t>
          </w:r>
        </w:sdtContent>
      </w:sdt>
      <w:r>
        <w:t xml:space="preserve">. Research on managing asymmetrical business relationships, especially from the supplier’s perspective, is scattered across various academic disciplines. </w:t>
      </w:r>
      <w:r>
        <w:rPr>
          <w:rStyle w:val="Strong"/>
          <w:b w:val="0"/>
          <w:bCs/>
          <w:szCs w:val="24"/>
        </w:rPr>
        <w:t xml:space="preserve">These tactics </w:t>
      </w:r>
      <w:r>
        <w:rPr>
          <w:rStyle w:val="Strong"/>
          <w:b w:val="0"/>
          <w:bCs/>
          <w:szCs w:val="24"/>
        </w:rPr>
        <w:lastRenderedPageBreak/>
        <w:t>can be broadly categorized into two streams</w:t>
      </w:r>
      <w:r>
        <w:rPr>
          <w:rStyle w:val="Strong"/>
          <w:rFonts w:hint="eastAsia"/>
          <w:b w:val="0"/>
          <w:bCs/>
          <w:szCs w:val="24"/>
          <w:lang w:val="en-US"/>
        </w:rPr>
        <w:t>, including</w:t>
      </w:r>
      <w:r>
        <w:rPr>
          <w:rStyle w:val="Strong"/>
          <w:b w:val="0"/>
          <w:bCs/>
          <w:szCs w:val="24"/>
        </w:rPr>
        <w:t xml:space="preserve"> those focused on internal relationship management and those focused on external network positioning.</w:t>
      </w:r>
    </w:p>
    <w:p w14:paraId="058B4901" w14:textId="77777777" w:rsidR="00AD548A" w:rsidRDefault="00000000">
      <w:r>
        <w:rPr>
          <w:rStyle w:val="Strong"/>
          <w:rFonts w:hint="eastAsia"/>
          <w:b w:val="0"/>
          <w:bCs/>
          <w:szCs w:val="24"/>
          <w:lang w:val="en-US"/>
        </w:rPr>
        <w:t xml:space="preserve">As shown in </w:t>
      </w:r>
      <w:r>
        <w:rPr>
          <w:rStyle w:val="Strong"/>
          <w:rFonts w:hint="eastAsia"/>
          <w:szCs w:val="24"/>
          <w:lang w:val="en-US"/>
        </w:rPr>
        <w:t>Table 2</w:t>
      </w:r>
      <w:r>
        <w:rPr>
          <w:rStyle w:val="Strong"/>
          <w:rFonts w:hint="eastAsia"/>
          <w:b w:val="0"/>
          <w:bCs/>
          <w:szCs w:val="24"/>
          <w:lang w:val="en-US"/>
        </w:rPr>
        <w:t>, t</w:t>
      </w:r>
      <w:r>
        <w:rPr>
          <w:rStyle w:val="Strong"/>
          <w:b w:val="0"/>
          <w:bCs/>
          <w:szCs w:val="24"/>
        </w:rPr>
        <w:t>he first stream emphasizes internally-focused relational tactics that aim to increase a supplier's value and indispensability within the dyadic relationship. The second stream involves externally-focused networking and portfolio tactics designed to reduce dependency on any single powerful partner.</w:t>
      </w:r>
      <w:r>
        <w:rPr>
          <w:rStyle w:val="Strong"/>
          <w:rFonts w:hint="eastAsia"/>
          <w:b w:val="0"/>
          <w:bCs/>
          <w:szCs w:val="24"/>
          <w:lang w:val="en-US"/>
        </w:rPr>
        <w:t xml:space="preserve"> </w:t>
      </w:r>
      <w:r>
        <w:t xml:space="preserve">While these fields do not always centre on the supplier’s viewpoint, they still provide important insights into strategies that suppliers can use to navigate and address power imbalances. </w:t>
      </w:r>
    </w:p>
    <w:p w14:paraId="4B7C6728" w14:textId="77777777" w:rsidR="00AD548A" w:rsidRDefault="00000000">
      <w:pPr>
        <w:jc w:val="center"/>
        <w:rPr>
          <w:lang w:val="en-US"/>
        </w:rPr>
      </w:pPr>
      <w:r>
        <w:rPr>
          <w:rFonts w:hint="eastAsia"/>
          <w:lang w:val="en-US"/>
        </w:rPr>
        <w:t>[Insert Table 2 about here]</w:t>
      </w:r>
    </w:p>
    <w:p w14:paraId="7E8E416B" w14:textId="77777777" w:rsidR="00AD548A" w:rsidRDefault="00000000">
      <w:r>
        <w:rPr>
          <w:rFonts w:hint="eastAsia"/>
          <w:lang w:val="en-US"/>
        </w:rPr>
        <w:t>T</w:t>
      </w:r>
      <w:r>
        <w:t>his body of work provides a toolkit for weaker firms to enhance their power position by becoming more valuable partners or by creating alternative options, thereby balancing the scales in asymmetrical relationships.</w:t>
      </w:r>
    </w:p>
    <w:p w14:paraId="3270A88C" w14:textId="77777777" w:rsidR="00AD548A" w:rsidRDefault="00000000">
      <w:pPr>
        <w:pStyle w:val="Heading3"/>
        <w:rPr>
          <w:color w:val="auto"/>
        </w:rPr>
      </w:pPr>
      <w:r>
        <w:rPr>
          <w:color w:val="auto"/>
        </w:rPr>
        <w:t xml:space="preserve">2.2.2. The </w:t>
      </w:r>
      <w:r>
        <w:rPr>
          <w:rFonts w:hint="eastAsia"/>
          <w:color w:val="auto"/>
          <w:lang w:eastAsia="zh-CN"/>
        </w:rPr>
        <w:t>r</w:t>
      </w:r>
      <w:r>
        <w:rPr>
          <w:color w:val="auto"/>
        </w:rPr>
        <w:t xml:space="preserve">esource </w:t>
      </w:r>
      <w:r>
        <w:rPr>
          <w:rFonts w:hint="eastAsia"/>
          <w:color w:val="auto"/>
          <w:lang w:eastAsia="zh-CN"/>
        </w:rPr>
        <w:t>f</w:t>
      </w:r>
      <w:r>
        <w:rPr>
          <w:color w:val="auto"/>
        </w:rPr>
        <w:t xml:space="preserve">allacy in </w:t>
      </w:r>
      <w:r>
        <w:rPr>
          <w:rFonts w:hint="eastAsia"/>
          <w:color w:val="auto"/>
          <w:lang w:eastAsia="zh-CN"/>
        </w:rPr>
        <w:t>h</w:t>
      </w:r>
      <w:r>
        <w:rPr>
          <w:color w:val="auto"/>
        </w:rPr>
        <w:t>igh-</w:t>
      </w:r>
      <w:r>
        <w:rPr>
          <w:rFonts w:hint="eastAsia"/>
          <w:color w:val="auto"/>
          <w:lang w:eastAsia="zh-CN"/>
        </w:rPr>
        <w:t>v</w:t>
      </w:r>
      <w:r>
        <w:rPr>
          <w:color w:val="auto"/>
        </w:rPr>
        <w:t xml:space="preserve">olatility </w:t>
      </w:r>
      <w:r>
        <w:rPr>
          <w:rFonts w:hint="eastAsia"/>
          <w:color w:val="auto"/>
          <w:lang w:eastAsia="zh-CN"/>
        </w:rPr>
        <w:t>c</w:t>
      </w:r>
      <w:r>
        <w:rPr>
          <w:color w:val="auto"/>
        </w:rPr>
        <w:t>ontexts</w:t>
      </w:r>
    </w:p>
    <w:p w14:paraId="26FED44F" w14:textId="77777777" w:rsidR="00AD548A" w:rsidRDefault="00000000">
      <w:pPr>
        <w:ind w:firstLineChars="0" w:firstLine="0"/>
      </w:pPr>
      <w:r>
        <w:rPr>
          <w:rStyle w:val="Strong"/>
          <w:b w:val="0"/>
          <w:bCs/>
          <w:szCs w:val="24"/>
        </w:rPr>
        <w:t xml:space="preserve">While the </w:t>
      </w:r>
      <w:r>
        <w:rPr>
          <w:rStyle w:val="Strong"/>
          <w:rFonts w:hint="eastAsia"/>
          <w:b w:val="0"/>
          <w:bCs/>
          <w:szCs w:val="24"/>
          <w:lang w:val="en-US"/>
        </w:rPr>
        <w:t>research</w:t>
      </w:r>
      <w:r>
        <w:rPr>
          <w:rStyle w:val="Strong"/>
          <w:b w:val="0"/>
          <w:bCs/>
          <w:szCs w:val="24"/>
        </w:rPr>
        <w:t xml:space="preserve"> of power-balancing tactics is theoretically robust, its practical application reveals a significant limitation</w:t>
      </w:r>
      <w:r>
        <w:rPr>
          <w:rStyle w:val="Strong"/>
          <w:rFonts w:hint="eastAsia"/>
          <w:b w:val="0"/>
          <w:bCs/>
          <w:szCs w:val="24"/>
          <w:lang w:val="en-US"/>
        </w:rPr>
        <w:t xml:space="preserve"> regarding the natural </w:t>
      </w:r>
      <w:r>
        <w:rPr>
          <w:rStyle w:val="Strong"/>
          <w:b w:val="0"/>
          <w:bCs/>
          <w:szCs w:val="24"/>
        </w:rPr>
        <w:t>resource fallacy</w:t>
      </w:r>
      <w:r>
        <w:rPr>
          <w:rStyle w:val="Strong"/>
          <w:rFonts w:hint="eastAsia"/>
          <w:b w:val="0"/>
          <w:bCs/>
          <w:szCs w:val="24"/>
          <w:lang w:val="en-US"/>
        </w:rPr>
        <w:t xml:space="preserve"> of SMEs.</w:t>
      </w:r>
      <w:r>
        <w:rPr>
          <w:rStyle w:val="Strong"/>
          <w:b w:val="0"/>
          <w:bCs/>
          <w:szCs w:val="24"/>
        </w:rPr>
        <w:t xml:space="preserve"> </w:t>
      </w:r>
      <w:r>
        <w:rPr>
          <w:rStyle w:val="Strong"/>
          <w:rFonts w:hint="eastAsia"/>
          <w:b w:val="0"/>
          <w:bCs/>
          <w:szCs w:val="24"/>
          <w:lang w:val="en-US"/>
        </w:rPr>
        <w:t>W</w:t>
      </w:r>
      <w:r>
        <w:rPr>
          <w:rStyle w:val="Strong"/>
          <w:b w:val="0"/>
          <w:bCs/>
          <w:szCs w:val="24"/>
        </w:rPr>
        <w:t>eaker firms possess the slack resources</w:t>
      </w:r>
      <w:r>
        <w:rPr>
          <w:rStyle w:val="Strong"/>
          <w:rFonts w:hint="eastAsia"/>
          <w:b w:val="0"/>
          <w:bCs/>
          <w:szCs w:val="24"/>
          <w:lang w:val="en-US"/>
        </w:rPr>
        <w:t xml:space="preserve">, such as </w:t>
      </w:r>
      <w:r>
        <w:rPr>
          <w:rStyle w:val="Strong"/>
          <w:b w:val="0"/>
          <w:bCs/>
          <w:szCs w:val="24"/>
        </w:rPr>
        <w:t xml:space="preserve">financial capital, managerial </w:t>
      </w:r>
      <w:r>
        <w:rPr>
          <w:rStyle w:val="Strong"/>
          <w:rFonts w:hint="eastAsia"/>
          <w:b w:val="0"/>
          <w:bCs/>
          <w:szCs w:val="24"/>
          <w:lang w:val="en-US"/>
        </w:rPr>
        <w:t>capabilities</w:t>
      </w:r>
      <w:r>
        <w:rPr>
          <w:rStyle w:val="Strong"/>
          <w:b w:val="0"/>
          <w:bCs/>
          <w:szCs w:val="24"/>
        </w:rPr>
        <w:t>, and time</w:t>
      </w:r>
      <w:r>
        <w:rPr>
          <w:rStyle w:val="Strong"/>
          <w:rFonts w:hint="eastAsia"/>
          <w:b w:val="0"/>
          <w:bCs/>
          <w:szCs w:val="24"/>
          <w:lang w:val="en-US"/>
        </w:rPr>
        <w:t xml:space="preserve">, that are </w:t>
      </w:r>
      <w:r>
        <w:rPr>
          <w:rStyle w:val="Strong"/>
          <w:b w:val="0"/>
          <w:bCs/>
          <w:szCs w:val="24"/>
        </w:rPr>
        <w:t>necessary to invest in medium-to-long-term strategic initiatives</w:t>
      </w:r>
      <w:r>
        <w:rPr>
          <w:rStyle w:val="Strong"/>
          <w:rFonts w:hint="eastAsia"/>
          <w:b w:val="0"/>
          <w:bCs/>
          <w:szCs w:val="24"/>
          <w:lang w:val="en-US"/>
        </w:rPr>
        <w:t xml:space="preserve">, </w:t>
      </w:r>
      <w:r>
        <w:rPr>
          <w:rStyle w:val="Strong"/>
          <w:b w:val="0"/>
          <w:bCs/>
          <w:szCs w:val="24"/>
        </w:rPr>
        <w:t xml:space="preserve">particularly in the context of high-volatility environments </w:t>
      </w:r>
      <w:r>
        <w:rPr>
          <w:rStyle w:val="Strong"/>
          <w:rFonts w:hint="eastAsia"/>
          <w:b w:val="0"/>
          <w:bCs/>
          <w:szCs w:val="24"/>
          <w:lang w:val="en-US"/>
        </w:rPr>
        <w:t xml:space="preserve">as these resources </w:t>
      </w:r>
      <w:r>
        <w:rPr>
          <w:rStyle w:val="Strong"/>
          <w:b w:val="0"/>
          <w:bCs/>
          <w:szCs w:val="24"/>
        </w:rPr>
        <w:t xml:space="preserve">are </w:t>
      </w:r>
      <w:r>
        <w:rPr>
          <w:rStyle w:val="Strong"/>
          <w:rFonts w:hint="eastAsia"/>
          <w:b w:val="0"/>
          <w:bCs/>
          <w:szCs w:val="24"/>
          <w:lang w:val="en-US"/>
        </w:rPr>
        <w:t>m</w:t>
      </w:r>
      <w:r>
        <w:rPr>
          <w:rFonts w:hint="eastAsia"/>
          <w:lang w:val="en-US"/>
        </w:rPr>
        <w:t xml:space="preserve">ore </w:t>
      </w:r>
      <w:r>
        <w:t xml:space="preserve">scarce (Brito </w:t>
      </w:r>
      <w:r>
        <w:rPr>
          <w:rFonts w:hint="eastAsia"/>
        </w:rPr>
        <w:t>and</w:t>
      </w:r>
      <w:r>
        <w:t xml:space="preserve"> Miguel, 2017; Benton </w:t>
      </w:r>
      <w:r>
        <w:rPr>
          <w:rFonts w:hint="eastAsia"/>
        </w:rPr>
        <w:t>and</w:t>
      </w:r>
      <w:r>
        <w:t xml:space="preserve"> Maloni, 2005).</w:t>
      </w:r>
    </w:p>
    <w:p w14:paraId="19239F30" w14:textId="77777777" w:rsidR="00AD548A" w:rsidRDefault="00000000">
      <w:r>
        <w:t>During a crisis such as the COVID-19 pandemic, the foundational conditions for executing these supplier-c</w:t>
      </w:r>
      <w:r>
        <w:rPr>
          <w:rStyle w:val="Strong"/>
          <w:b w:val="0"/>
          <w:bCs/>
          <w:szCs w:val="24"/>
        </w:rPr>
        <w:t xml:space="preserve">entric strategies often collapse. The suggestion that a small supplier should invest significant funds in specialized technology, dedicate key </w:t>
      </w:r>
      <w:r>
        <w:rPr>
          <w:rStyle w:val="Strong"/>
          <w:b w:val="0"/>
          <w:bCs/>
          <w:szCs w:val="24"/>
        </w:rPr>
        <w:lastRenderedPageBreak/>
        <w:t>personnel to programs, or expend effort cultivating new network alliances is often pragmatically untenable</w:t>
      </w:r>
      <w:r>
        <w:rPr>
          <w:rStyle w:val="Strong"/>
          <w:rFonts w:hint="eastAsia"/>
          <w:b w:val="0"/>
          <w:bCs/>
          <w:szCs w:val="24"/>
          <w:lang w:val="en-US"/>
        </w:rPr>
        <w:t>, as they</w:t>
      </w:r>
      <w:r>
        <w:rPr>
          <w:rStyle w:val="Strong"/>
          <w:b w:val="0"/>
          <w:bCs/>
          <w:szCs w:val="24"/>
        </w:rPr>
        <w:t xml:space="preserve"> require a stable operational foundation that crises dismantle. For instance, the networking tactics suggested for the COVID-19 context (Mitręga and </w:t>
      </w:r>
      <w:r>
        <w:t>Choi, 2021), while valuable, become exponentially more difficult to execute amid lockdowns, supply chain paralysis, and intense pressure to solve immediate cash-flow problems.</w:t>
      </w:r>
    </w:p>
    <w:p w14:paraId="069EA8AB" w14:textId="77777777" w:rsidR="00AD548A" w:rsidRDefault="00000000">
      <w:pPr>
        <w:rPr>
          <w:rStyle w:val="Strong"/>
          <w:b w:val="0"/>
          <w:bCs/>
          <w:szCs w:val="24"/>
        </w:rPr>
      </w:pPr>
      <w:r>
        <w:rPr>
          <w:rFonts w:hint="eastAsia"/>
          <w:lang w:val="en-US"/>
        </w:rPr>
        <w:t>Thus, t</w:t>
      </w:r>
      <w:r>
        <w:t xml:space="preserve">he </w:t>
      </w:r>
      <w:r>
        <w:rPr>
          <w:rFonts w:hint="eastAsia"/>
          <w:lang w:val="en-US"/>
        </w:rPr>
        <w:t xml:space="preserve">current </w:t>
      </w:r>
      <w:r>
        <w:t xml:space="preserve">literature effectively </w:t>
      </w:r>
      <w:r>
        <w:rPr>
          <w:rFonts w:hint="eastAsia"/>
          <w:lang w:val="en-US"/>
        </w:rPr>
        <w:t>answers h</w:t>
      </w:r>
      <w:r>
        <w:t xml:space="preserve">ow can </w:t>
      </w:r>
      <w:r>
        <w:rPr>
          <w:rFonts w:hint="eastAsia"/>
          <w:lang w:val="en-US"/>
        </w:rPr>
        <w:t>a s</w:t>
      </w:r>
      <w:r>
        <w:t xml:space="preserve">upplier become more valuable or less dependent on </w:t>
      </w:r>
      <w:r>
        <w:rPr>
          <w:rFonts w:hint="eastAsia"/>
          <w:lang w:val="en-US"/>
        </w:rPr>
        <w:t>a power</w:t>
      </w:r>
      <w:r>
        <w:rPr>
          <w:rStyle w:val="Strong"/>
          <w:rFonts w:hint="eastAsia"/>
          <w:b w:val="0"/>
          <w:bCs/>
          <w:szCs w:val="24"/>
          <w:lang w:val="en-US"/>
        </w:rPr>
        <w:t>ful b</w:t>
      </w:r>
      <w:r>
        <w:rPr>
          <w:rStyle w:val="Strong"/>
          <w:b w:val="0"/>
          <w:bCs/>
          <w:szCs w:val="24"/>
        </w:rPr>
        <w:t>uyer</w:t>
      </w:r>
      <w:r>
        <w:rPr>
          <w:rStyle w:val="Strong"/>
          <w:rFonts w:hint="eastAsia"/>
          <w:b w:val="0"/>
          <w:bCs/>
          <w:szCs w:val="24"/>
          <w:lang w:val="en-US"/>
        </w:rPr>
        <w:t>.</w:t>
      </w:r>
      <w:r>
        <w:rPr>
          <w:rStyle w:val="Strong"/>
          <w:b w:val="0"/>
          <w:bCs/>
          <w:szCs w:val="24"/>
        </w:rPr>
        <w:t xml:space="preserve"> However, it fails to address the pressing question that arises during extreme turbulence</w:t>
      </w:r>
      <w:r>
        <w:rPr>
          <w:rStyle w:val="Strong"/>
          <w:rFonts w:hint="eastAsia"/>
          <w:b w:val="0"/>
          <w:bCs/>
          <w:szCs w:val="24"/>
          <w:lang w:val="en-US"/>
        </w:rPr>
        <w:t>, that is w</w:t>
      </w:r>
      <w:r>
        <w:rPr>
          <w:rStyle w:val="Strong"/>
          <w:b w:val="0"/>
          <w:bCs/>
          <w:szCs w:val="24"/>
        </w:rPr>
        <w:t xml:space="preserve">hat can be done when </w:t>
      </w:r>
      <w:r>
        <w:rPr>
          <w:rStyle w:val="Strong"/>
          <w:rFonts w:hint="eastAsia"/>
          <w:b w:val="0"/>
          <w:bCs/>
          <w:szCs w:val="24"/>
          <w:lang w:val="en-US"/>
        </w:rPr>
        <w:t>the s</w:t>
      </w:r>
      <w:r>
        <w:rPr>
          <w:rStyle w:val="Strong"/>
          <w:b w:val="0"/>
          <w:bCs/>
          <w:szCs w:val="24"/>
        </w:rPr>
        <w:t>upplier lacks the capacity to enact the self-help strategie</w:t>
      </w:r>
      <w:r>
        <w:rPr>
          <w:rStyle w:val="Strong"/>
          <w:rFonts w:hint="eastAsia"/>
          <w:b w:val="0"/>
          <w:bCs/>
          <w:szCs w:val="24"/>
          <w:lang w:val="en-US"/>
        </w:rPr>
        <w:t>s,</w:t>
      </w:r>
      <w:r>
        <w:rPr>
          <w:rStyle w:val="Strong"/>
          <w:b w:val="0"/>
          <w:bCs/>
          <w:szCs w:val="24"/>
        </w:rPr>
        <w:t xml:space="preserve"> neglecting the potential for third-party actors to alter the structure of the dyadic relationship.</w:t>
      </w:r>
    </w:p>
    <w:p w14:paraId="0FB94C64" w14:textId="77777777" w:rsidR="00AD548A" w:rsidRDefault="00000000">
      <w:pPr>
        <w:pStyle w:val="Heading2"/>
        <w:rPr>
          <w:rStyle w:val="Strong"/>
          <w:rFonts w:eastAsiaTheme="minorEastAsia"/>
          <w:b/>
          <w:bCs w:val="0"/>
          <w:lang w:eastAsia="zh-CN"/>
        </w:rPr>
      </w:pPr>
      <w:r>
        <w:rPr>
          <w:rStyle w:val="Strong"/>
          <w:rFonts w:hint="eastAsia"/>
          <w:b/>
          <w:bCs w:val="0"/>
          <w:lang w:eastAsia="zh-CN"/>
        </w:rPr>
        <w:t>2.3 Institutions in volatile contexts</w:t>
      </w:r>
    </w:p>
    <w:p w14:paraId="52B44882" w14:textId="77777777" w:rsidR="00AD548A" w:rsidRDefault="00000000">
      <w:pPr>
        <w:pStyle w:val="Heading3"/>
        <w:rPr>
          <w:rStyle w:val="Strong"/>
          <w:b/>
          <w:bCs w:val="0"/>
          <w:color w:val="auto"/>
        </w:rPr>
      </w:pPr>
      <w:r>
        <w:rPr>
          <w:rStyle w:val="Strong"/>
          <w:b/>
          <w:bCs w:val="0"/>
          <w:color w:val="auto"/>
        </w:rPr>
        <w:t xml:space="preserve">2.3.1. Institutions as </w:t>
      </w:r>
      <w:r>
        <w:rPr>
          <w:rStyle w:val="Strong"/>
          <w:rFonts w:hint="eastAsia"/>
          <w:b/>
          <w:bCs w:val="0"/>
          <w:color w:val="auto"/>
          <w:lang w:eastAsia="zh-CN"/>
        </w:rPr>
        <w:t>s</w:t>
      </w:r>
      <w:r>
        <w:rPr>
          <w:rStyle w:val="Strong"/>
          <w:b/>
          <w:bCs w:val="0"/>
          <w:color w:val="auto"/>
        </w:rPr>
        <w:t xml:space="preserve">ources of </w:t>
      </w:r>
      <w:r>
        <w:rPr>
          <w:rStyle w:val="Strong"/>
          <w:rFonts w:hint="eastAsia"/>
          <w:b/>
          <w:bCs w:val="0"/>
          <w:color w:val="auto"/>
          <w:lang w:eastAsia="zh-CN"/>
        </w:rPr>
        <w:t>p</w:t>
      </w:r>
      <w:r>
        <w:rPr>
          <w:rStyle w:val="Strong"/>
          <w:b/>
          <w:bCs w:val="0"/>
          <w:color w:val="auto"/>
        </w:rPr>
        <w:t>ressure</w:t>
      </w:r>
    </w:p>
    <w:p w14:paraId="694E7532" w14:textId="77777777" w:rsidR="00AD548A" w:rsidRDefault="00000000">
      <w:pPr>
        <w:ind w:firstLineChars="0" w:firstLine="0"/>
      </w:pPr>
      <w:r>
        <w:rPr>
          <w:rStyle w:val="Strong"/>
          <w:b w:val="0"/>
          <w:bCs/>
          <w:szCs w:val="24"/>
        </w:rPr>
        <w:t xml:space="preserve">The application of institutional theory in supply chain and management literature has been predominantly shaped by the constraining process that forces one unit to resemble other units that face the same set of environmental conditions (DiMaggio </w:t>
      </w:r>
      <w:r>
        <w:rPr>
          <w:rStyle w:val="Strong"/>
          <w:rFonts w:hint="eastAsia"/>
          <w:b w:val="0"/>
          <w:bCs/>
          <w:szCs w:val="24"/>
        </w:rPr>
        <w:t>and</w:t>
      </w:r>
      <w:r>
        <w:rPr>
          <w:rStyle w:val="Strong"/>
          <w:b w:val="0"/>
          <w:bCs/>
          <w:szCs w:val="24"/>
        </w:rPr>
        <w:t xml:space="preserve"> Powell, 1983). This perspective overwhelmingly frames institutions as external ent</w:t>
      </w:r>
      <w:r>
        <w:t xml:space="preserve">ities that impose conformity through three key isomorphic pressures (Sahin </w:t>
      </w:r>
      <w:r>
        <w:rPr>
          <w:rFonts w:hint="eastAsia"/>
        </w:rPr>
        <w:t>and</w:t>
      </w:r>
      <w:r>
        <w:t xml:space="preserve"> Mert, 2023; Kauppi, 2013).</w:t>
      </w:r>
    </w:p>
    <w:p w14:paraId="01F2F46E" w14:textId="77777777" w:rsidR="00AD548A" w:rsidRDefault="00000000">
      <w:r>
        <w:t xml:space="preserve">Coercive </w:t>
      </w:r>
      <w:r>
        <w:rPr>
          <w:rFonts w:hint="eastAsia"/>
          <w:lang w:val="en-US"/>
        </w:rPr>
        <w:t>p</w:t>
      </w:r>
      <w:r>
        <w:t>ressures</w:t>
      </w:r>
      <w:r>
        <w:rPr>
          <w:rStyle w:val="Strong"/>
          <w:b w:val="0"/>
          <w:bCs/>
          <w:szCs w:val="24"/>
        </w:rPr>
        <w:t xml:space="preserve"> often manifested through government regulations, legal requirements, and mandates from powerful customers that compel specific </w:t>
      </w:r>
      <w:r>
        <w:rPr>
          <w:rStyle w:val="Strong"/>
          <w:b w:val="0"/>
          <w:bCs/>
          <w:szCs w:val="24"/>
        </w:rPr>
        <w:lastRenderedPageBreak/>
        <w:t xml:space="preserve">organizational behaviors (Cai et al., 2010; Thoradeniya et al., 2022). Mimetic </w:t>
      </w:r>
      <w:r>
        <w:rPr>
          <w:rStyle w:val="Strong"/>
          <w:rFonts w:hint="eastAsia"/>
          <w:b w:val="0"/>
          <w:bCs/>
          <w:szCs w:val="24"/>
          <w:lang w:val="en-US"/>
        </w:rPr>
        <w:t>p</w:t>
      </w:r>
      <w:r>
        <w:rPr>
          <w:rStyle w:val="Strong"/>
          <w:b w:val="0"/>
          <w:bCs/>
          <w:szCs w:val="24"/>
        </w:rPr>
        <w:t xml:space="preserve">ressures arise in conditions of uncertainty, where organizations model themselves after other more successful or legitimate competitors to gain legitimacy and reduce risk (DiMaggio </w:t>
      </w:r>
      <w:r>
        <w:rPr>
          <w:rStyle w:val="Strong"/>
          <w:rFonts w:hint="eastAsia"/>
          <w:b w:val="0"/>
          <w:bCs/>
          <w:szCs w:val="24"/>
        </w:rPr>
        <w:t>and</w:t>
      </w:r>
      <w:r>
        <w:rPr>
          <w:rStyle w:val="Strong"/>
          <w:b w:val="0"/>
          <w:bCs/>
          <w:szCs w:val="24"/>
        </w:rPr>
        <w:t xml:space="preserve"> Powell, 1983).</w:t>
      </w:r>
      <w:r>
        <w:rPr>
          <w:rStyle w:val="Strong"/>
          <w:rFonts w:hint="eastAsia"/>
          <w:b w:val="0"/>
          <w:bCs/>
          <w:szCs w:val="24"/>
          <w:lang w:val="en-US"/>
        </w:rPr>
        <w:t xml:space="preserve"> </w:t>
      </w:r>
      <w:r>
        <w:rPr>
          <w:rStyle w:val="Strong"/>
          <w:b w:val="0"/>
          <w:bCs/>
          <w:szCs w:val="24"/>
        </w:rPr>
        <w:t>Normative pressures includes the influence of industry standards, educational institutions, and professional associations that create a common cognitive and</w:t>
      </w:r>
      <w:r>
        <w:t xml:space="preserve"> normative base (Sahin </w:t>
      </w:r>
      <w:r>
        <w:rPr>
          <w:rFonts w:hint="eastAsia"/>
        </w:rPr>
        <w:t>and</w:t>
      </w:r>
      <w:r>
        <w:t xml:space="preserve"> Mert, 2023), guiding what is considered appropriate and professional conduct.</w:t>
      </w:r>
    </w:p>
    <w:p w14:paraId="6097DDB3" w14:textId="77777777" w:rsidR="00AD548A" w:rsidRDefault="00000000">
      <w:pPr>
        <w:rPr>
          <w:rStyle w:val="Strong"/>
          <w:b w:val="0"/>
          <w:bCs/>
          <w:szCs w:val="24"/>
        </w:rPr>
      </w:pPr>
      <w:r>
        <w:t>Within this dominant framework</w:t>
      </w:r>
      <w:r>
        <w:rPr>
          <w:rStyle w:val="Strong"/>
          <w:b w:val="0"/>
          <w:bCs/>
          <w:szCs w:val="24"/>
        </w:rPr>
        <w:t>, institutions are thus conceptualized as a pervasive environmental force that shapes, limits, and homogenizes organizational action to ensure legitimacy and survival. The focus is on how institutions constrain behavior to fit within established boundaries</w:t>
      </w:r>
      <w:r>
        <w:rPr>
          <w:rStyle w:val="Strong"/>
          <w:rFonts w:hint="eastAsia"/>
          <w:b w:val="0"/>
          <w:bCs/>
          <w:szCs w:val="24"/>
          <w:lang w:val="en-US"/>
        </w:rPr>
        <w:t xml:space="preserve"> to create</w:t>
      </w:r>
      <w:r>
        <w:rPr>
          <w:rStyle w:val="Strong"/>
          <w:b w:val="0"/>
          <w:bCs/>
          <w:szCs w:val="24"/>
        </w:rPr>
        <w:t xml:space="preserve"> organizational conformity.</w:t>
      </w:r>
    </w:p>
    <w:p w14:paraId="3D210FA5" w14:textId="77777777" w:rsidR="00AD548A" w:rsidRDefault="00000000">
      <w:pPr>
        <w:pStyle w:val="Heading3"/>
        <w:rPr>
          <w:rStyle w:val="Strong"/>
          <w:rFonts w:eastAsiaTheme="minorEastAsia"/>
          <w:b/>
          <w:bCs w:val="0"/>
          <w:color w:val="auto"/>
          <w:lang w:eastAsia="zh-CN"/>
        </w:rPr>
      </w:pPr>
      <w:r>
        <w:rPr>
          <w:rStyle w:val="Strong"/>
          <w:b/>
          <w:bCs w:val="0"/>
          <w:color w:val="auto"/>
        </w:rPr>
        <w:t xml:space="preserve">2.3.2. Institutions as </w:t>
      </w:r>
      <w:r>
        <w:rPr>
          <w:rStyle w:val="Strong"/>
          <w:rFonts w:hint="eastAsia"/>
          <w:b/>
          <w:bCs w:val="0"/>
          <w:color w:val="auto"/>
          <w:lang w:eastAsia="zh-CN"/>
        </w:rPr>
        <w:t>e</w:t>
      </w:r>
      <w:r>
        <w:rPr>
          <w:rStyle w:val="Strong"/>
          <w:b/>
          <w:bCs w:val="0"/>
          <w:color w:val="auto"/>
        </w:rPr>
        <w:t xml:space="preserve">nabling </w:t>
      </w:r>
      <w:r>
        <w:rPr>
          <w:rStyle w:val="Strong"/>
          <w:rFonts w:hint="eastAsia"/>
          <w:b/>
          <w:bCs w:val="0"/>
          <w:color w:val="auto"/>
          <w:lang w:eastAsia="zh-CN"/>
        </w:rPr>
        <w:t>a</w:t>
      </w:r>
      <w:r>
        <w:rPr>
          <w:rStyle w:val="Strong"/>
          <w:b/>
          <w:bCs w:val="0"/>
          <w:color w:val="auto"/>
        </w:rPr>
        <w:t>ctors</w:t>
      </w:r>
      <w:r>
        <w:rPr>
          <w:rStyle w:val="Strong"/>
          <w:rFonts w:hint="eastAsia"/>
          <w:b/>
          <w:bCs w:val="0"/>
          <w:color w:val="auto"/>
          <w:lang w:eastAsia="zh-CN"/>
        </w:rPr>
        <w:t xml:space="preserve"> in volatile contexts</w:t>
      </w:r>
    </w:p>
    <w:p w14:paraId="386201D6" w14:textId="77777777" w:rsidR="00AD548A" w:rsidRDefault="00000000">
      <w:pPr>
        <w:ind w:firstLineChars="0" w:firstLine="0"/>
        <w:rPr>
          <w:rStyle w:val="Strong"/>
          <w:b w:val="0"/>
          <w:bCs/>
          <w:szCs w:val="24"/>
        </w:rPr>
      </w:pPr>
      <w:r>
        <w:rPr>
          <w:rStyle w:val="Strong"/>
          <w:b w:val="0"/>
          <w:bCs/>
          <w:szCs w:val="24"/>
        </w:rPr>
        <w:t xml:space="preserve">In direct contrast to the constraining view, a more nuanced body of literature—often emerging from economic sociology, development studies, and </w:t>
      </w:r>
      <w:r>
        <w:rPr>
          <w:rStyle w:val="Strong"/>
          <w:rFonts w:hint="eastAsia"/>
          <w:b w:val="0"/>
          <w:bCs/>
          <w:szCs w:val="24"/>
          <w:lang w:val="en-US"/>
        </w:rPr>
        <w:t xml:space="preserve">especially </w:t>
      </w:r>
      <w:r>
        <w:rPr>
          <w:rStyle w:val="Strong"/>
          <w:b w:val="0"/>
          <w:bCs/>
          <w:szCs w:val="24"/>
        </w:rPr>
        <w:t xml:space="preserve">recent crisis management research—conceptualizes institutions as multifaceted entities that can also act as enabling actors. This perspective does not invalidate the traditional triad of pressures but rather complements it by arguing that institutions are not merely rule-setters and legitimizers, but also resource providers, market stabilizers, and capacity builders (e.g., Kinra </w:t>
      </w:r>
      <w:r>
        <w:rPr>
          <w:rStyle w:val="Strong"/>
          <w:rFonts w:hint="eastAsia"/>
          <w:b w:val="0"/>
          <w:bCs/>
          <w:szCs w:val="24"/>
        </w:rPr>
        <w:t>and</w:t>
      </w:r>
      <w:r>
        <w:rPr>
          <w:rStyle w:val="Strong"/>
          <w:b w:val="0"/>
          <w:bCs/>
          <w:szCs w:val="24"/>
        </w:rPr>
        <w:t xml:space="preserve"> Kotzab, 2008; Cai et al., 2010). This enabling role involves the active provision of resources and support that empower organizations to act, innovate, and navigate challenges, rather than solely being pressured to conform.</w:t>
      </w:r>
    </w:p>
    <w:p w14:paraId="22ED40DE" w14:textId="77777777" w:rsidR="00AD548A" w:rsidRDefault="00000000">
      <w:pPr>
        <w:rPr>
          <w:rStyle w:val="Strong"/>
          <w:b w:val="0"/>
          <w:bCs/>
          <w:szCs w:val="24"/>
        </w:rPr>
      </w:pPr>
      <w:r>
        <w:rPr>
          <w:rStyle w:val="Strong"/>
          <w:b w:val="0"/>
          <w:bCs/>
          <w:szCs w:val="24"/>
        </w:rPr>
        <w:t xml:space="preserve">The COVID-19 pandemic served as a potent catalyst, generating a surge of </w:t>
      </w:r>
      <w:r>
        <w:rPr>
          <w:rStyle w:val="Strong"/>
          <w:b w:val="0"/>
          <w:bCs/>
          <w:szCs w:val="24"/>
        </w:rPr>
        <w:lastRenderedPageBreak/>
        <w:t xml:space="preserve">relevant literature. Governments globally enacted massive bailout initiatives, provided direct financial subsidies to vulnerable firms, and implemented supply chain sustainability programs (Remko, 2020; </w:t>
      </w:r>
      <w:r>
        <w:rPr>
          <w:rStyle w:val="Strong"/>
          <w:b w:val="0"/>
          <w:bCs/>
        </w:rPr>
        <w:t>Wellalage</w:t>
      </w:r>
      <w:r>
        <w:rPr>
          <w:rStyle w:val="Strong"/>
          <w:rFonts w:hint="eastAsia"/>
          <w:b w:val="0"/>
          <w:bCs/>
          <w:lang w:val="en-US"/>
        </w:rPr>
        <w:t xml:space="preserve"> et al.</w:t>
      </w:r>
      <w:r>
        <w:rPr>
          <w:rStyle w:val="Strong"/>
          <w:b w:val="0"/>
        </w:rPr>
        <w:t>, 2023</w:t>
      </w:r>
      <w:r>
        <w:rPr>
          <w:rStyle w:val="Strong"/>
          <w:b w:val="0"/>
          <w:bCs/>
          <w:szCs w:val="24"/>
        </w:rPr>
        <w:t>). These actions were not primarily about coercing, mimicking, or norm-setting; they</w:t>
      </w:r>
      <w:r>
        <w:rPr>
          <w:rStyle w:val="Strong"/>
          <w:rFonts w:hint="eastAsia"/>
          <w:b w:val="0"/>
          <w:bCs/>
          <w:szCs w:val="24"/>
          <w:lang w:val="en-US"/>
        </w:rPr>
        <w:t xml:space="preserve"> focus on </w:t>
      </w:r>
      <w:r>
        <w:rPr>
          <w:rStyle w:val="Strong"/>
          <w:b w:val="0"/>
          <w:bCs/>
          <w:szCs w:val="24"/>
        </w:rPr>
        <w:t xml:space="preserve">actively sustaining the operational viability of critical economic actors. Similarly, professional associations and service providers shifted to offering tangible support mechanisms that helped firms </w:t>
      </w:r>
      <w:r>
        <w:rPr>
          <w:rStyle w:val="Strong"/>
          <w:rFonts w:hint="eastAsia"/>
          <w:b w:val="0"/>
          <w:bCs/>
          <w:szCs w:val="24"/>
          <w:lang w:val="en-US"/>
        </w:rPr>
        <w:t xml:space="preserve">to </w:t>
      </w:r>
      <w:r>
        <w:rPr>
          <w:rStyle w:val="Strong"/>
          <w:b w:val="0"/>
          <w:bCs/>
          <w:szCs w:val="24"/>
        </w:rPr>
        <w:t>adapt.</w:t>
      </w:r>
    </w:p>
    <w:p w14:paraId="02DE3B20" w14:textId="77777777" w:rsidR="00AD548A" w:rsidRDefault="00000000">
      <w:pPr>
        <w:rPr>
          <w:rStyle w:val="Strong"/>
          <w:b w:val="0"/>
        </w:rPr>
      </w:pPr>
      <w:r>
        <w:rPr>
          <w:rStyle w:val="Strong"/>
          <w:b w:val="0"/>
        </w:rPr>
        <w:t>For instance, government policies such as debt relief, wage subsidies, and income support were deployed globally to cushion economic performance, though their efficacy varied significantly by region (</w:t>
      </w:r>
      <w:r>
        <w:rPr>
          <w:rStyle w:val="Strong"/>
          <w:b w:val="0"/>
          <w:bCs/>
        </w:rPr>
        <w:t>Adefeso</w:t>
      </w:r>
      <w:r>
        <w:rPr>
          <w:rStyle w:val="Strong"/>
          <w:rFonts w:hint="eastAsia"/>
          <w:b w:val="0"/>
          <w:bCs/>
          <w:lang w:val="en-US"/>
        </w:rPr>
        <w:t xml:space="preserve"> and </w:t>
      </w:r>
      <w:r>
        <w:rPr>
          <w:rStyle w:val="Strong"/>
          <w:b w:val="0"/>
          <w:bCs/>
        </w:rPr>
        <w:t>Muraina</w:t>
      </w:r>
      <w:r>
        <w:rPr>
          <w:rStyle w:val="Strong"/>
          <w:rFonts w:hint="eastAsia"/>
          <w:b w:val="0"/>
          <w:bCs/>
          <w:lang w:val="en-US"/>
        </w:rPr>
        <w:t>,</w:t>
      </w:r>
      <w:r>
        <w:rPr>
          <w:rStyle w:val="Strong"/>
          <w:b w:val="0"/>
        </w:rPr>
        <w:t xml:space="preserve"> 202</w:t>
      </w:r>
      <w:r>
        <w:rPr>
          <w:rStyle w:val="Strong"/>
          <w:rFonts w:hint="eastAsia"/>
          <w:b w:val="0"/>
          <w:lang w:val="en-US"/>
        </w:rPr>
        <w:t>4</w:t>
      </w:r>
      <w:r>
        <w:rPr>
          <w:rStyle w:val="Strong"/>
          <w:b w:val="0"/>
        </w:rPr>
        <w:t>). This stabilizing function is complemented by the direct provisioning of financial resources, which is not indiscriminate; findings indicate that support can be contingent on firm-level attributes like strong environmental performance, suggesting institutions act as strategic partners rewarding specific behaviors (</w:t>
      </w:r>
      <w:r>
        <w:rPr>
          <w:rStyle w:val="Strong"/>
          <w:b w:val="0"/>
          <w:bCs/>
        </w:rPr>
        <w:t>Wellalage</w:t>
      </w:r>
      <w:r>
        <w:rPr>
          <w:rStyle w:val="Strong"/>
          <w:rFonts w:hint="eastAsia"/>
          <w:b w:val="0"/>
          <w:bCs/>
          <w:lang w:val="en-US"/>
        </w:rPr>
        <w:t xml:space="preserve"> et al.</w:t>
      </w:r>
      <w:r>
        <w:rPr>
          <w:rStyle w:val="Strong"/>
          <w:b w:val="0"/>
        </w:rPr>
        <w:t>, 2023</w:t>
      </w:r>
      <w:r>
        <w:rPr>
          <w:rStyle w:val="Strong"/>
          <w:rFonts w:hint="eastAsia"/>
          <w:b w:val="0"/>
        </w:rPr>
        <w:t>;</w:t>
      </w:r>
      <w:r>
        <w:rPr>
          <w:rStyle w:val="Strong"/>
          <w:rFonts w:hint="eastAsia"/>
          <w:b w:val="0"/>
          <w:highlight w:val="yellow"/>
          <w:lang w:val="en-US"/>
        </w:rPr>
        <w:t xml:space="preserve"> </w:t>
      </w:r>
      <w:r>
        <w:rPr>
          <w:rStyle w:val="Strong"/>
          <w:b w:val="0"/>
          <w:bCs/>
        </w:rPr>
        <w:t>Berlinger</w:t>
      </w:r>
      <w:r>
        <w:rPr>
          <w:rStyle w:val="Strong"/>
          <w:rFonts w:hint="eastAsia"/>
          <w:b w:val="0"/>
          <w:bCs/>
          <w:lang w:val="en-US"/>
        </w:rPr>
        <w:t xml:space="preserve"> et al.</w:t>
      </w:r>
      <w:r>
        <w:rPr>
          <w:rStyle w:val="Strong"/>
          <w:b w:val="0"/>
        </w:rPr>
        <w:t>, 202</w:t>
      </w:r>
      <w:r>
        <w:rPr>
          <w:rStyle w:val="Strong"/>
          <w:rFonts w:hint="eastAsia"/>
          <w:b w:val="0"/>
          <w:lang w:val="en-US"/>
        </w:rPr>
        <w:t>4</w:t>
      </w:r>
      <w:r>
        <w:rPr>
          <w:rStyle w:val="Strong"/>
          <w:b w:val="0"/>
        </w:rPr>
        <w:t>).</w:t>
      </w:r>
    </w:p>
    <w:p w14:paraId="228EF020" w14:textId="77777777" w:rsidR="00AD548A" w:rsidRDefault="00000000">
      <w:pPr>
        <w:rPr>
          <w:rStyle w:val="Strong"/>
          <w:b w:val="0"/>
          <w:szCs w:val="24"/>
        </w:rPr>
      </w:pPr>
      <w:r>
        <w:rPr>
          <w:rStyle w:val="Strong"/>
          <w:b w:val="0"/>
        </w:rPr>
        <w:t>Beyond immediate stabilization, institutions are pivotal in building the adaptive capacity and long-term resilience of firms. The provision of support, while sometimes increasing bureaucratic burdens, can trigger strategic adaptation and enhance resilience within SMEs, fostering a capacity to navigate the crisis (</w:t>
      </w:r>
      <w:r>
        <w:rPr>
          <w:rStyle w:val="Strong"/>
          <w:b w:val="0"/>
          <w:bCs/>
        </w:rPr>
        <w:t>Onjewu</w:t>
      </w:r>
      <w:r>
        <w:rPr>
          <w:rStyle w:val="Strong"/>
          <w:rFonts w:hint="eastAsia"/>
          <w:b w:val="0"/>
          <w:bCs/>
          <w:lang w:val="en-US"/>
        </w:rPr>
        <w:t xml:space="preserve"> et al.</w:t>
      </w:r>
      <w:r>
        <w:rPr>
          <w:rStyle w:val="Strong"/>
          <w:b w:val="0"/>
        </w:rPr>
        <w:t>, 2023). This resilience is profoundly shaped by the quality of the institutional environment, which provides the framework within which firm-specific resources</w:t>
      </w:r>
      <w:r>
        <w:rPr>
          <w:rStyle w:val="Strong"/>
          <w:rFonts w:hint="eastAsia"/>
          <w:b w:val="0"/>
        </w:rPr>
        <w:t>,</w:t>
      </w:r>
      <w:r>
        <w:rPr>
          <w:rStyle w:val="Strong"/>
          <w:rFonts w:hint="eastAsia"/>
          <w:b w:val="0"/>
          <w:lang w:val="en-US"/>
        </w:rPr>
        <w:t xml:space="preserve"> </w:t>
      </w:r>
      <w:r>
        <w:rPr>
          <w:rStyle w:val="Strong"/>
          <w:b w:val="0"/>
        </w:rPr>
        <w:t>such as cash holdings, knowledge assets, and access to foreign capital</w:t>
      </w:r>
      <w:r>
        <w:rPr>
          <w:rStyle w:val="Strong"/>
          <w:rFonts w:hint="eastAsia"/>
          <w:b w:val="0"/>
        </w:rPr>
        <w:t>,</w:t>
      </w:r>
      <w:r>
        <w:rPr>
          <w:rStyle w:val="Strong"/>
          <w:rFonts w:hint="eastAsia"/>
          <w:b w:val="0"/>
          <w:lang w:val="en-US"/>
        </w:rPr>
        <w:t xml:space="preserve"> </w:t>
      </w:r>
      <w:r>
        <w:rPr>
          <w:rStyle w:val="Strong"/>
          <w:b w:val="0"/>
        </w:rPr>
        <w:t xml:space="preserve">become effective </w:t>
      </w:r>
      <w:r>
        <w:rPr>
          <w:rStyle w:val="Strong"/>
          <w:rFonts w:hint="eastAsia"/>
          <w:b w:val="0"/>
          <w:lang w:val="en-US"/>
        </w:rPr>
        <w:t>in</w:t>
      </w:r>
      <w:r>
        <w:rPr>
          <w:rStyle w:val="Strong"/>
          <w:b w:val="0"/>
        </w:rPr>
        <w:t xml:space="preserve"> against default risk (</w:t>
      </w:r>
      <w:r>
        <w:rPr>
          <w:rStyle w:val="Strong"/>
          <w:b w:val="0"/>
          <w:bCs/>
        </w:rPr>
        <w:t>Nguyen</w:t>
      </w:r>
      <w:r>
        <w:rPr>
          <w:rStyle w:val="Strong"/>
          <w:rFonts w:hint="eastAsia"/>
          <w:b w:val="0"/>
          <w:bCs/>
          <w:lang w:val="en-US"/>
        </w:rPr>
        <w:t xml:space="preserve"> et al.</w:t>
      </w:r>
      <w:r>
        <w:rPr>
          <w:rStyle w:val="Strong"/>
          <w:b w:val="0"/>
          <w:bCs/>
        </w:rPr>
        <w:t>, 2023</w:t>
      </w:r>
      <w:r>
        <w:rPr>
          <w:rStyle w:val="Strong"/>
          <w:b w:val="0"/>
        </w:rPr>
        <w:t>). This dynamic interplay between institutional support and firm-</w:t>
      </w:r>
      <w:r>
        <w:rPr>
          <w:rStyle w:val="Strong"/>
          <w:b w:val="0"/>
        </w:rPr>
        <w:lastRenderedPageBreak/>
        <w:t>level resources compl</w:t>
      </w:r>
      <w:r>
        <w:rPr>
          <w:rStyle w:val="Strong"/>
          <w:rFonts w:hint="eastAsia"/>
          <w:b w:val="0"/>
          <w:lang w:val="en-US"/>
        </w:rPr>
        <w:t>y</w:t>
      </w:r>
      <w:r>
        <w:rPr>
          <w:rStyle w:val="Strong"/>
          <w:b w:val="0"/>
        </w:rPr>
        <w:t xml:space="preserve"> with institutional directives can evolve into autonomous, strategic actions and reinforced sense</w:t>
      </w:r>
      <w:r>
        <w:rPr>
          <w:rStyle w:val="Strong"/>
          <w:rFonts w:hint="eastAsia"/>
          <w:b w:val="0"/>
          <w:lang w:val="en-US"/>
        </w:rPr>
        <w:t>s</w:t>
      </w:r>
      <w:r>
        <w:rPr>
          <w:rStyle w:val="Strong"/>
          <w:b w:val="0"/>
        </w:rPr>
        <w:t xml:space="preserve"> of corporate social responsibility, ultimately empowering firms to rebalance power dynamics</w:t>
      </w:r>
      <w:r>
        <w:rPr>
          <w:rStyle w:val="Strong"/>
          <w:rFonts w:hint="eastAsia"/>
          <w:b w:val="0"/>
          <w:lang w:val="en-US"/>
        </w:rPr>
        <w:t xml:space="preserve"> </w:t>
      </w:r>
      <w:r>
        <w:rPr>
          <w:rStyle w:val="Strong"/>
          <w:b w:val="0"/>
        </w:rPr>
        <w:t>and pursue new strategic pathways (</w:t>
      </w:r>
      <w:r>
        <w:rPr>
          <w:rStyle w:val="Strong"/>
          <w:b w:val="0"/>
          <w:bCs/>
        </w:rPr>
        <w:t>Loi</w:t>
      </w:r>
      <w:r>
        <w:rPr>
          <w:rStyle w:val="Strong"/>
          <w:rFonts w:hint="eastAsia"/>
          <w:b w:val="0"/>
          <w:bCs/>
          <w:lang w:val="en-US"/>
        </w:rPr>
        <w:t xml:space="preserve"> et al., 2021;</w:t>
      </w:r>
      <w:r>
        <w:rPr>
          <w:rStyle w:val="Strong"/>
          <w:rFonts w:hint="eastAsia"/>
          <w:lang w:val="en-US"/>
        </w:rPr>
        <w:t xml:space="preserve"> </w:t>
      </w:r>
      <w:r>
        <w:rPr>
          <w:rStyle w:val="Strong"/>
          <w:b w:val="0"/>
          <w:bCs/>
        </w:rPr>
        <w:t>Onjewu</w:t>
      </w:r>
      <w:r>
        <w:rPr>
          <w:rStyle w:val="Strong"/>
          <w:rFonts w:hint="eastAsia"/>
          <w:b w:val="0"/>
          <w:bCs/>
          <w:lang w:val="en-US"/>
        </w:rPr>
        <w:t xml:space="preserve"> et al.</w:t>
      </w:r>
      <w:r>
        <w:rPr>
          <w:rStyle w:val="Strong"/>
          <w:b w:val="0"/>
        </w:rPr>
        <w:t>, 2023).</w:t>
      </w:r>
    </w:p>
    <w:p w14:paraId="609EC9A0" w14:textId="77777777" w:rsidR="00AD548A" w:rsidRDefault="00000000">
      <w:pPr>
        <w:rPr>
          <w:rStyle w:val="Strong"/>
          <w:b w:val="0"/>
          <w:bCs/>
          <w:szCs w:val="24"/>
        </w:rPr>
      </w:pPr>
      <w:r>
        <w:rPr>
          <w:rStyle w:val="Strong"/>
          <w:b w:val="0"/>
          <w:bCs/>
          <w:szCs w:val="24"/>
        </w:rPr>
        <w:t xml:space="preserve">Therefore, institutions can simultaneously constrain the powerful through coercive pressures and enable the vulnerable through supportive mechanisms. </w:t>
      </w:r>
      <w:r>
        <w:rPr>
          <w:rStyle w:val="Strong"/>
          <w:rFonts w:hint="eastAsia"/>
          <w:b w:val="0"/>
          <w:bCs/>
          <w:szCs w:val="24"/>
          <w:lang w:val="en-US"/>
        </w:rPr>
        <w:t>Such</w:t>
      </w:r>
      <w:r>
        <w:rPr>
          <w:rStyle w:val="Strong"/>
          <w:b w:val="0"/>
          <w:bCs/>
          <w:szCs w:val="24"/>
        </w:rPr>
        <w:t xml:space="preserve"> dual capacity, has been critically underexplored in the context of supply chain power dynamics. While recent events have documented such actions, the theoretical mechanisms through which this enabling function directly reconfigures power asymmetry remain nascent, creating a pivotal gap to address.</w:t>
      </w:r>
    </w:p>
    <w:p w14:paraId="46A9F357" w14:textId="77777777" w:rsidR="00AD548A" w:rsidRDefault="00000000">
      <w:pPr>
        <w:pStyle w:val="Heading2"/>
        <w:rPr>
          <w:rStyle w:val="Strong"/>
          <w:b/>
          <w:bCs w:val="0"/>
        </w:rPr>
      </w:pPr>
      <w:r>
        <w:rPr>
          <w:rStyle w:val="Strong"/>
          <w:b/>
          <w:bCs w:val="0"/>
        </w:rPr>
        <w:t xml:space="preserve">2.4. Synthesizing the </w:t>
      </w:r>
      <w:r>
        <w:rPr>
          <w:rStyle w:val="Strong"/>
          <w:rFonts w:hint="eastAsia"/>
          <w:b/>
          <w:bCs w:val="0"/>
          <w:lang w:eastAsia="zh-CN"/>
        </w:rPr>
        <w:t>g</w:t>
      </w:r>
      <w:r>
        <w:rPr>
          <w:rStyle w:val="Strong"/>
          <w:b/>
          <w:bCs w:val="0"/>
        </w:rPr>
        <w:t>ap</w:t>
      </w:r>
    </w:p>
    <w:p w14:paraId="00E91FE2" w14:textId="77777777" w:rsidR="00AD548A" w:rsidRDefault="00000000">
      <w:pPr>
        <w:ind w:firstLineChars="0" w:firstLine="0"/>
        <w:rPr>
          <w:rStyle w:val="Strong"/>
          <w:b w:val="0"/>
          <w:bCs/>
          <w:szCs w:val="24"/>
          <w:lang w:val="en-US"/>
        </w:rPr>
      </w:pPr>
      <w:r>
        <w:rPr>
          <w:rStyle w:val="Strong"/>
          <w:b w:val="0"/>
          <w:bCs/>
          <w:szCs w:val="24"/>
        </w:rPr>
        <w:t xml:space="preserve">Although prior research clearly shows that volatility heightens power asymmetry, existing studies have largely examined stable or moderately uncertain environments. The effects of extreme, system-wide disruptions like the COVID-19 pandemic, which create a qualitative shift in supply chain dynamics, remain underexplored (Ivanov </w:t>
      </w:r>
      <w:r>
        <w:rPr>
          <w:rStyle w:val="Strong"/>
          <w:rFonts w:hint="eastAsia"/>
          <w:b w:val="0"/>
          <w:bCs/>
          <w:szCs w:val="24"/>
        </w:rPr>
        <w:t>and</w:t>
      </w:r>
      <w:r>
        <w:rPr>
          <w:rStyle w:val="Strong"/>
          <w:b w:val="0"/>
          <w:bCs/>
          <w:szCs w:val="24"/>
        </w:rPr>
        <w:t xml:space="preserve"> Dolgui, 2020; Durugbo </w:t>
      </w:r>
      <w:r>
        <w:rPr>
          <w:rStyle w:val="Strong"/>
          <w:rFonts w:hint="eastAsia"/>
          <w:b w:val="0"/>
          <w:bCs/>
          <w:szCs w:val="24"/>
        </w:rPr>
        <w:t>and</w:t>
      </w:r>
      <w:r>
        <w:rPr>
          <w:rStyle w:val="Strong"/>
          <w:b w:val="0"/>
          <w:bCs/>
          <w:szCs w:val="24"/>
        </w:rPr>
        <w:t xml:space="preserve"> Al-Balushi, 2024). The established causal pathways of amplification and opportunism are therefore only one part of the story in such a unique environment.</w:t>
      </w:r>
      <w:r>
        <w:rPr>
          <w:rStyle w:val="Strong"/>
          <w:rFonts w:hint="eastAsia"/>
          <w:b w:val="0"/>
          <w:bCs/>
          <w:szCs w:val="24"/>
          <w:lang w:val="en-US"/>
        </w:rPr>
        <w:t xml:space="preserve"> </w:t>
      </w:r>
    </w:p>
    <w:p w14:paraId="0A78DB53" w14:textId="77777777" w:rsidR="00AD548A" w:rsidRDefault="00000000">
      <w:pPr>
        <w:rPr>
          <w:rStyle w:val="Strong"/>
          <w:b w:val="0"/>
          <w:bCs/>
          <w:szCs w:val="24"/>
          <w:lang w:val="en-US"/>
        </w:rPr>
      </w:pPr>
      <w:r>
        <w:rPr>
          <w:rStyle w:val="Strong"/>
          <w:b w:val="0"/>
          <w:bCs/>
          <w:szCs w:val="24"/>
        </w:rPr>
        <w:t>The prevailing supplier-centric power-balancing tactics are revealed to be structurally inadequate in such conditions. Their reliance on the resources that crises destroy creates a practical impasse for SMEs, highlighting the insufficiency of a framework that places the onus for adaptation on the vulnerable party.</w:t>
      </w:r>
      <w:r>
        <w:rPr>
          <w:rStyle w:val="Strong"/>
          <w:rFonts w:hint="eastAsia"/>
          <w:b w:val="0"/>
          <w:bCs/>
          <w:szCs w:val="24"/>
          <w:lang w:val="en-US"/>
        </w:rPr>
        <w:t xml:space="preserve"> </w:t>
      </w:r>
    </w:p>
    <w:p w14:paraId="5982B7CC" w14:textId="77777777" w:rsidR="00AD548A" w:rsidRDefault="00000000">
      <w:pPr>
        <w:rPr>
          <w:rStyle w:val="Strong"/>
          <w:b w:val="0"/>
          <w:bCs/>
          <w:szCs w:val="24"/>
        </w:rPr>
      </w:pPr>
      <w:r>
        <w:rPr>
          <w:rStyle w:val="Strong"/>
          <w:b w:val="0"/>
          <w:bCs/>
          <w:szCs w:val="24"/>
        </w:rPr>
        <w:lastRenderedPageBreak/>
        <w:t xml:space="preserve">Institutional theory provides a promising avenue for external intervention, yet its application to supply chain power dynamics has been predominantly limited to constraining pressures. The emerging recognition that institutions also operate as enabling actors has not been fully integrated into understandings of power asymmetry. As a result, the field lacks a coherent theoretical lens that explains how institutional forces can simultaneously restrict and empower actors to rebalance power relations during periods of extreme volatility. </w:t>
      </w:r>
    </w:p>
    <w:p w14:paraId="06D1FEBE" w14:textId="77777777" w:rsidR="00AD548A" w:rsidRDefault="00000000">
      <w:pPr>
        <w:rPr>
          <w:bCs/>
          <w:szCs w:val="24"/>
        </w:rPr>
      </w:pPr>
      <w:r>
        <w:rPr>
          <w:rStyle w:val="Strong"/>
          <w:b w:val="0"/>
          <w:bCs/>
          <w:szCs w:val="24"/>
        </w:rPr>
        <w:t>As a result, existing research still lacks a theoretical lens that explains how institutions, in both their constraining and enabling roles, can actively rebalance power relations during a crisis. This study addresses that gap by moving beyond dyadic, supplier-centric, and pressure-based perspectives to examine how institutional interventions reshape power asymmetry between SMEs and dominant buyers amid periods of extreme environmental volatility.</w:t>
      </w:r>
      <w:r>
        <w:rPr>
          <w:rStyle w:val="Strong"/>
          <w:rFonts w:hint="eastAsia"/>
          <w:b w:val="0"/>
          <w:bCs/>
          <w:szCs w:val="24"/>
          <w:lang w:val="en-US"/>
        </w:rPr>
        <w:t xml:space="preserve"> </w:t>
      </w:r>
    </w:p>
    <w:p w14:paraId="412670ED" w14:textId="77777777" w:rsidR="00AD548A" w:rsidRDefault="00000000">
      <w:pPr>
        <w:pStyle w:val="Heading1"/>
      </w:pPr>
      <w:r>
        <w:rPr>
          <w:rFonts w:hint="eastAsia"/>
        </w:rPr>
        <w:t>3.</w:t>
      </w:r>
      <w:r>
        <w:t xml:space="preserve"> Methodology </w:t>
      </w:r>
    </w:p>
    <w:p w14:paraId="7AC70CE2" w14:textId="77777777" w:rsidR="00AD548A" w:rsidRDefault="00000000">
      <w:pPr>
        <w:ind w:firstLineChars="0" w:firstLine="0"/>
        <w:rPr>
          <w:lang w:val="en-US"/>
        </w:rPr>
      </w:pPr>
      <w:bookmarkStart w:id="6" w:name="_Hlk199766367"/>
      <w:r>
        <w:rPr>
          <w:rFonts w:hint="eastAsia"/>
          <w:lang w:val="en-US"/>
        </w:rPr>
        <w:t xml:space="preserve">We adopted </w:t>
      </w:r>
      <w:r>
        <w:rPr>
          <w:lang w:val="en-US"/>
        </w:rPr>
        <w:t xml:space="preserve">a multiple case study design </w:t>
      </w:r>
      <w:r>
        <w:rPr>
          <w:rFonts w:hint="eastAsia"/>
          <w:lang w:val="en-US"/>
        </w:rPr>
        <w:t>and</w:t>
      </w:r>
      <w:r>
        <w:rPr>
          <w:lang w:val="en-US"/>
        </w:rPr>
        <w:t xml:space="preserve"> conducted over a 2-year period to capture emerging and retrospective accounts</w:t>
      </w:r>
      <w:bookmarkEnd w:id="6"/>
      <w:r>
        <w:rPr>
          <w:lang w:val="en-US"/>
        </w:rPr>
        <w:t xml:space="preserve"> (Hite, 2005; Ozcan and Eisenhardt, 2009)</w:t>
      </w:r>
      <w:r>
        <w:rPr>
          <w:rFonts w:hint="eastAsia"/>
          <w:lang w:val="en-US"/>
        </w:rPr>
        <w:t>.</w:t>
      </w:r>
      <w:r>
        <w:rPr>
          <w:rFonts w:hint="eastAsia"/>
        </w:rPr>
        <w:t xml:space="preserve"> </w:t>
      </w:r>
      <w:r>
        <w:rPr>
          <w:lang w:val="en-US"/>
        </w:rPr>
        <w:t xml:space="preserve">This approach was particularly suitable to gain a nuanced understanding </w:t>
      </w:r>
      <w:r>
        <w:rPr>
          <w:rFonts w:hint="eastAsia"/>
          <w:lang w:val="en-US"/>
        </w:rPr>
        <w:t>of</w:t>
      </w:r>
      <w:r>
        <w:rPr>
          <w:lang w:val="en-US"/>
        </w:rPr>
        <w:t xml:space="preserve"> how </w:t>
      </w:r>
      <w:bookmarkStart w:id="7" w:name="_Hlk199766528"/>
      <w:r>
        <w:rPr>
          <w:lang w:val="en-US"/>
        </w:rPr>
        <w:t xml:space="preserve">the </w:t>
      </w:r>
      <w:r>
        <w:rPr>
          <w:rFonts w:hint="eastAsia"/>
          <w:lang w:val="en-US"/>
        </w:rPr>
        <w:t>institutional tactics help in power-balancing</w:t>
      </w:r>
      <w:bookmarkEnd w:id="7"/>
      <w:r>
        <w:rPr>
          <w:rFonts w:hint="eastAsia"/>
          <w:lang w:val="en-US"/>
        </w:rPr>
        <w:t xml:space="preserve"> between the dominated suppliers and their powerful buyers</w:t>
      </w:r>
      <w:r>
        <w:rPr>
          <w:lang w:val="en-US"/>
        </w:rPr>
        <w:t xml:space="preserve">, based on the told events and stories of evolving phenomena </w:t>
      </w:r>
      <w:sdt>
        <w:sdtPr>
          <w:rPr>
            <w:lang w:val="en-US"/>
          </w:rPr>
          <w:tag w:val="MENDELEY_CITATION_v3_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"/>
          <w:id w:val="1701516104"/>
          <w:placeholder>
            <w:docPart w:val="F6588F1797DF4FFE87FC8EF17A0BE21B"/>
          </w:placeholder>
        </w:sdtPr>
        <w:sdtEndPr>
          <w:rPr>
            <w:lang w:val="en-GB"/>
          </w:rPr>
        </w:sdtEndPr>
        <w:sdtContent>
          <w:r>
            <w:t xml:space="preserve">(Amis and Hinings, 2020; Jünge </w:t>
          </w:r>
          <w:r>
            <w:rPr>
              <w:i/>
              <w:iCs/>
            </w:rPr>
            <w:t>et al.</w:t>
          </w:r>
          <w:r>
            <w:t>, 202</w:t>
          </w:r>
          <w:r>
            <w:rPr>
              <w:rFonts w:hint="eastAsia"/>
              <w:lang w:val="en-US"/>
            </w:rPr>
            <w:t>1</w:t>
          </w:r>
          <w:r>
            <w:t>)</w:t>
          </w:r>
        </w:sdtContent>
      </w:sdt>
      <w:r>
        <w:rPr>
          <w:lang w:val="en-US"/>
        </w:rPr>
        <w:t xml:space="preserve">. The multiple case study methodology is well-suited for developing fresh empirical insights that would be challenging to achieve </w:t>
      </w:r>
      <w:r>
        <w:rPr>
          <w:lang w:val="en-US"/>
        </w:rPr>
        <w:lastRenderedPageBreak/>
        <w:t xml:space="preserve">through analytical or statistical methods alone (Yin, 2018). By examining multiple cases, researchers can identify patterns, variations, and causal relationships that emerge </w:t>
      </w:r>
      <w:r>
        <w:rPr>
          <w:rFonts w:hint="eastAsia"/>
          <w:lang w:val="en-US"/>
        </w:rPr>
        <w:t>under</w:t>
      </w:r>
      <w:r>
        <w:rPr>
          <w:lang w:val="en-US"/>
        </w:rPr>
        <w:t xml:space="preserve"> complex phenomena in real-world contexts, capturing nuances and contextual factors that quantitative methods might overlook</w:t>
      </w:r>
      <w:r>
        <w:rPr>
          <w:rFonts w:hint="eastAsia"/>
          <w:lang w:val="en-US"/>
        </w:rPr>
        <w:t xml:space="preserve"> </w:t>
      </w:r>
      <w:r>
        <w:t>(Karlsson 2010)</w:t>
      </w:r>
      <w:r>
        <w:rPr>
          <w:lang w:val="en-US"/>
        </w:rPr>
        <w:t xml:space="preserve">. </w:t>
      </w:r>
    </w:p>
    <w:p w14:paraId="414643AC" w14:textId="77777777" w:rsidR="00AD548A" w:rsidRDefault="00000000">
      <w:pPr>
        <w:pStyle w:val="Heading2"/>
      </w:pPr>
      <w:r>
        <w:t>3.1 Case Selection</w:t>
      </w:r>
    </w:p>
    <w:p w14:paraId="3F9EE3D8" w14:textId="77777777" w:rsidR="00AD548A" w:rsidRDefault="00000000">
      <w:pPr>
        <w:ind w:firstLineChars="0" w:firstLine="0"/>
        <w:rPr>
          <w:lang w:val="en-US"/>
        </w:rPr>
      </w:pPr>
      <w:r>
        <w:t xml:space="preserve">The selection of cases was guided by a purposive sampling strategy aimed at maximizing the likelihood of observing the phenomenon of interest and allowing for both literal and theoretical replication (Yin, 2018). </w:t>
      </w:r>
      <w:r>
        <w:rPr>
          <w:lang w:val="en-US"/>
        </w:rPr>
        <w:t>T</w:t>
      </w:r>
      <w:r>
        <w:rPr>
          <w:rFonts w:hint="eastAsia"/>
          <w:lang w:val="en-US"/>
        </w:rPr>
        <w:t>o achieve our research objective in investigating the phenomenon of power dynamics,</w:t>
      </w:r>
      <w:r>
        <w:t xml:space="preserve"> </w:t>
      </w:r>
      <w:r>
        <w:rPr>
          <w:rFonts w:hint="eastAsia"/>
        </w:rPr>
        <w:t>the selected cases involve both the dominated suppliers</w:t>
      </w:r>
      <w:r>
        <w:t xml:space="preserve"> (SMEs)</w:t>
      </w:r>
      <w:r>
        <w:rPr>
          <w:rFonts w:hint="eastAsia"/>
        </w:rPr>
        <w:t xml:space="preserve"> and dominating buyers based on following criteria:</w:t>
      </w:r>
      <w:r>
        <w:rPr>
          <w:rFonts w:hint="eastAsia"/>
          <w:lang w:val="en-US"/>
        </w:rPr>
        <w:t xml:space="preserve">1) </w:t>
      </w:r>
      <w:r>
        <w:rPr>
          <w:lang w:val="en-US"/>
        </w:rPr>
        <w:t>focus on</w:t>
      </w:r>
      <w:r>
        <w:rPr>
          <w:rFonts w:hint="eastAsia"/>
          <w:lang w:val="en-US"/>
        </w:rPr>
        <w:t xml:space="preserve"> </w:t>
      </w:r>
      <w:r>
        <w:rPr>
          <w:lang w:val="en-US"/>
        </w:rPr>
        <w:t>SMEs</w:t>
      </w:r>
      <w:r>
        <w:rPr>
          <w:rStyle w:val="FootnoteReference"/>
          <w:lang w:val="en-US"/>
        </w:rPr>
        <w:footnoteReference w:id="1"/>
      </w:r>
      <w:r>
        <w:rPr>
          <w:rFonts w:hint="eastAsia"/>
          <w:lang w:val="en-US"/>
        </w:rPr>
        <w:t xml:space="preserve"> and their powerful buyers </w:t>
      </w:r>
      <w:r>
        <w:rPr>
          <w:lang w:val="en-US"/>
        </w:rPr>
        <w:t>based in China</w:t>
      </w:r>
      <w:r>
        <w:rPr>
          <w:rFonts w:hint="eastAsia"/>
          <w:lang w:val="en-US"/>
        </w:rPr>
        <w:t xml:space="preserve">, and are </w:t>
      </w:r>
      <w:r>
        <w:rPr>
          <w:lang w:val="en-US"/>
        </w:rPr>
        <w:t>in the manufacturing industry</w:t>
      </w:r>
      <w:r>
        <w:rPr>
          <w:rFonts w:hint="eastAsia"/>
          <w:lang w:val="en-US"/>
        </w:rPr>
        <w:t>,</w:t>
      </w:r>
      <w:r>
        <w:rPr>
          <w:lang w:val="en-US"/>
        </w:rPr>
        <w:t xml:space="preserve"> </w:t>
      </w:r>
      <w:r>
        <w:rPr>
          <w:rFonts w:hint="eastAsia"/>
          <w:lang w:val="en-US"/>
        </w:rPr>
        <w:t>2) located the critical buyers that the SMEs have in common, therefore, 3) the SMEs are</w:t>
      </w:r>
      <w:r>
        <w:rPr>
          <w:lang w:val="en-US"/>
        </w:rPr>
        <w:t xml:space="preserve"> </w:t>
      </w:r>
      <w:r>
        <w:rPr>
          <w:rFonts w:hint="eastAsia"/>
          <w:lang w:val="en-US"/>
        </w:rPr>
        <w:t>in same or related industrial sectors, 4</w:t>
      </w:r>
      <w:r>
        <w:rPr>
          <w:lang w:val="en-US"/>
        </w:rPr>
        <w:t xml:space="preserve">) </w:t>
      </w:r>
      <w:r>
        <w:rPr>
          <w:rFonts w:hint="eastAsia"/>
          <w:lang w:val="en-US"/>
        </w:rPr>
        <w:t>the SMEs and the buyers have over3-year business relationship, 5) they experienced the power dynamic during the pandemic</w:t>
      </w:r>
      <w:r>
        <w:rPr>
          <w:lang w:val="en-US"/>
        </w:rPr>
        <w:t>.</w:t>
      </w:r>
      <w:r>
        <w:rPr>
          <w:rFonts w:hint="eastAsia"/>
          <w:lang w:val="en-US"/>
        </w:rPr>
        <w:t xml:space="preserve"> </w:t>
      </w:r>
    </w:p>
    <w:p w14:paraId="4D979E73" w14:textId="77777777" w:rsidR="00AD548A" w:rsidRDefault="00000000">
      <w:r>
        <w:t>The</w:t>
      </w:r>
      <w:r>
        <w:rPr>
          <w:rFonts w:hint="eastAsia"/>
        </w:rPr>
        <w:t xml:space="preserve"> criteria were developed with reasons.</w:t>
      </w:r>
      <w:r>
        <w:t xml:space="preserve"> F</w:t>
      </w:r>
      <w:r>
        <w:rPr>
          <w:rFonts w:hint="eastAsia"/>
        </w:rPr>
        <w:t xml:space="preserve">irst, </w:t>
      </w:r>
      <w:r>
        <w:t>manufacturers play a crucial role in buyer-supplier relationships by providing essential products for other industries and are among the largest contributors to economies</w:t>
      </w:r>
      <w:r>
        <w:rPr>
          <w:lang w:val="en-US"/>
        </w:rPr>
        <w:t xml:space="preserve"> </w:t>
      </w:r>
      <w:sdt>
        <w:sdtPr>
          <w:rPr>
            <w:lang w:val="en-US"/>
          </w:rPr>
          <w:tag w:val="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"/>
          <w:id w:val="942191033"/>
          <w:placeholder>
            <w:docPart w:val="F6588F1797DF4FFE87FC8EF17A0BE21B"/>
          </w:placeholder>
        </w:sdtPr>
        <w:sdtEndPr>
          <w:rPr>
            <w:lang w:val="en-GB"/>
          </w:rPr>
        </w:sdtEndPr>
        <w:sdtContent>
          <w:r>
            <w:t xml:space="preserve">(van Hoek and Dobrzykowski, 2021; Su </w:t>
          </w:r>
          <w:r>
            <w:rPr>
              <w:i/>
              <w:iCs/>
            </w:rPr>
            <w:t>et al.</w:t>
          </w:r>
          <w:r>
            <w:t>, 2020)</w:t>
          </w:r>
        </w:sdtContent>
      </w:sdt>
      <w:r>
        <w:rPr>
          <w:lang w:val="en-US"/>
        </w:rPr>
        <w:t xml:space="preserve">. </w:t>
      </w:r>
      <w:r>
        <w:t>P</w:t>
      </w:r>
      <w:r>
        <w:rPr>
          <w:rFonts w:hint="eastAsia"/>
        </w:rPr>
        <w:t>articularly</w:t>
      </w:r>
      <w:r>
        <w:t xml:space="preserve">, this study aims to examine the current volatile </w:t>
      </w:r>
      <w:r>
        <w:lastRenderedPageBreak/>
        <w:t>environment</w:t>
      </w:r>
      <w:r>
        <w:rPr>
          <w:rFonts w:hint="eastAsia"/>
        </w:rPr>
        <w:t xml:space="preserve">. </w:t>
      </w:r>
      <w:r>
        <w:t xml:space="preserve">Over the past </w:t>
      </w:r>
      <w:r>
        <w:rPr>
          <w:rFonts w:hint="eastAsia"/>
        </w:rPr>
        <w:t>few</w:t>
      </w:r>
      <w:r>
        <w:t xml:space="preserve"> years, the new era of supply chain volatility has particularly and acutely affected the manufacturing sector </w:t>
      </w:r>
      <w:sdt>
        <w:sdtPr>
          <w:rPr>
            <w:lang w:val="en-US"/>
          </w:rPr>
          <w:tag w:val="MENDELEY_CITATION_v3_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"/>
          <w:id w:val="222498785"/>
          <w:placeholder>
            <w:docPart w:val="E6ADC263E35E4537B1BB3FEFE79927FD"/>
          </w:placeholder>
        </w:sdtPr>
        <w:sdtEndPr>
          <w:rPr>
            <w:lang w:val="en-GB"/>
          </w:rPr>
        </w:sdtEndPr>
        <w:sdtContent>
          <w:r>
            <w:t xml:space="preserve">(Sahu </w:t>
          </w:r>
          <w:r>
            <w:rPr>
              <w:i/>
              <w:iCs/>
            </w:rPr>
            <w:t>et al.</w:t>
          </w:r>
          <w:r>
            <w:t>, 2022)</w:t>
          </w:r>
        </w:sdtContent>
      </w:sdt>
      <w:r>
        <w:rPr>
          <w:lang w:val="en-US"/>
        </w:rPr>
        <w:t>. S</w:t>
      </w:r>
      <w:r>
        <w:rPr>
          <w:rFonts w:hint="eastAsia"/>
          <w:lang w:val="en-US"/>
        </w:rPr>
        <w:t xml:space="preserve">econd, the phenomenon of power </w:t>
      </w:r>
      <w:r>
        <w:rPr>
          <w:lang w:val="en-US"/>
        </w:rPr>
        <w:t>asymmetry</w:t>
      </w:r>
      <w:r>
        <w:rPr>
          <w:rFonts w:hint="eastAsia"/>
          <w:lang w:val="en-US"/>
        </w:rPr>
        <w:t xml:space="preserve"> could be</w:t>
      </w:r>
      <w:r>
        <w:rPr>
          <w:lang w:val="en-US"/>
        </w:rPr>
        <w:t xml:space="preserve"> particular obvious in the China context, which </w:t>
      </w:r>
      <w:r>
        <w:t xml:space="preserve">is </w:t>
      </w:r>
      <w:r>
        <w:rPr>
          <w:rFonts w:hint="eastAsia"/>
        </w:rPr>
        <w:t>characterized</w:t>
      </w:r>
      <w:r>
        <w:t xml:space="preserve"> by high power distance </w:t>
      </w:r>
      <w:sdt>
        <w:sdtPr>
          <w:tag w:val="MENDELEY_CITATION_v3_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"/>
          <w:id w:val="-1538957441"/>
          <w:placeholder>
            <w:docPart w:val="1D3C3D655A1A41C89132905FF64A5040"/>
          </w:placeholder>
        </w:sdtPr>
        <w:sdtContent>
          <w:r>
            <w:t xml:space="preserve">(Zhao </w:t>
          </w:r>
          <w:r>
            <w:rPr>
              <w:i/>
              <w:iCs/>
            </w:rPr>
            <w:t>et al.</w:t>
          </w:r>
          <w:r>
            <w:t>, 2008)</w:t>
          </w:r>
        </w:sdtContent>
      </w:sdt>
      <w:r>
        <w:t xml:space="preserve">, thus the effects of power in China might be more significant than in western cultures, and people are more prepared to espouse the use of power </w:t>
      </w:r>
      <w:sdt>
        <w:sdtPr>
          <w:tag w:val="MENDELEY_CITATION_v3_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"/>
          <w:id w:val="-1889100572"/>
          <w:placeholder>
            <w:docPart w:val="1D3C3D655A1A41C89132905FF64A5040"/>
          </w:placeholder>
        </w:sdtPr>
        <w:sdtContent>
          <w:r>
            <w:t xml:space="preserve">(Wiegel and Bamford, 2014; Zhao </w:t>
          </w:r>
          <w:r>
            <w:rPr>
              <w:i/>
              <w:iCs/>
            </w:rPr>
            <w:t>et al.</w:t>
          </w:r>
          <w:r>
            <w:t>, 2008)</w:t>
          </w:r>
        </w:sdtContent>
      </w:sdt>
      <w:r>
        <w:t xml:space="preserve">. </w:t>
      </w:r>
      <w:r>
        <w:rPr>
          <w:rFonts w:hint="eastAsia"/>
          <w:lang w:val="en-US"/>
        </w:rPr>
        <w:t xml:space="preserve">Moreover, </w:t>
      </w:r>
      <w:r>
        <w:rPr>
          <w:lang w:val="en-US"/>
        </w:rPr>
        <w:t xml:space="preserve">though SMEs have become main participants in the market during the past decades </w:t>
      </w:r>
      <w:sdt>
        <w:sdtPr>
          <w:rPr>
            <w:lang w:val="en-US"/>
          </w:rPr>
          <w:tag w:val="MENDELEY_CITATION_v3_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"/>
          <w:id w:val="-1762058876"/>
          <w:placeholder>
            <w:docPart w:val="25F501A2D9BD43C3967AE375495A8ABC"/>
          </w:placeholder>
        </w:sdtPr>
        <w:sdtEndPr>
          <w:rPr>
            <w:lang w:val="en-GB"/>
          </w:rPr>
        </w:sdtEndPr>
        <w:sdtContent>
          <w:r>
            <w:t>(van Hoek and Dobrzykowski, 2021)</w:t>
          </w:r>
        </w:sdtContent>
      </w:sdt>
      <w:r>
        <w:rPr>
          <w:lang w:val="en-US"/>
        </w:rPr>
        <w:t xml:space="preserve">; they are still at the weaker power positions in the relationship with large enterprises </w:t>
      </w:r>
      <w:sdt>
        <w:sdtPr>
          <w:rPr>
            <w:lang w:val="en-US"/>
          </w:rPr>
          <w:tag w:val="MENDELEY_CITATION_v3_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"/>
          <w:id w:val="-1939586491"/>
          <w:placeholder>
            <w:docPart w:val="25F501A2D9BD43C3967AE375495A8ABC"/>
          </w:placeholder>
        </w:sdtPr>
        <w:sdtEndPr>
          <w:rPr>
            <w:lang w:val="en-GB"/>
          </w:rPr>
        </w:sdtEndPr>
        <w:sdtContent>
          <w:r>
            <w:t xml:space="preserve">(Ferreira de Araújo Lima </w:t>
          </w:r>
          <w:r>
            <w:rPr>
              <w:i/>
              <w:iCs/>
            </w:rPr>
            <w:t>et al.</w:t>
          </w:r>
          <w:r>
            <w:t xml:space="preserve">, 2020; Ismail </w:t>
          </w:r>
          <w:r>
            <w:rPr>
              <w:i/>
              <w:iCs/>
            </w:rPr>
            <w:t>et al.</w:t>
          </w:r>
          <w:r>
            <w:t>, 2011)</w:t>
          </w:r>
        </w:sdtContent>
      </w:sdt>
      <w:r>
        <w:rPr>
          <w:lang w:val="en-US"/>
        </w:rPr>
        <w:t xml:space="preserve">. </w:t>
      </w:r>
    </w:p>
    <w:p w14:paraId="4CA67878" w14:textId="77777777" w:rsidR="00AD548A" w:rsidRDefault="00000000">
      <w:pPr>
        <w:rPr>
          <w:color w:val="00B0F0"/>
          <w:lang w:val="en-US"/>
        </w:rPr>
      </w:pPr>
      <w:r>
        <w:rPr>
          <w:lang w:val="en-US"/>
        </w:rPr>
        <w:t>T</w:t>
      </w:r>
      <w:r>
        <w:rPr>
          <w:rFonts w:hint="eastAsia"/>
          <w:lang w:val="en-US"/>
        </w:rPr>
        <w:t xml:space="preserve">he sampled SMEs selected for this study had significant power differences with powerful buying companies. </w:t>
      </w:r>
      <w:r>
        <w:rPr>
          <w:rFonts w:hint="eastAsia"/>
          <w:color w:val="00B0F0"/>
          <w:lang w:val="en-US"/>
        </w:rPr>
        <w:t>The four key buyers were strategically selected not only for their centrality to the SME suppliers but also to enable theoretical replication across varying contexts of power. They provided deliberate variation in ownership structure (i.e. state-owned enterprises and multinational corporations) and industrial sector. This design allowed us to examine whether the mechanisms of institutional influence manifested consistently or deferentially across types of powerful actors, thereby strengthening the analytical generalizability of the emergent model.</w:t>
      </w:r>
    </w:p>
    <w:p w14:paraId="29687381" w14:textId="77777777" w:rsidR="00AD548A" w:rsidRDefault="00000000">
      <w:pPr>
        <w:rPr>
          <w:lang w:val="en-US"/>
        </w:rPr>
      </w:pPr>
      <w:r>
        <w:rPr>
          <w:lang w:val="en-US"/>
        </w:rPr>
        <w:t>P</w:t>
      </w:r>
      <w:r>
        <w:rPr>
          <w:rFonts w:hint="eastAsia"/>
          <w:lang w:val="en-US"/>
        </w:rPr>
        <w:t xml:space="preserve">articularly, the sample was </w:t>
      </w:r>
      <w:r>
        <w:rPr>
          <w:lang w:val="en-US"/>
        </w:rPr>
        <w:t>finalized</w:t>
      </w:r>
      <w:r>
        <w:rPr>
          <w:rFonts w:hint="eastAsia"/>
          <w:lang w:val="en-US"/>
        </w:rPr>
        <w:t xml:space="preserve"> as these SMEs and the powerful buyers experienced specific power </w:t>
      </w:r>
      <w:r>
        <w:rPr>
          <w:lang w:val="en-US"/>
        </w:rPr>
        <w:t>conflicts</w:t>
      </w:r>
      <w:r>
        <w:rPr>
          <w:rFonts w:hint="eastAsia"/>
          <w:lang w:val="en-US"/>
        </w:rPr>
        <w:t xml:space="preserve"> due to the pandemic and lockdown measures, and were also influenced significantly by the institutional elements, such as regulations and certain </w:t>
      </w:r>
      <w:r>
        <w:rPr>
          <w:lang w:val="en-US"/>
        </w:rPr>
        <w:t>third parties</w:t>
      </w:r>
      <w:r>
        <w:rPr>
          <w:rFonts w:hint="eastAsia"/>
          <w:lang w:val="en-US"/>
        </w:rPr>
        <w:t xml:space="preserve">. </w:t>
      </w:r>
      <w:r>
        <w:rPr>
          <w:lang w:val="en-US"/>
        </w:rPr>
        <w:t xml:space="preserve">The selection of four key buyers shared across multiple SMEs was </w:t>
      </w:r>
      <w:r>
        <w:rPr>
          <w:lang w:val="en-US"/>
        </w:rPr>
        <w:lastRenderedPageBreak/>
        <w:t>designed to support both literal and theoretical replication (Yin, 2018). This approach made it possible to observe how the same buyer responded to institutional pressures across several supplier relationships, ensuring that identified patterns were not confined to a single dyad. At the same time, variation in buyer characteristics offered opportunities to examine whether and how institutional mechanisms operated differently across contexts, thereby sharpening and extending the theoretical boundaries of the emerging model.</w:t>
      </w:r>
    </w:p>
    <w:p w14:paraId="2723E286" w14:textId="77777777" w:rsidR="00AD548A" w:rsidRDefault="00000000">
      <w:r>
        <w:rPr>
          <w:lang w:val="en-US"/>
        </w:rPr>
        <w:t>Informants who met our criteria were identified through one author's professional connections within the industry. The informants were selected from relevant departments and hold prominent positions, possessing specialized knowledge in relationship management</w:t>
      </w:r>
      <w:r>
        <w:rPr>
          <w:rFonts w:hint="eastAsia"/>
          <w:lang w:val="en-US"/>
        </w:rPr>
        <w:t>; as</w:t>
      </w:r>
      <w:r>
        <w:rPr>
          <w:lang w:val="en-US"/>
        </w:rPr>
        <w:t xml:space="preserve"> experience is the basis for developing the complex domain-relevant schemas (Dane and Pratt, 2007). </w:t>
      </w:r>
      <w:r>
        <w:rPr>
          <w:rFonts w:hint="eastAsia"/>
          <w:b/>
          <w:bCs/>
        </w:rPr>
        <w:t>Appendix 1</w:t>
      </w:r>
      <w:r>
        <w:rPr>
          <w:b/>
          <w:bCs/>
        </w:rPr>
        <w:t xml:space="preserve"> </w:t>
      </w:r>
      <w:r>
        <w:rPr>
          <w:rFonts w:hint="eastAsia"/>
        </w:rPr>
        <w:t>summarize</w:t>
      </w:r>
      <w:r>
        <w:t xml:space="preserve"> the details of the</w:t>
      </w:r>
      <w:r>
        <w:rPr>
          <w:rFonts w:hint="eastAsia"/>
        </w:rPr>
        <w:t xml:space="preserve"> cases</w:t>
      </w:r>
      <w:r>
        <w:t>.</w:t>
      </w:r>
    </w:p>
    <w:p w14:paraId="26B5ED2C" w14:textId="77777777" w:rsidR="00AD548A" w:rsidRDefault="00000000">
      <w:pPr>
        <w:pStyle w:val="Heading2"/>
      </w:pPr>
      <w:r>
        <w:t>3.</w:t>
      </w:r>
      <w:r>
        <w:rPr>
          <w:rFonts w:hint="eastAsia"/>
          <w:lang w:eastAsia="zh-CN"/>
        </w:rPr>
        <w:t>2</w:t>
      </w:r>
      <w:r>
        <w:t xml:space="preserve"> Data collection</w:t>
      </w:r>
    </w:p>
    <w:p w14:paraId="2C587732" w14:textId="77777777" w:rsidR="00AD548A" w:rsidRDefault="00000000">
      <w:pPr>
        <w:ind w:firstLineChars="0" w:firstLine="0"/>
      </w:pPr>
      <w:r>
        <w:rPr>
          <w:lang w:val="en-US"/>
        </w:rPr>
        <w:t xml:space="preserve">Scholars recommended between 4 and 10 cases </w:t>
      </w:r>
      <w:sdt>
        <w:sdtPr>
          <w:rPr>
            <w:lang w:val="en-US"/>
          </w:rPr>
          <w:tag w:val="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"/>
          <w:id w:val="92753691"/>
          <w:placeholder>
            <w:docPart w:val="F6588F1797DF4FFE87FC8EF17A0BE21B"/>
          </w:placeholder>
        </w:sdtPr>
        <w:sdtEndPr>
          <w:rPr>
            <w:lang w:val="en-GB"/>
          </w:rPr>
        </w:sdtEndPr>
        <w:sdtContent>
          <w:r>
            <w:t>(Eisenhardt, 2007; Ellegaard et al., 2022; Ketokivi and Choi, 2014; Roscoe et al., 2022)</w:t>
          </w:r>
        </w:sdtContent>
      </w:sdt>
      <w:r>
        <w:rPr>
          <w:lang w:val="en-US"/>
        </w:rPr>
        <w:t>. To better explore the phenomenon with more in-depth insights, we eventually identified a purposive sample of 1</w:t>
      </w:r>
      <w:r>
        <w:rPr>
          <w:rFonts w:hint="eastAsia"/>
          <w:lang w:val="en-US"/>
        </w:rPr>
        <w:t>4</w:t>
      </w:r>
      <w:r>
        <w:rPr>
          <w:lang w:val="en-US"/>
        </w:rPr>
        <w:t xml:space="preserve"> cases</w:t>
      </w:r>
      <w:r>
        <w:rPr>
          <w:rFonts w:hint="eastAsia"/>
          <w:lang w:val="en-US"/>
        </w:rPr>
        <w:t>,</w:t>
      </w:r>
      <w:r>
        <w:rPr>
          <w:lang w:val="en-US"/>
        </w:rPr>
        <w:t xml:space="preserve"> resulting 3</w:t>
      </w:r>
      <w:r>
        <w:rPr>
          <w:rFonts w:hint="eastAsia"/>
          <w:lang w:val="en-US"/>
        </w:rPr>
        <w:t>7</w:t>
      </w:r>
      <w:r>
        <w:rPr>
          <w:lang w:val="en-US"/>
        </w:rPr>
        <w:t xml:space="preserve"> interviews</w:t>
      </w:r>
      <w:r>
        <w:rPr>
          <w:rFonts w:hint="eastAsia"/>
          <w:lang w:val="en-US"/>
        </w:rPr>
        <w:t xml:space="preserve"> (25 with the suppliers, 12 with the buyers).</w:t>
      </w:r>
      <w:r>
        <w:rPr>
          <w:lang w:val="en-US"/>
        </w:rPr>
        <w:t xml:space="preserve"> </w:t>
      </w:r>
      <w:r>
        <w:rPr>
          <w:rFonts w:hint="eastAsia"/>
          <w:lang w:val="en-US"/>
        </w:rPr>
        <w:t>W</w:t>
      </w:r>
      <w:r>
        <w:rPr>
          <w:lang w:val="en-US"/>
        </w:rPr>
        <w:t xml:space="preserve">e achieved the theoretical saturation at this point </w:t>
      </w:r>
      <w:r>
        <w:t>regarding the concepts and themes that had started to emerge from our data</w:t>
      </w:r>
      <w:r>
        <w:rPr>
          <w:rFonts w:hint="eastAsia"/>
          <w:lang w:val="en-US"/>
        </w:rPr>
        <w:t xml:space="preserve"> </w:t>
      </w:r>
      <w:r>
        <w:rPr>
          <w:lang w:val="en-US"/>
        </w:rPr>
        <w:t>displaying similar characteristics on the key dimensions for literal replication to achieve a convincing empirical grounding, but without making the amount of data overly difficult to cope with</w:t>
      </w:r>
      <w:r>
        <w:rPr>
          <w:rFonts w:hint="eastAsia"/>
        </w:rPr>
        <w:t xml:space="preserve"> </w:t>
      </w:r>
      <w:sdt>
        <w:sdtPr>
          <w:rPr>
            <w:rFonts w:hint="eastAsia"/>
          </w:rPr>
          <w:tag w:val="MENDELEY_CITATION_v3_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"/>
          <w:id w:val="52903722"/>
          <w:placeholder>
            <w:docPart w:val="0BF1B399856E4E5096FF466FEC8E201A"/>
          </w:placeholder>
        </w:sdtPr>
        <w:sdtContent>
          <w:r>
            <w:t>(Eisenhardt, 2007)</w:t>
          </w:r>
        </w:sdtContent>
      </w:sdt>
      <w:r>
        <w:rPr>
          <w:rFonts w:hint="eastAsia"/>
        </w:rPr>
        <w:t>.</w:t>
      </w:r>
    </w:p>
    <w:p w14:paraId="58E17435" w14:textId="77777777" w:rsidR="00AD548A" w:rsidRDefault="00000000">
      <w:r>
        <w:lastRenderedPageBreak/>
        <w:t>Fieldwork was conducted from the end of 202</w:t>
      </w:r>
      <w:r>
        <w:rPr>
          <w:rFonts w:hint="eastAsia"/>
        </w:rPr>
        <w:t>2</w:t>
      </w:r>
      <w:r>
        <w:t xml:space="preserve"> to the middle of 202</w:t>
      </w:r>
      <w:r>
        <w:rPr>
          <w:rFonts w:hint="eastAsia"/>
        </w:rPr>
        <w:t>4</w:t>
      </w:r>
      <w:r>
        <w:t xml:space="preserve">. Semi-structured interviews were conducted for this research to articulate events, reasons, and matters that led to development of countervailing power </w:t>
      </w:r>
      <w:sdt>
        <w:sdtPr>
          <w:tag w:val="MENDELEY_CITATION_v3_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"/>
          <w:id w:val="893233235"/>
          <w:placeholder>
            <w:docPart w:val="31E13E64BECA46B4A63C18065D38A3E8"/>
          </w:placeholder>
        </w:sdtPr>
        <w:sdtContent>
          <w:r>
            <w:t>(Hermanowicz, 2013)</w:t>
          </w:r>
        </w:sdtContent>
      </w:sdt>
      <w:r>
        <w:t>, and all interviews were recorded upon agreement (60-120 minutes).</w:t>
      </w:r>
      <w:r>
        <w:rPr>
          <w:rFonts w:hint="eastAsia"/>
        </w:rPr>
        <w:t xml:space="preserve"> </w:t>
      </w:r>
      <w:r>
        <w:t>I</w:t>
      </w:r>
      <w:r>
        <w:rPr>
          <w:rFonts w:hint="eastAsia"/>
        </w:rPr>
        <w:t>nformants from the SMEs were interviewed first to describe experiences of their power bargaining with the powerful buyers during the early period of the pandemic. Subsequently, they were asked to report the specific institutional elements and how they intervened in the effort of power-balancing. Same process was taken when interviewing the powerful buyers. we communicated again with both the dominated SMEs and the dominating buyers about concerns and conflicting themes emerged during interviews for further validation and verification.</w:t>
      </w:r>
    </w:p>
    <w:p w14:paraId="5C33F430" w14:textId="77777777" w:rsidR="00AD548A" w:rsidRDefault="00000000">
      <w:pPr>
        <w:rPr>
          <w:rFonts w:eastAsia="Calibri"/>
        </w:rPr>
      </w:pPr>
      <w:r>
        <w:rPr>
          <w:rFonts w:eastAsia="Calibri" w:hint="eastAsia"/>
        </w:rPr>
        <w:t>To ensure interviews systematically captured the core phenomena of power dynamics and institutional interventions, we employed a semi-structured protocol organized around four thematic blocks, progressing from general context to specific mechanisms</w:t>
      </w:r>
      <w:r>
        <w:rPr>
          <w:rFonts w:eastAsia="SimSun" w:hint="eastAsia"/>
          <w:lang w:val="en-US"/>
        </w:rPr>
        <w:t>,</w:t>
      </w:r>
      <w:r>
        <w:rPr>
          <w:rFonts w:eastAsia="Calibri" w:hint="eastAsia"/>
        </w:rPr>
        <w:t xml:space="preserve"> to elicit rich, narrative data about experiences before, during, and after the pandemic disruption.</w:t>
      </w:r>
      <w:r>
        <w:rPr>
          <w:rFonts w:eastAsia="SimSun" w:hint="eastAsia"/>
          <w:lang w:val="en-US"/>
        </w:rPr>
        <w:t xml:space="preserve"> First,</w:t>
      </w:r>
      <w:r>
        <w:rPr>
          <w:rFonts w:eastAsia="Calibri" w:hint="eastAsia"/>
        </w:rPr>
        <w:t xml:space="preserve"> Background and Relationship </w:t>
      </w:r>
      <w:r>
        <w:rPr>
          <w:rFonts w:eastAsia="SimSun" w:hint="eastAsia"/>
          <w:lang w:val="en-US"/>
        </w:rPr>
        <w:t>information were required to</w:t>
      </w:r>
      <w:r>
        <w:rPr>
          <w:rFonts w:eastAsia="Calibri" w:hint="eastAsia"/>
        </w:rPr>
        <w:t xml:space="preserve"> establish the nature of the buyer-supplier relationship.</w:t>
      </w:r>
      <w:r>
        <w:rPr>
          <w:rFonts w:eastAsia="SimSun" w:hint="eastAsia"/>
          <w:lang w:val="en-US"/>
        </w:rPr>
        <w:t xml:space="preserve"> Second, i</w:t>
      </w:r>
      <w:r>
        <w:rPr>
          <w:rFonts w:eastAsia="Calibri" w:hint="eastAsia"/>
        </w:rPr>
        <w:t>nformants were asked to describe the balance of power, negotiation processes, and conflict resolution in the relationship before COVID-19, probing for specific examples of mediated and non-mediated power use.</w:t>
      </w:r>
      <w:r>
        <w:rPr>
          <w:rFonts w:eastAsia="SimSun" w:hint="eastAsia"/>
          <w:lang w:val="en-US"/>
        </w:rPr>
        <w:t xml:space="preserve"> Third, we focused on e</w:t>
      </w:r>
      <w:r>
        <w:rPr>
          <w:rFonts w:eastAsia="Calibri"/>
        </w:rPr>
        <w:t>xperiences</w:t>
      </w:r>
      <w:r>
        <w:rPr>
          <w:rFonts w:eastAsia="Calibri" w:hint="eastAsia"/>
        </w:rPr>
        <w:t xml:space="preserve"> </w:t>
      </w:r>
      <w:r>
        <w:rPr>
          <w:rFonts w:eastAsia="SimSun" w:hint="eastAsia"/>
          <w:lang w:val="en-US"/>
        </w:rPr>
        <w:t>d</w:t>
      </w:r>
      <w:r>
        <w:rPr>
          <w:rFonts w:eastAsia="Calibri" w:hint="eastAsia"/>
        </w:rPr>
        <w:t xml:space="preserve">uring the </w:t>
      </w:r>
      <w:r>
        <w:rPr>
          <w:rFonts w:eastAsia="SimSun" w:hint="eastAsia"/>
          <w:lang w:val="en-US"/>
        </w:rPr>
        <w:t>p</w:t>
      </w:r>
      <w:r>
        <w:rPr>
          <w:rFonts w:eastAsia="Calibri" w:hint="eastAsia"/>
        </w:rPr>
        <w:t xml:space="preserve">andemic </w:t>
      </w:r>
      <w:r>
        <w:rPr>
          <w:rFonts w:eastAsia="SimSun" w:hint="eastAsia"/>
          <w:lang w:val="en-US"/>
        </w:rPr>
        <w:t>c</w:t>
      </w:r>
      <w:r>
        <w:rPr>
          <w:rFonts w:eastAsia="Calibri" w:hint="eastAsia"/>
        </w:rPr>
        <w:t>risis</w:t>
      </w:r>
      <w:r>
        <w:rPr>
          <w:rFonts w:eastAsia="SimSun" w:hint="eastAsia"/>
          <w:lang w:val="en-US"/>
        </w:rPr>
        <w:t xml:space="preserve"> to explore</w:t>
      </w:r>
      <w:r>
        <w:rPr>
          <w:rFonts w:eastAsia="Calibri" w:hint="eastAsia"/>
        </w:rPr>
        <w:t xml:space="preserve"> changes triggered by the pandemic.</w:t>
      </w:r>
      <w:r>
        <w:rPr>
          <w:rFonts w:eastAsia="SimSun" w:hint="eastAsia"/>
          <w:lang w:val="en-US"/>
        </w:rPr>
        <w:t xml:space="preserve"> Forth, we investigated the r</w:t>
      </w:r>
      <w:r>
        <w:rPr>
          <w:rFonts w:eastAsia="Calibri" w:hint="eastAsia"/>
        </w:rPr>
        <w:t xml:space="preserve">ole of </w:t>
      </w:r>
      <w:r>
        <w:rPr>
          <w:rFonts w:eastAsia="SimSun" w:hint="eastAsia"/>
          <w:lang w:val="en-US"/>
        </w:rPr>
        <w:t>i</w:t>
      </w:r>
      <w:r>
        <w:rPr>
          <w:rFonts w:eastAsia="Calibri" w:hint="eastAsia"/>
        </w:rPr>
        <w:t xml:space="preserve">nstitutional </w:t>
      </w:r>
      <w:r>
        <w:rPr>
          <w:rFonts w:eastAsia="SimSun" w:hint="eastAsia"/>
          <w:lang w:val="en-US"/>
        </w:rPr>
        <w:t>i</w:t>
      </w:r>
      <w:r>
        <w:rPr>
          <w:rFonts w:eastAsia="Calibri" w:hint="eastAsia"/>
        </w:rPr>
        <w:t>nterventions</w:t>
      </w:r>
      <w:r>
        <w:rPr>
          <w:rFonts w:eastAsia="SimSun" w:hint="eastAsia"/>
          <w:lang w:val="en-US"/>
        </w:rPr>
        <w:t xml:space="preserve">. </w:t>
      </w:r>
      <w:r>
        <w:rPr>
          <w:rFonts w:eastAsia="Calibri" w:hint="eastAsia"/>
        </w:rPr>
        <w:t xml:space="preserve">Informants were prompted to identify any external entities </w:t>
      </w:r>
      <w:r>
        <w:rPr>
          <w:rFonts w:eastAsia="Calibri" w:hint="eastAsia"/>
        </w:rPr>
        <w:lastRenderedPageBreak/>
        <w:t>that became involved</w:t>
      </w:r>
      <w:r>
        <w:rPr>
          <w:rFonts w:eastAsia="SimSun" w:hint="eastAsia"/>
          <w:lang w:val="en-US"/>
        </w:rPr>
        <w:t>,</w:t>
      </w:r>
      <w:r>
        <w:rPr>
          <w:rFonts w:eastAsia="Calibri" w:hint="eastAsia"/>
        </w:rPr>
        <w:t xml:space="preserve"> the nature of the intervention, </w:t>
      </w:r>
      <w:r>
        <w:rPr>
          <w:rFonts w:eastAsia="SimSun" w:hint="eastAsia"/>
          <w:lang w:val="en-US"/>
        </w:rPr>
        <w:t>and the</w:t>
      </w:r>
      <w:r>
        <w:rPr>
          <w:rFonts w:eastAsia="Calibri" w:hint="eastAsia"/>
        </w:rPr>
        <w:t xml:space="preserve"> perceived impact on the relationship dynamics.</w:t>
      </w:r>
      <w:r>
        <w:rPr>
          <w:rFonts w:eastAsia="SimSun" w:hint="eastAsia"/>
          <w:lang w:val="en-US"/>
        </w:rPr>
        <w:t xml:space="preserve"> </w:t>
      </w:r>
      <w:r>
        <w:rPr>
          <w:rFonts w:eastAsia="Calibri" w:hint="eastAsia"/>
        </w:rPr>
        <w:t xml:space="preserve">The core protocol is summarized in </w:t>
      </w:r>
      <w:r>
        <w:rPr>
          <w:rFonts w:eastAsia="Calibri" w:hint="eastAsia"/>
          <w:b/>
          <w:bCs/>
        </w:rPr>
        <w:t xml:space="preserve">Appendix </w:t>
      </w:r>
      <w:r>
        <w:rPr>
          <w:rFonts w:eastAsia="SimSun" w:hint="eastAsia"/>
          <w:b/>
          <w:bCs/>
          <w:lang w:val="en-US"/>
        </w:rPr>
        <w:t>2</w:t>
      </w:r>
      <w:r>
        <w:rPr>
          <w:rFonts w:eastAsia="Calibri" w:hint="eastAsia"/>
        </w:rPr>
        <w:t>.</w:t>
      </w:r>
    </w:p>
    <w:p w14:paraId="502BB499" w14:textId="77777777" w:rsidR="00AD548A" w:rsidRDefault="00000000">
      <w:pPr>
        <w:pStyle w:val="Heading2"/>
      </w:pPr>
      <w:r>
        <w:t>3.</w:t>
      </w:r>
      <w:r>
        <w:rPr>
          <w:rFonts w:hint="eastAsia"/>
          <w:lang w:eastAsia="zh-CN"/>
        </w:rPr>
        <w:t>3</w:t>
      </w:r>
      <w:r>
        <w:t xml:space="preserve"> Case analysis</w:t>
      </w:r>
    </w:p>
    <w:p w14:paraId="37BC1F49" w14:textId="77777777" w:rsidR="00AD548A" w:rsidRDefault="00000000">
      <w:pPr>
        <w:ind w:firstLineChars="0" w:firstLine="0"/>
      </w:pPr>
      <w:r>
        <w:t xml:space="preserve">A Gioia method was used in analysing and interpreting the data </w:t>
      </w:r>
      <w:sdt>
        <w:sdtPr>
          <w:tag w:val="MENDELEY_CITATION_v3_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"/>
          <w:id w:val="1375354727"/>
          <w:placeholder>
            <w:docPart w:val="F6588F1797DF4FFE87FC8EF17A0BE21B"/>
          </w:placeholder>
        </w:sdtPr>
        <w:sdtContent>
          <w:r>
            <w:t xml:space="preserve">(Gioia </w:t>
          </w:r>
          <w:r>
            <w:rPr>
              <w:i/>
              <w:iCs/>
            </w:rPr>
            <w:t>et al.</w:t>
          </w:r>
          <w:r>
            <w:t>, 2013)</w:t>
          </w:r>
        </w:sdtContent>
      </w:sdt>
      <w:r>
        <w:t>. The data analysis was executed in two distinct phases. "</w:t>
      </w:r>
      <w:r>
        <w:rPr>
          <w:rFonts w:hint="eastAsia"/>
        </w:rPr>
        <w:t>O</w:t>
      </w:r>
      <w:r>
        <w:t xml:space="preserve">pen coding" </w:t>
      </w:r>
      <w:r>
        <w:rPr>
          <w:rFonts w:hint="eastAsia"/>
        </w:rPr>
        <w:t xml:space="preserve">phase </w:t>
      </w:r>
      <w:r>
        <w:t xml:space="preserve">was spearheaded by the first author </w:t>
      </w:r>
      <w:r>
        <w:rPr>
          <w:rFonts w:hint="eastAsia"/>
        </w:rPr>
        <w:t xml:space="preserve">to </w:t>
      </w:r>
      <w:r>
        <w:t>devis</w:t>
      </w:r>
      <w:r>
        <w:rPr>
          <w:rFonts w:hint="eastAsia"/>
        </w:rPr>
        <w:t>e</w:t>
      </w:r>
      <w:r>
        <w:t xml:space="preserve"> a set of categories that aptly encapsulated the data vis-à-vis the research question</w:t>
      </w:r>
      <w:r>
        <w:rPr>
          <w:rFonts w:hint="eastAsia"/>
        </w:rPr>
        <w:t xml:space="preserve">. </w:t>
      </w:r>
      <w:r>
        <w:t>T</w:t>
      </w:r>
      <w:r>
        <w:rPr>
          <w:rFonts w:hint="eastAsia"/>
        </w:rPr>
        <w:t>he information derived at this stage was</w:t>
      </w:r>
      <w:r>
        <w:t xml:space="preserve"> subsequently deliberated and refined in collaboration with the research team through iterative discussions. </w:t>
      </w:r>
      <w:r>
        <w:rPr>
          <w:rFonts w:hint="eastAsia"/>
        </w:rPr>
        <w:t>Then</w:t>
      </w:r>
      <w:r>
        <w:t xml:space="preserve">, previously coded interviews were revisited whenever novel codes </w:t>
      </w:r>
      <w:r>
        <w:rPr>
          <w:rFonts w:hint="eastAsia"/>
        </w:rPr>
        <w:t>emerged</w:t>
      </w:r>
      <w:r>
        <w:t xml:space="preserve">. The keywords and pivotal sentences </w:t>
      </w:r>
      <w:r>
        <w:rPr>
          <w:rFonts w:hint="eastAsia"/>
        </w:rPr>
        <w:t>from</w:t>
      </w:r>
      <w:r>
        <w:t xml:space="preserve"> the interviewees were instrumental in classifying their viewpoints and in extrapolating the primary constructs for this </w:t>
      </w:r>
      <w:r>
        <w:rPr>
          <w:rFonts w:hint="eastAsia"/>
        </w:rPr>
        <w:t>study</w:t>
      </w:r>
      <w:r>
        <w:t xml:space="preserve"> </w:t>
      </w:r>
      <w:sdt>
        <w:sdtPr>
          <w:tag w:val="MENDELEY_CITATION_v3_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"/>
          <w:id w:val="1582559890"/>
          <w:placeholder>
            <w:docPart w:val="F6588F1797DF4FFE87FC8EF17A0BE21B"/>
          </w:placeholder>
        </w:sdtPr>
        <w:sdtContent>
          <w:r>
            <w:t xml:space="preserve">(Piekkari </w:t>
          </w:r>
          <w:r>
            <w:rPr>
              <w:i/>
              <w:iCs/>
            </w:rPr>
            <w:t>et al.</w:t>
          </w:r>
          <w:r>
            <w:t>, 2010)</w:t>
          </w:r>
        </w:sdtContent>
      </w:sdt>
      <w:r>
        <w:t xml:space="preserve">. </w:t>
      </w:r>
    </w:p>
    <w:p w14:paraId="4708F4DB" w14:textId="77777777" w:rsidR="00AD548A" w:rsidRDefault="00000000">
      <w:pPr>
        <w:rPr>
          <w:rFonts w:eastAsia="Calibri"/>
        </w:rPr>
      </w:pPr>
      <w:r>
        <w:rPr>
          <w:rFonts w:eastAsia="Calibri"/>
        </w:rPr>
        <w:t>Following the principles of inductive data analysis</w:t>
      </w:r>
      <w:r>
        <w:rPr>
          <w:rFonts w:eastAsia="Calibri" w:hint="eastAsia"/>
        </w:rPr>
        <w:t xml:space="preserve"> </w:t>
      </w:r>
      <w:sdt>
        <w:sdtPr>
          <w:rPr>
            <w:rFonts w:eastAsia="Calibri"/>
          </w:rPr>
          <w:tag w:val="MENDELEY_CITATION_v3_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"/>
          <w:id w:val="147459950"/>
          <w:placeholder>
            <w:docPart w:val="{817b8099-156c-4ebd-aceb-e09116bbfd26}"/>
          </w:placeholder>
        </w:sdtPr>
        <w:sdtContent>
          <w:r>
            <w:rPr>
              <w:rFonts w:eastAsia="Calibri"/>
            </w:rPr>
            <w:t>(Randall and Mello, 2012)</w:t>
          </w:r>
        </w:sdtContent>
      </w:sdt>
      <w:r>
        <w:rPr>
          <w:rFonts w:eastAsia="Calibri"/>
        </w:rPr>
        <w:t>,</w:t>
      </w:r>
      <w:r>
        <w:rPr>
          <w:rFonts w:eastAsia="SimSun" w:hint="eastAsia"/>
          <w:lang w:val="en-US"/>
        </w:rPr>
        <w:t xml:space="preserve"> t</w:t>
      </w:r>
      <w:r>
        <w:rPr>
          <w:rFonts w:eastAsia="Calibri" w:hint="eastAsia"/>
        </w:rPr>
        <w:t>o move from rich, descriptive data to robust theoretical insights, we employed a rigorous, multi-phase analytical process grounded in the Gioia methodology (Gioia et al., 2013) and enhanced by systematic team-based coding and temporal analysis.</w:t>
      </w:r>
      <w:r>
        <w:rPr>
          <w:rFonts w:eastAsia="Calibri"/>
        </w:rPr>
        <w:t xml:space="preserve"> </w:t>
      </w:r>
    </w:p>
    <w:p w14:paraId="3DA65E62" w14:textId="77777777" w:rsidR="00AD548A" w:rsidRDefault="00000000">
      <w:pPr>
        <w:rPr>
          <w:rFonts w:eastAsia="Calibri"/>
        </w:rPr>
      </w:pPr>
      <w:r>
        <w:rPr>
          <w:rFonts w:eastAsia="SimSun" w:hint="eastAsia"/>
          <w:lang w:val="en-US"/>
        </w:rPr>
        <w:t xml:space="preserve">In </w:t>
      </w:r>
      <w:r>
        <w:rPr>
          <w:rFonts w:eastAsia="Calibri" w:hint="eastAsia"/>
        </w:rPr>
        <w:t>Phase 1</w:t>
      </w:r>
      <w:r>
        <w:rPr>
          <w:rFonts w:eastAsia="SimSun" w:hint="eastAsia"/>
          <w:lang w:val="en-US"/>
        </w:rPr>
        <w:t>, t</w:t>
      </w:r>
      <w:r>
        <w:rPr>
          <w:rFonts w:eastAsia="Calibri" w:hint="eastAsia"/>
        </w:rPr>
        <w:t xml:space="preserve">he first author conducted the initial </w:t>
      </w:r>
      <w:r>
        <w:rPr>
          <w:rFonts w:eastAsia="SimSun" w:hint="eastAsia"/>
          <w:lang w:val="en-US"/>
        </w:rPr>
        <w:t>open</w:t>
      </w:r>
      <w:r>
        <w:rPr>
          <w:rFonts w:eastAsia="Calibri" w:hint="eastAsia"/>
        </w:rPr>
        <w:t xml:space="preserve"> coding of all 37 interview transcripts using NVivo software. This inductive phase aimed to stay close to the informants' language, generating over 80 distinct first-order codes.</w:t>
      </w:r>
      <w:r>
        <w:rPr>
          <w:rFonts w:eastAsia="SimSun" w:hint="eastAsia"/>
          <w:lang w:val="en-US"/>
        </w:rPr>
        <w:t xml:space="preserve"> </w:t>
      </w:r>
      <w:r>
        <w:rPr>
          <w:rFonts w:eastAsia="Calibri" w:hint="eastAsia"/>
        </w:rPr>
        <w:t>Phase 2</w:t>
      </w:r>
      <w:r>
        <w:rPr>
          <w:rFonts w:eastAsia="SimSun" w:hint="eastAsia"/>
          <w:lang w:val="en-US"/>
        </w:rPr>
        <w:t xml:space="preserve"> focused on s</w:t>
      </w:r>
      <w:r>
        <w:rPr>
          <w:rFonts w:eastAsia="Calibri" w:hint="eastAsia"/>
        </w:rPr>
        <w:t>econd-</w:t>
      </w:r>
      <w:r>
        <w:rPr>
          <w:rFonts w:eastAsia="SimSun" w:hint="eastAsia"/>
          <w:lang w:val="en-US"/>
        </w:rPr>
        <w:t>o</w:t>
      </w:r>
      <w:r>
        <w:rPr>
          <w:rFonts w:eastAsia="Calibri" w:hint="eastAsia"/>
        </w:rPr>
        <w:t xml:space="preserve">rder </w:t>
      </w:r>
      <w:r>
        <w:rPr>
          <w:rFonts w:eastAsia="SimSun" w:hint="eastAsia"/>
          <w:lang w:val="en-US"/>
        </w:rPr>
        <w:t>t</w:t>
      </w:r>
      <w:r>
        <w:rPr>
          <w:rFonts w:eastAsia="Calibri" w:hint="eastAsia"/>
        </w:rPr>
        <w:t xml:space="preserve">heme </w:t>
      </w:r>
      <w:r>
        <w:rPr>
          <w:rFonts w:eastAsia="SimSun" w:hint="eastAsia"/>
          <w:lang w:val="en-US"/>
        </w:rPr>
        <w:t>d</w:t>
      </w:r>
      <w:r>
        <w:rPr>
          <w:rFonts w:eastAsia="Calibri" w:hint="eastAsia"/>
        </w:rPr>
        <w:t>evelopment</w:t>
      </w:r>
      <w:r>
        <w:rPr>
          <w:rFonts w:eastAsia="SimSun" w:hint="eastAsia"/>
          <w:lang w:val="en-US"/>
        </w:rPr>
        <w:t>.</w:t>
      </w:r>
      <w:r>
        <w:rPr>
          <w:rFonts w:eastAsia="Calibri" w:hint="eastAsia"/>
        </w:rPr>
        <w:t xml:space="preserve"> The research team engaged in </w:t>
      </w:r>
      <w:r>
        <w:rPr>
          <w:rFonts w:eastAsia="SimSun" w:hint="eastAsia"/>
          <w:lang w:val="en-US"/>
        </w:rPr>
        <w:t>regular</w:t>
      </w:r>
      <w:r>
        <w:rPr>
          <w:rFonts w:eastAsia="Calibri" w:hint="eastAsia"/>
        </w:rPr>
        <w:t xml:space="preserve"> discussions to analyze, challenge, and cluster the first-order codes. Through repeated comparison and debate, we aggregated them into second-order themes that represented broader </w:t>
      </w:r>
      <w:r>
        <w:rPr>
          <w:rFonts w:eastAsia="Calibri" w:hint="eastAsia"/>
        </w:rPr>
        <w:lastRenderedPageBreak/>
        <w:t xml:space="preserve">theoretical concepts. Consensus on theme definitions and boundaries was reached through iterative discussion, </w:t>
      </w:r>
      <w:r>
        <w:rPr>
          <w:rFonts w:eastAsia="SimSun" w:hint="eastAsia"/>
          <w:lang w:val="en-US"/>
        </w:rPr>
        <w:t>and</w:t>
      </w:r>
      <w:r>
        <w:rPr>
          <w:rFonts w:eastAsia="Calibri" w:hint="eastAsia"/>
        </w:rPr>
        <w:t xml:space="preserve"> </w:t>
      </w:r>
      <w:r>
        <w:rPr>
          <w:rFonts w:eastAsia="SimSun" w:hint="eastAsia"/>
          <w:lang w:val="en-US"/>
        </w:rPr>
        <w:t xml:space="preserve">we returned to </w:t>
      </w:r>
      <w:r>
        <w:rPr>
          <w:rFonts w:eastAsia="Calibri" w:hint="eastAsia"/>
        </w:rPr>
        <w:t>raw data to resolve discrepancies.</w:t>
      </w:r>
      <w:r>
        <w:rPr>
          <w:rFonts w:eastAsia="SimSun" w:hint="eastAsia"/>
          <w:lang w:val="en-US"/>
        </w:rPr>
        <w:t xml:space="preserve"> </w:t>
      </w:r>
      <w:r>
        <w:rPr>
          <w:rFonts w:eastAsia="Calibri" w:hint="eastAsia"/>
        </w:rPr>
        <w:t>Finally, we distilled the second-order themes into overarching aggregate dimensions</w:t>
      </w:r>
      <w:r>
        <w:rPr>
          <w:rFonts w:eastAsia="SimSun" w:hint="eastAsia"/>
          <w:lang w:val="en-US"/>
        </w:rPr>
        <w:t xml:space="preserve"> in Phase 3 to</w:t>
      </w:r>
      <w:r>
        <w:rPr>
          <w:rFonts w:eastAsia="Calibri" w:hint="eastAsia"/>
        </w:rPr>
        <w:t xml:space="preserve"> constitute the core constructs of our model</w:t>
      </w:r>
      <w:r>
        <w:rPr>
          <w:rFonts w:eastAsia="SimSun" w:hint="eastAsia"/>
          <w:lang w:val="en-US"/>
        </w:rPr>
        <w:t xml:space="preserve">, including </w:t>
      </w:r>
      <w:r>
        <w:rPr>
          <w:rFonts w:eastAsia="Calibri" w:hint="eastAsia"/>
        </w:rPr>
        <w:t>Institutional Tactics for Supplier Empowerment, Institutional Tactics for Buyer Constraint, and the resulting shifts in Power Dynamics. This structured progression from raw data to theory is depicted in the data structure (</w:t>
      </w:r>
      <w:r>
        <w:rPr>
          <w:rFonts w:eastAsia="SimSun" w:hint="eastAsia"/>
          <w:lang w:val="en-US"/>
        </w:rPr>
        <w:t xml:space="preserve">please see </w:t>
      </w:r>
      <w:r>
        <w:rPr>
          <w:rFonts w:eastAsia="Calibri" w:hint="eastAsia"/>
          <w:b/>
          <w:bCs/>
        </w:rPr>
        <w:t>Figure 1</w:t>
      </w:r>
      <w:r>
        <w:rPr>
          <w:rFonts w:eastAsia="Calibri" w:hint="eastAsia"/>
        </w:rPr>
        <w:t xml:space="preserve">), which visually maps the analytic </w:t>
      </w:r>
      <w:r>
        <w:rPr>
          <w:rFonts w:eastAsia="SimSun" w:hint="eastAsia"/>
          <w:lang w:val="en-US"/>
        </w:rPr>
        <w:t>process</w:t>
      </w:r>
      <w:r>
        <w:rPr>
          <w:rFonts w:eastAsia="Calibri" w:hint="eastAsia"/>
        </w:rPr>
        <w:t>.</w:t>
      </w:r>
    </w:p>
    <w:p w14:paraId="327FB3DD" w14:textId="77777777" w:rsidR="00AD548A" w:rsidRDefault="00000000">
      <w:pPr>
        <w:jc w:val="center"/>
        <w:rPr>
          <w:rFonts w:eastAsia="Calibri"/>
        </w:rPr>
      </w:pPr>
      <w:r>
        <w:rPr>
          <w:rFonts w:eastAsia="Calibri" w:hint="eastAsia"/>
        </w:rPr>
        <w:t>[Insert Figure 1 about here]</w:t>
      </w:r>
    </w:p>
    <w:p w14:paraId="6823EC17" w14:textId="77777777" w:rsidR="00AD548A" w:rsidRDefault="00000000">
      <w:pPr>
        <w:rPr>
          <w:rFonts w:eastAsia="Calibri"/>
        </w:rPr>
      </w:pPr>
      <w:r>
        <w:rPr>
          <w:rFonts w:eastAsia="Calibri" w:hint="eastAsia"/>
        </w:rPr>
        <w:t xml:space="preserve">To move beyond descriptive restatement and strengthen the causal logic of our findings, </w:t>
      </w:r>
      <w:r>
        <w:rPr>
          <w:rFonts w:eastAsia="SimSun" w:hint="eastAsia"/>
          <w:lang w:val="en-US"/>
        </w:rPr>
        <w:t>w</w:t>
      </w:r>
      <w:r>
        <w:rPr>
          <w:rFonts w:eastAsia="Calibri" w:hint="eastAsia"/>
        </w:rPr>
        <w:t>e explicitly reconstructed sequences</w:t>
      </w:r>
      <w:r>
        <w:rPr>
          <w:rFonts w:eastAsia="SimSun" w:hint="eastAsia"/>
          <w:lang w:val="en-US"/>
        </w:rPr>
        <w:t xml:space="preserve"> of events</w:t>
      </w:r>
      <w:r>
        <w:rPr>
          <w:rFonts w:eastAsia="Calibri" w:hint="eastAsia"/>
        </w:rPr>
        <w:t xml:space="preserve"> within and across cases to establish causality. For example, we traced</w:t>
      </w:r>
      <w:r>
        <w:rPr>
          <w:rFonts w:eastAsia="SimSun" w:hint="eastAsia"/>
          <w:lang w:val="en-US"/>
        </w:rPr>
        <w:t xml:space="preserve"> from initially the</w:t>
      </w:r>
      <w:r>
        <w:rPr>
          <w:rFonts w:eastAsia="Calibri" w:hint="eastAsia"/>
        </w:rPr>
        <w:t xml:space="preserve"> </w:t>
      </w:r>
      <w:r>
        <w:rPr>
          <w:rFonts w:eastAsia="SimSun" w:hint="eastAsia"/>
          <w:lang w:val="en-US"/>
        </w:rPr>
        <w:t>g</w:t>
      </w:r>
      <w:r>
        <w:rPr>
          <w:rFonts w:eastAsia="Calibri" w:hint="eastAsia"/>
        </w:rPr>
        <w:t>overnment release</w:t>
      </w:r>
      <w:r>
        <w:rPr>
          <w:rFonts w:eastAsia="SimSun" w:hint="eastAsia"/>
          <w:lang w:val="en-US"/>
        </w:rPr>
        <w:t>d</w:t>
      </w:r>
      <w:r>
        <w:rPr>
          <w:rFonts w:eastAsia="Calibri" w:hint="eastAsia"/>
        </w:rPr>
        <w:t xml:space="preserve"> new regulation</w:t>
      </w:r>
      <w:r>
        <w:rPr>
          <w:rFonts w:eastAsia="SimSun" w:hint="eastAsia"/>
          <w:lang w:val="en-US"/>
        </w:rPr>
        <w:t>s</w:t>
      </w:r>
      <w:r>
        <w:rPr>
          <w:rFonts w:eastAsia="Calibri" w:hint="eastAsia"/>
        </w:rPr>
        <w:t xml:space="preserve"> on delayed payments</w:t>
      </w:r>
      <w:r>
        <w:rPr>
          <w:rFonts w:eastAsia="SimSun" w:hint="eastAsia"/>
          <w:lang w:val="en-US"/>
        </w:rPr>
        <w:t>, to the point that</w:t>
      </w:r>
      <w:r>
        <w:rPr>
          <w:rFonts w:eastAsia="Calibri" w:hint="eastAsia"/>
        </w:rPr>
        <w:t xml:space="preserve"> </w:t>
      </w:r>
      <w:r>
        <w:rPr>
          <w:rFonts w:eastAsia="SimSun" w:hint="eastAsia"/>
          <w:lang w:val="en-US"/>
        </w:rPr>
        <w:t>buyers</w:t>
      </w:r>
      <w:r>
        <w:rPr>
          <w:rFonts w:eastAsia="Calibri" w:hint="eastAsia"/>
        </w:rPr>
        <w:t xml:space="preserve"> receive</w:t>
      </w:r>
      <w:r>
        <w:rPr>
          <w:rFonts w:eastAsia="SimSun" w:hint="eastAsia"/>
          <w:lang w:val="en-US"/>
        </w:rPr>
        <w:t>d</w:t>
      </w:r>
      <w:r>
        <w:rPr>
          <w:rFonts w:eastAsia="Calibri" w:hint="eastAsia"/>
        </w:rPr>
        <w:t xml:space="preserve"> surprise audit</w:t>
      </w:r>
      <w:r>
        <w:rPr>
          <w:rFonts w:eastAsia="SimSun" w:hint="eastAsia"/>
          <w:lang w:val="en-US"/>
        </w:rPr>
        <w:t>, and then</w:t>
      </w:r>
      <w:r>
        <w:rPr>
          <w:rFonts w:eastAsia="Calibri" w:hint="eastAsia"/>
        </w:rPr>
        <w:t xml:space="preserve"> </w:t>
      </w:r>
      <w:r>
        <w:rPr>
          <w:rFonts w:eastAsia="SimSun" w:hint="eastAsia"/>
          <w:lang w:val="en-US"/>
        </w:rPr>
        <w:t>the buyers</w:t>
      </w:r>
      <w:r>
        <w:rPr>
          <w:rFonts w:eastAsia="Calibri" w:hint="eastAsia"/>
        </w:rPr>
        <w:t xml:space="preserve"> expedite</w:t>
      </w:r>
      <w:r>
        <w:rPr>
          <w:rFonts w:eastAsia="SimSun" w:hint="eastAsia"/>
          <w:lang w:val="en-US"/>
        </w:rPr>
        <w:t>d</w:t>
      </w:r>
      <w:r>
        <w:rPr>
          <w:rFonts w:eastAsia="Calibri" w:hint="eastAsia"/>
        </w:rPr>
        <w:t xml:space="preserve"> outstanding payments to suppliers</w:t>
      </w:r>
      <w:r>
        <w:rPr>
          <w:rFonts w:eastAsia="SimSun" w:hint="eastAsia"/>
          <w:lang w:val="en-US"/>
        </w:rPr>
        <w:t>, and eventually s</w:t>
      </w:r>
      <w:r>
        <w:rPr>
          <w:rFonts w:eastAsia="Calibri" w:hint="eastAsia"/>
        </w:rPr>
        <w:t>upplier report</w:t>
      </w:r>
      <w:r>
        <w:rPr>
          <w:rFonts w:eastAsia="SimSun" w:hint="eastAsia"/>
          <w:lang w:val="en-US"/>
        </w:rPr>
        <w:t>ed</w:t>
      </w:r>
      <w:r>
        <w:rPr>
          <w:rFonts w:eastAsia="Calibri" w:hint="eastAsia"/>
        </w:rPr>
        <w:t xml:space="preserve"> improved cash flow and perceived change in buyer attitude. </w:t>
      </w:r>
      <w:r>
        <w:rPr>
          <w:rFonts w:eastAsia="SimSun" w:hint="eastAsia"/>
          <w:lang w:val="en-US"/>
        </w:rPr>
        <w:t>Such</w:t>
      </w:r>
      <w:r>
        <w:rPr>
          <w:rFonts w:eastAsia="Calibri" w:hint="eastAsia"/>
        </w:rPr>
        <w:t xml:space="preserve"> temporal ordering was crucial for verifying the proposed causal chains between institutional actions, buyer constraint, and power-balancing outcomes.</w:t>
      </w:r>
    </w:p>
    <w:p w14:paraId="45252125" w14:textId="77777777" w:rsidR="00AD548A" w:rsidRDefault="00000000">
      <w:pPr>
        <w:rPr>
          <w:rFonts w:eastAsia="Calibri"/>
        </w:rPr>
      </w:pPr>
      <w:r>
        <w:rPr>
          <w:rFonts w:eastAsia="SimSun" w:hint="eastAsia"/>
          <w:lang w:val="en-US"/>
        </w:rPr>
        <w:t>In addition, w</w:t>
      </w:r>
      <w:r>
        <w:rPr>
          <w:rFonts w:eastAsia="Calibri" w:hint="eastAsia"/>
        </w:rPr>
        <w:t>e triangulated interview data within each dyad and across the ten dyadic cases to identify consistent patterns and variations. This process</w:t>
      </w:r>
      <w:r>
        <w:rPr>
          <w:rFonts w:eastAsia="SimSun" w:hint="eastAsia"/>
          <w:lang w:val="en-US"/>
        </w:rPr>
        <w:t xml:space="preserve"> (as shown in </w:t>
      </w:r>
      <w:r>
        <w:rPr>
          <w:rFonts w:eastAsia="Calibri" w:hint="eastAsia"/>
          <w:b/>
          <w:bCs/>
        </w:rPr>
        <w:t xml:space="preserve">Appendix </w:t>
      </w:r>
      <w:r>
        <w:rPr>
          <w:rFonts w:eastAsia="SimSun" w:hint="eastAsia"/>
          <w:b/>
          <w:bCs/>
          <w:lang w:val="en-US"/>
        </w:rPr>
        <w:t>3</w:t>
      </w:r>
      <w:r>
        <w:rPr>
          <w:rFonts w:eastAsia="Calibri" w:hint="eastAsia"/>
        </w:rPr>
        <w:t xml:space="preserve">) allowed us to distinguish between idiosyncratic events and generalizable mechanisms. Furthermore, we supplemented interview narratives with documentary evidence, such as policy announcements and official circulars referenced by informants, </w:t>
      </w:r>
      <w:r>
        <w:rPr>
          <w:rFonts w:eastAsia="Calibri" w:hint="eastAsia"/>
        </w:rPr>
        <w:lastRenderedPageBreak/>
        <w:t>to verify the timing and content of institutional interventions</w:t>
      </w:r>
      <w:r>
        <w:rPr>
          <w:rFonts w:eastAsia="SimSun" w:hint="eastAsia"/>
          <w:lang w:val="en-US"/>
        </w:rPr>
        <w:t xml:space="preserve"> (as shown in </w:t>
      </w:r>
      <w:r>
        <w:rPr>
          <w:rFonts w:eastAsia="SimSun" w:hint="eastAsia"/>
          <w:b/>
          <w:bCs/>
          <w:lang w:val="en-US"/>
        </w:rPr>
        <w:t>Appendix 4</w:t>
      </w:r>
      <w:r>
        <w:rPr>
          <w:rFonts w:eastAsia="SimSun" w:hint="eastAsia"/>
          <w:lang w:val="en-US"/>
        </w:rPr>
        <w:t>)</w:t>
      </w:r>
      <w:r>
        <w:rPr>
          <w:rFonts w:eastAsia="Calibri" w:hint="eastAsia"/>
        </w:rPr>
        <w:t>.</w:t>
      </w:r>
    </w:p>
    <w:p w14:paraId="3C756CC5" w14:textId="77777777" w:rsidR="00AD548A" w:rsidRDefault="00000000">
      <w:pPr>
        <w:rPr>
          <w:rFonts w:eastAsia="Calibri"/>
        </w:rPr>
      </w:pPr>
      <w:r>
        <w:rPr>
          <w:rFonts w:eastAsia="SimSun" w:hint="eastAsia"/>
          <w:lang w:val="en-US"/>
        </w:rPr>
        <w:t>The research team</w:t>
      </w:r>
      <w:r>
        <w:rPr>
          <w:rFonts w:eastAsia="Calibri" w:hint="eastAsia"/>
        </w:rPr>
        <w:t xml:space="preserve"> acknowledge that retrospective interview data </w:t>
      </w:r>
      <w:r>
        <w:rPr>
          <w:rFonts w:eastAsia="SimSun" w:hint="eastAsia"/>
          <w:lang w:val="en-US"/>
        </w:rPr>
        <w:t>could</w:t>
      </w:r>
      <w:r>
        <w:rPr>
          <w:rFonts w:eastAsia="Calibri" w:hint="eastAsia"/>
        </w:rPr>
        <w:t xml:space="preserve"> be subject to limitations such as post-hoc rationalization. The analytical strategies</w:t>
      </w:r>
      <w:r>
        <w:rPr>
          <w:rFonts w:eastAsia="SimSun" w:hint="eastAsia"/>
          <w:lang w:val="en-US"/>
        </w:rPr>
        <w:t xml:space="preserve"> including the</w:t>
      </w:r>
      <w:r>
        <w:rPr>
          <w:rFonts w:eastAsia="Calibri" w:hint="eastAsia"/>
        </w:rPr>
        <w:t xml:space="preserve"> temporal sequence analysis and data triangulation across dyadic partners and documentary sources</w:t>
      </w:r>
      <w:r>
        <w:rPr>
          <w:rFonts w:eastAsia="SimSun" w:hint="eastAsia"/>
          <w:lang w:val="en-US"/>
        </w:rPr>
        <w:t xml:space="preserve">, </w:t>
      </w:r>
      <w:r>
        <w:rPr>
          <w:rFonts w:eastAsia="Calibri" w:hint="eastAsia"/>
        </w:rPr>
        <w:t>were employed</w:t>
      </w:r>
      <w:r>
        <w:rPr>
          <w:rFonts w:eastAsia="SimSun" w:hint="eastAsia"/>
          <w:lang w:val="en-US"/>
        </w:rPr>
        <w:t xml:space="preserve"> to enable </w:t>
      </w:r>
      <w:r>
        <w:rPr>
          <w:rFonts w:eastAsia="Calibri" w:hint="eastAsia"/>
        </w:rPr>
        <w:t xml:space="preserve">cross-verifying </w:t>
      </w:r>
      <w:r>
        <w:rPr>
          <w:rFonts w:eastAsia="SimSun" w:hint="eastAsia"/>
          <w:lang w:val="en-US"/>
        </w:rPr>
        <w:t xml:space="preserve">among </w:t>
      </w:r>
      <w:r>
        <w:rPr>
          <w:rFonts w:eastAsia="Calibri" w:hint="eastAsia"/>
        </w:rPr>
        <w:t>subjective accounts</w:t>
      </w:r>
      <w:r>
        <w:rPr>
          <w:rFonts w:eastAsia="SimSun" w:hint="eastAsia"/>
          <w:lang w:val="en-US"/>
        </w:rPr>
        <w:t xml:space="preserve">, </w:t>
      </w:r>
      <w:r>
        <w:rPr>
          <w:rFonts w:eastAsia="Calibri" w:hint="eastAsia"/>
        </w:rPr>
        <w:t>objective evidence and multiple perspectives</w:t>
      </w:r>
      <w:r>
        <w:rPr>
          <w:rFonts w:eastAsia="SimSun" w:hint="eastAsia"/>
          <w:lang w:val="en-US"/>
        </w:rPr>
        <w:t xml:space="preserve">, therefore </w:t>
      </w:r>
      <w:r>
        <w:rPr>
          <w:rFonts w:eastAsia="Calibri" w:hint="eastAsia"/>
        </w:rPr>
        <w:t>strengthen causal logic</w:t>
      </w:r>
      <w:r>
        <w:rPr>
          <w:rFonts w:eastAsia="SimSun" w:hint="eastAsia"/>
          <w:lang w:val="en-US"/>
        </w:rPr>
        <w:t>, and</w:t>
      </w:r>
      <w:r>
        <w:rPr>
          <w:rFonts w:eastAsia="Calibri" w:hint="eastAsia"/>
        </w:rPr>
        <w:t xml:space="preserve"> mitigate potential biases</w:t>
      </w:r>
      <w:r>
        <w:rPr>
          <w:rFonts w:eastAsia="SimSun" w:hint="eastAsia"/>
          <w:lang w:val="en-US"/>
        </w:rPr>
        <w:t>.</w:t>
      </w:r>
    </w:p>
    <w:p w14:paraId="7FDAA3B8" w14:textId="77777777" w:rsidR="00AD548A" w:rsidRDefault="00000000">
      <w:pPr>
        <w:pStyle w:val="Heading2"/>
        <w:rPr>
          <w:lang w:eastAsia="zh-CN"/>
        </w:rPr>
      </w:pPr>
      <w:r>
        <w:rPr>
          <w:lang w:eastAsia="zh-CN"/>
        </w:rPr>
        <w:t xml:space="preserve">4. </w:t>
      </w:r>
      <w:r>
        <w:rPr>
          <w:rFonts w:hint="eastAsia"/>
          <w:lang w:eastAsia="zh-CN"/>
        </w:rPr>
        <w:t>F</w:t>
      </w:r>
      <w:r>
        <w:rPr>
          <w:lang w:eastAsia="zh-CN"/>
        </w:rPr>
        <w:t>indings</w:t>
      </w:r>
    </w:p>
    <w:p w14:paraId="01C7C81A" w14:textId="77777777" w:rsidR="00AD548A" w:rsidRDefault="00000000">
      <w:pPr>
        <w:keepLines/>
        <w:ind w:firstLineChars="0" w:firstLine="0"/>
        <w:rPr>
          <w:rFonts w:eastAsia="Calibri"/>
        </w:rPr>
      </w:pPr>
      <w:r>
        <w:rPr>
          <w:rFonts w:eastAsia="Calibri"/>
        </w:rPr>
        <w:t xml:space="preserve">This section presents evidence from ten SMEs (suppliers) and their four key buyers. We first report institutional tactics that targeted SMEs (the weaker parties), followed by tactics that constrained powerful buyers. </w:t>
      </w:r>
    </w:p>
    <w:p w14:paraId="68544377" w14:textId="77777777" w:rsidR="00AD548A" w:rsidRDefault="00000000">
      <w:pPr>
        <w:keepLines/>
        <w:ind w:firstLineChars="0" w:firstLine="0"/>
        <w:rPr>
          <w:rFonts w:eastAsia="SimSun"/>
          <w:b/>
          <w:bCs/>
          <w:szCs w:val="24"/>
          <w:lang w:val="en-US" w:eastAsia="ja-JP"/>
        </w:rPr>
      </w:pPr>
      <w:r>
        <w:rPr>
          <w:rFonts w:eastAsia="SimSun"/>
          <w:b/>
          <w:bCs/>
          <w:szCs w:val="24"/>
          <w:lang w:val="en-US" w:eastAsia="ja-JP"/>
        </w:rPr>
        <w:t xml:space="preserve">4.1. </w:t>
      </w:r>
      <w:r>
        <w:rPr>
          <w:rFonts w:eastAsia="SimSun" w:hint="eastAsia"/>
          <w:b/>
          <w:bCs/>
          <w:szCs w:val="28"/>
          <w:lang w:val="en-US"/>
        </w:rPr>
        <w:t>Institutional tactics for supplier empowerment</w:t>
      </w:r>
    </w:p>
    <w:p w14:paraId="03AD2B04" w14:textId="77777777" w:rsidR="00AD548A" w:rsidRDefault="00000000">
      <w:pPr>
        <w:keepNext/>
        <w:keepLines/>
        <w:spacing w:before="200"/>
        <w:ind w:firstLineChars="0" w:firstLine="0"/>
        <w:outlineLvl w:val="2"/>
        <w:rPr>
          <w:rFonts w:eastAsia="SimSun"/>
          <w:b/>
          <w:bCs/>
          <w:i/>
          <w:iCs/>
          <w:szCs w:val="24"/>
          <w:lang w:val="en-US" w:eastAsia="ja-JP"/>
        </w:rPr>
      </w:pPr>
      <w:r>
        <w:rPr>
          <w:rFonts w:eastAsia="SimSun" w:hint="eastAsia"/>
          <w:b/>
          <w:bCs/>
          <w:i/>
          <w:iCs/>
          <w:szCs w:val="24"/>
          <w:lang w:val="en-US" w:eastAsia="ja-JP"/>
        </w:rPr>
        <w:t xml:space="preserve">4.1.1 </w:t>
      </w:r>
      <w:r>
        <w:rPr>
          <w:rFonts w:eastAsia="SimSun"/>
          <w:b/>
          <w:bCs/>
          <w:i/>
          <w:iCs/>
          <w:szCs w:val="24"/>
          <w:lang w:val="en-US" w:eastAsia="ja-JP"/>
        </w:rPr>
        <w:t>Building expert power through capability development</w:t>
      </w:r>
    </w:p>
    <w:p w14:paraId="2557E975" w14:textId="77777777" w:rsidR="00AD548A" w:rsidRDefault="00000000">
      <w:pPr>
        <w:keepNext/>
        <w:keepLines/>
        <w:spacing w:before="200"/>
        <w:ind w:firstLineChars="0" w:firstLine="0"/>
        <w:outlineLvl w:val="2"/>
        <w:rPr>
          <w:rFonts w:eastAsia="SimSun"/>
          <w:b/>
          <w:bCs/>
          <w:i/>
          <w:iCs/>
          <w:szCs w:val="24"/>
          <w:lang w:val="en-US" w:eastAsia="ja-JP"/>
        </w:rPr>
      </w:pPr>
      <w:r>
        <w:rPr>
          <w:rFonts w:eastAsia="SimSun"/>
          <w:szCs w:val="24"/>
          <w:lang w:val="en-US" w:eastAsia="ja-JP"/>
        </w:rPr>
        <w:t>Institutional actors directly enhanced suppliers' specialized knowledge and operational capabilities</w:t>
      </w:r>
      <w:r>
        <w:rPr>
          <w:rFonts w:eastAsia="SimSun" w:hint="eastAsia"/>
          <w:szCs w:val="24"/>
          <w:lang w:val="en-US"/>
        </w:rPr>
        <w:t xml:space="preserve"> </w:t>
      </w:r>
      <w:r>
        <w:rPr>
          <w:rFonts w:eastAsia="SimSun"/>
          <w:szCs w:val="24"/>
          <w:lang w:val="en-US" w:eastAsia="ja-JP"/>
        </w:rPr>
        <w:t>through targeted support that improved their value proposition to buyers.</w:t>
      </w:r>
    </w:p>
    <w:p w14:paraId="38A3FF67" w14:textId="77777777" w:rsidR="00AD548A" w:rsidRDefault="00000000">
      <w:pPr>
        <w:ind w:firstLine="482"/>
        <w:rPr>
          <w:rFonts w:eastAsia="Calibri"/>
          <w:lang w:eastAsia="ja-JP"/>
        </w:rPr>
      </w:pPr>
      <w:r>
        <w:rPr>
          <w:rFonts w:eastAsia="Calibri"/>
          <w:b/>
          <w:bCs/>
          <w:i/>
          <w:iCs/>
          <w:lang w:eastAsia="ja-JP"/>
        </w:rPr>
        <w:t>Training</w:t>
      </w:r>
      <w:r>
        <w:rPr>
          <w:rFonts w:eastAsia="SimSun" w:hint="eastAsia"/>
          <w:b/>
          <w:bCs/>
          <w:i/>
          <w:iCs/>
          <w:lang w:val="en-US"/>
        </w:rPr>
        <w:t xml:space="preserve"> &amp; i</w:t>
      </w:r>
      <w:r>
        <w:rPr>
          <w:rFonts w:eastAsia="Calibri"/>
          <w:b/>
          <w:bCs/>
          <w:i/>
          <w:iCs/>
          <w:lang w:eastAsia="ja-JP"/>
        </w:rPr>
        <w:t>ndustrial transformation</w:t>
      </w:r>
      <w:r>
        <w:rPr>
          <w:rFonts w:eastAsia="SimSun" w:hint="eastAsia"/>
          <w:b/>
          <w:bCs/>
          <w:i/>
          <w:iCs/>
          <w:lang w:val="en-US"/>
        </w:rPr>
        <w:t xml:space="preserve">: </w:t>
      </w:r>
      <w:r>
        <w:rPr>
          <w:rFonts w:eastAsia="Calibri" w:hint="eastAsia"/>
          <w:lang w:eastAsia="ja-JP"/>
        </w:rPr>
        <w:t xml:space="preserve">Professional institutions and government agencies provided training programs and technical consultancy that directly built suppliers' managerial and technological capabilities. </w:t>
      </w:r>
      <w:r>
        <w:rPr>
          <w:rFonts w:eastAsia="Calibri"/>
          <w:lang w:eastAsia="ja-JP"/>
        </w:rPr>
        <w:t xml:space="preserve">It was found that some professional industrial associations worked on improving the intrinsic capability of suppliers in their areas as preparation for aftermath impact of the pandemic, or future </w:t>
      </w:r>
      <w:r>
        <w:rPr>
          <w:rFonts w:eastAsia="Calibri"/>
          <w:lang w:eastAsia="ja-JP"/>
        </w:rPr>
        <w:lastRenderedPageBreak/>
        <w:t xml:space="preserve">disruptions. One way of achieving this was by launching training programme. According to the suppliers, they were regularly involved in training programs to improve management capabilities. </w:t>
      </w:r>
      <w:r>
        <w:rPr>
          <w:rFonts w:eastAsia="Calibri" w:hint="eastAsia"/>
        </w:rPr>
        <w:t>As SME2 reported</w:t>
      </w:r>
      <w:r>
        <w:rPr>
          <w:rFonts w:eastAsia="Calibri"/>
          <w:lang w:eastAsia="ja-JP"/>
        </w:rPr>
        <w:t xml:space="preserve">: </w:t>
      </w:r>
      <w:r>
        <w:rPr>
          <w:rFonts w:eastAsia="Calibri"/>
          <w:i/>
          <w:iCs/>
          <w:lang w:eastAsia="ja-JP"/>
        </w:rPr>
        <w:t>“it was like online classes, managers from large companies were invited to share how they deal with such situation, what they do in daily routine”</w:t>
      </w:r>
      <w:r>
        <w:rPr>
          <w:rFonts w:eastAsia="Calibri"/>
          <w:lang w:eastAsia="ja-JP"/>
        </w:rPr>
        <w:t>, and</w:t>
      </w:r>
      <w:r>
        <w:rPr>
          <w:rFonts w:eastAsia="Calibri"/>
          <w:i/>
          <w:iCs/>
          <w:lang w:eastAsia="ja-JP"/>
        </w:rPr>
        <w:t xml:space="preserve"> “there were some professors or researchers from universities, so that we can learn from a higher level, the theoretical aspects” </w:t>
      </w:r>
      <w:r>
        <w:rPr>
          <w:rFonts w:eastAsia="Calibri"/>
          <w:lang w:eastAsia="ja-JP"/>
        </w:rPr>
        <w:t xml:space="preserve">(SME2). </w:t>
      </w:r>
    </w:p>
    <w:p w14:paraId="0689DA5A" w14:textId="77777777" w:rsidR="00AD548A" w:rsidRDefault="00000000">
      <w:pPr>
        <w:rPr>
          <w:rFonts w:eastAsia="SimSun"/>
          <w:i/>
          <w:iCs/>
          <w:lang w:val="en-US"/>
        </w:rPr>
      </w:pPr>
      <w:r>
        <w:rPr>
          <w:rFonts w:eastAsia="SimSun" w:hint="eastAsia"/>
          <w:lang w:val="en-US"/>
        </w:rPr>
        <w:t>In addition, t</w:t>
      </w:r>
      <w:r>
        <w:rPr>
          <w:rFonts w:eastAsia="Calibri"/>
          <w:lang w:eastAsia="ja-JP"/>
        </w:rPr>
        <w:t xml:space="preserve">o </w:t>
      </w:r>
      <w:r>
        <w:rPr>
          <w:rFonts w:eastAsia="Calibri" w:hint="eastAsia"/>
        </w:rPr>
        <w:t>help the local suppliers</w:t>
      </w:r>
      <w:r>
        <w:rPr>
          <w:rFonts w:eastAsia="Calibri"/>
          <w:lang w:eastAsia="ja-JP"/>
        </w:rPr>
        <w:t xml:space="preserve">, professionals from practical and academic area were assigned to </w:t>
      </w:r>
      <w:r>
        <w:rPr>
          <w:rFonts w:eastAsia="Calibri" w:hint="eastAsia"/>
        </w:rPr>
        <w:t>the suppliers</w:t>
      </w:r>
      <w:r>
        <w:rPr>
          <w:rFonts w:eastAsia="Calibri"/>
          <w:lang w:eastAsia="ja-JP"/>
        </w:rPr>
        <w:t xml:space="preserve"> by</w:t>
      </w:r>
      <w:r>
        <w:rPr>
          <w:rFonts w:eastAsia="Calibri" w:hint="eastAsia"/>
        </w:rPr>
        <w:t xml:space="preserve"> professional institutions with encouragement from the</w:t>
      </w:r>
      <w:r>
        <w:rPr>
          <w:rFonts w:eastAsia="Calibri"/>
          <w:lang w:eastAsia="ja-JP"/>
        </w:rPr>
        <w:t xml:space="preserve"> local government</w:t>
      </w:r>
      <w:r>
        <w:rPr>
          <w:rFonts w:eastAsia="Calibri" w:hint="eastAsia"/>
        </w:rPr>
        <w:t>s,</w:t>
      </w:r>
      <w:r>
        <w:rPr>
          <w:rFonts w:eastAsia="Calibri"/>
          <w:lang w:eastAsia="ja-JP"/>
        </w:rPr>
        <w:t xml:space="preserve"> to offer training and consultancy related to advanced experience and technologies: </w:t>
      </w:r>
      <w:r>
        <w:rPr>
          <w:rFonts w:eastAsia="Calibri"/>
          <w:i/>
          <w:iCs/>
          <w:lang w:eastAsia="ja-JP"/>
        </w:rPr>
        <w:t>“our products, compared to many other manufacturers, requires more advanced and complicated technologies, so we were encouraged to develop our own technologies”(SME6)</w:t>
      </w:r>
      <w:r>
        <w:rPr>
          <w:rFonts w:eastAsia="SimSun" w:hint="eastAsia"/>
          <w:i/>
          <w:iCs/>
          <w:lang w:val="en-US"/>
        </w:rPr>
        <w:t>.</w:t>
      </w:r>
    </w:p>
    <w:p w14:paraId="718A708E" w14:textId="77777777" w:rsidR="00AD548A" w:rsidRDefault="00000000">
      <w:pPr>
        <w:rPr>
          <w:rFonts w:eastAsia="Calibri"/>
          <w:lang w:eastAsia="ja-JP"/>
        </w:rPr>
      </w:pPr>
      <w:r>
        <w:rPr>
          <w:rFonts w:eastAsia="SimSun" w:hint="eastAsia"/>
          <w:lang w:val="en-US"/>
        </w:rPr>
        <w:t>These</w:t>
      </w:r>
      <w:r>
        <w:rPr>
          <w:rFonts w:eastAsia="Calibri" w:hint="eastAsia"/>
        </w:rPr>
        <w:t xml:space="preserve"> capability development</w:t>
      </w:r>
      <w:r>
        <w:rPr>
          <w:rFonts w:eastAsia="SimSun" w:hint="eastAsia"/>
          <w:lang w:val="en-US"/>
        </w:rPr>
        <w:t>s</w:t>
      </w:r>
      <w:r>
        <w:rPr>
          <w:rFonts w:eastAsia="Calibri" w:hint="eastAsia"/>
        </w:rPr>
        <w:t xml:space="preserve"> transformed suppliers from replaceable vendors to valued partners. The result, as SME7 noted, was increased bargaining strength: "Yes of course, this will probably allow us to have the strength to compete with the international suppliers, and argue for our own interests."</w:t>
      </w:r>
    </w:p>
    <w:p w14:paraId="670CEAD3" w14:textId="77777777" w:rsidR="00AD548A" w:rsidRDefault="00000000">
      <w:pPr>
        <w:ind w:firstLine="482"/>
        <w:rPr>
          <w:rFonts w:eastAsia="Calibri"/>
          <w:lang w:eastAsia="ja-JP"/>
        </w:rPr>
      </w:pPr>
      <w:r>
        <w:rPr>
          <w:rFonts w:eastAsia="Calibri"/>
          <w:b/>
          <w:bCs/>
          <w:i/>
          <w:iCs/>
          <w:lang w:eastAsia="ja-JP"/>
        </w:rPr>
        <w:t>Cost reduction</w:t>
      </w:r>
      <w:r>
        <w:rPr>
          <w:rFonts w:eastAsia="SimSun" w:hint="eastAsia"/>
          <w:b/>
          <w:bCs/>
          <w:i/>
          <w:iCs/>
          <w:lang w:val="en-US"/>
        </w:rPr>
        <w:t xml:space="preserve">: </w:t>
      </w:r>
      <w:r>
        <w:rPr>
          <w:rFonts w:eastAsia="SimSun" w:hint="eastAsia"/>
          <w:lang w:val="en-US"/>
        </w:rPr>
        <w:t>T</w:t>
      </w:r>
      <w:r>
        <w:rPr>
          <w:rFonts w:eastAsia="Calibri"/>
          <w:lang w:eastAsia="ja-JP"/>
        </w:rPr>
        <w:t>he pandemic</w:t>
      </w:r>
      <w:r>
        <w:rPr>
          <w:rFonts w:eastAsia="Calibri"/>
        </w:rPr>
        <w:t>’</w:t>
      </w:r>
      <w:r>
        <w:rPr>
          <w:rFonts w:eastAsia="Calibri"/>
          <w:lang w:eastAsia="ja-JP"/>
        </w:rPr>
        <w:t xml:space="preserve">s main impact was the lockdown of markets. While the market demand dropped significantly; the </w:t>
      </w:r>
      <w:r>
        <w:rPr>
          <w:rFonts w:eastAsia="Calibri" w:hint="eastAsia"/>
        </w:rPr>
        <w:t>supplier</w:t>
      </w:r>
      <w:r>
        <w:rPr>
          <w:rFonts w:eastAsia="Calibri"/>
          <w:lang w:eastAsia="ja-JP"/>
        </w:rPr>
        <w:t xml:space="preserve">s still had to pay daily operating costs </w:t>
      </w:r>
      <w:r>
        <w:rPr>
          <w:rFonts w:eastAsia="Calibri" w:hint="eastAsia"/>
        </w:rPr>
        <w:t xml:space="preserve">for, </w:t>
      </w:r>
      <w:r>
        <w:rPr>
          <w:rFonts w:eastAsia="Calibri"/>
          <w:lang w:eastAsia="ja-JP"/>
        </w:rPr>
        <w:t xml:space="preserve">such as electricity, water, and </w:t>
      </w:r>
      <w:r>
        <w:rPr>
          <w:rFonts w:eastAsia="Calibri" w:hint="eastAsia"/>
        </w:rPr>
        <w:t>internet</w:t>
      </w:r>
      <w:r>
        <w:rPr>
          <w:rFonts w:eastAsia="Calibri"/>
          <w:lang w:eastAsia="ja-JP"/>
        </w:rPr>
        <w:t>. Due to natural limitation in sizes and resources, the</w:t>
      </w:r>
      <w:r>
        <w:rPr>
          <w:rFonts w:eastAsia="Calibri" w:hint="eastAsia"/>
        </w:rPr>
        <w:t>se costs became</w:t>
      </w:r>
      <w:r>
        <w:rPr>
          <w:rFonts w:eastAsia="Calibri"/>
          <w:lang w:eastAsia="ja-JP"/>
        </w:rPr>
        <w:t xml:space="preserve"> debt</w:t>
      </w:r>
      <w:r>
        <w:rPr>
          <w:rFonts w:eastAsia="Calibri" w:hint="eastAsia"/>
        </w:rPr>
        <w:t xml:space="preserve"> that</w:t>
      </w:r>
      <w:r>
        <w:rPr>
          <w:rFonts w:eastAsia="Calibri"/>
          <w:lang w:eastAsia="ja-JP"/>
        </w:rPr>
        <w:t xml:space="preserve"> increased risk of bankruptcy: </w:t>
      </w:r>
      <w:r>
        <w:rPr>
          <w:rFonts w:eastAsia="Calibri"/>
          <w:i/>
          <w:iCs/>
          <w:lang w:eastAsia="ja-JP"/>
        </w:rPr>
        <w:t>“The burdens were heavy, survive is the only thing I can think” (SME2)</w:t>
      </w:r>
      <w:r>
        <w:rPr>
          <w:rFonts w:eastAsia="Calibri"/>
          <w:lang w:eastAsia="ja-JP"/>
        </w:rPr>
        <w:t xml:space="preserve">. </w:t>
      </w:r>
    </w:p>
    <w:p w14:paraId="75998893" w14:textId="77777777" w:rsidR="00AD548A" w:rsidRDefault="00000000">
      <w:pPr>
        <w:rPr>
          <w:rFonts w:eastAsia="Calibri"/>
        </w:rPr>
      </w:pPr>
      <w:r>
        <w:rPr>
          <w:rFonts w:eastAsia="Calibri"/>
          <w:lang w:eastAsia="ja-JP"/>
        </w:rPr>
        <w:t>In this case,</w:t>
      </w:r>
      <w:r>
        <w:rPr>
          <w:rFonts w:eastAsia="Calibri" w:hint="eastAsia"/>
        </w:rPr>
        <w:t xml:space="preserve"> initiated</w:t>
      </w:r>
      <w:r>
        <w:rPr>
          <w:rFonts w:eastAsia="Calibri"/>
          <w:lang w:eastAsia="ja-JP"/>
        </w:rPr>
        <w:t xml:space="preserve"> by</w:t>
      </w:r>
      <w:r>
        <w:rPr>
          <w:rFonts w:eastAsia="Calibri" w:hint="eastAsia"/>
        </w:rPr>
        <w:t xml:space="preserve"> some of </w:t>
      </w:r>
      <w:r>
        <w:rPr>
          <w:rFonts w:eastAsia="Calibri"/>
          <w:lang w:eastAsia="ja-JP"/>
        </w:rPr>
        <w:t xml:space="preserve">the </w:t>
      </w:r>
      <w:r>
        <w:rPr>
          <w:rFonts w:eastAsia="Calibri" w:hint="eastAsia"/>
        </w:rPr>
        <w:t xml:space="preserve">local </w:t>
      </w:r>
      <w:r>
        <w:rPr>
          <w:rFonts w:eastAsia="Calibri"/>
          <w:lang w:eastAsia="ja-JP"/>
        </w:rPr>
        <w:t xml:space="preserve">services providers for electricity, water, </w:t>
      </w:r>
      <w:r>
        <w:rPr>
          <w:rFonts w:eastAsia="Calibri"/>
          <w:lang w:eastAsia="ja-JP"/>
        </w:rPr>
        <w:lastRenderedPageBreak/>
        <w:t>and internet</w:t>
      </w:r>
      <w:r>
        <w:rPr>
          <w:rFonts w:eastAsia="Calibri" w:hint="eastAsia"/>
        </w:rPr>
        <w:t>,</w:t>
      </w:r>
      <w:r>
        <w:rPr>
          <w:rFonts w:eastAsia="Calibri"/>
          <w:lang w:eastAsia="ja-JP"/>
        </w:rPr>
        <w:t xml:space="preserve"> applied straightforward actions to ease suppliers’ economic pressure, including reducing or exempting daily costs within a permitted period. As SME1 explained: “</w:t>
      </w:r>
      <w:r>
        <w:rPr>
          <w:rFonts w:eastAsia="Calibri"/>
          <w:i/>
          <w:iCs/>
          <w:lang w:eastAsia="ja-JP"/>
        </w:rPr>
        <w:t>Yes, they</w:t>
      </w:r>
      <w:r>
        <w:rPr>
          <w:rFonts w:eastAsia="Calibri" w:hint="eastAsia"/>
          <w:i/>
          <w:iCs/>
        </w:rPr>
        <w:t xml:space="preserve"> </w:t>
      </w:r>
      <w:r>
        <w:rPr>
          <w:rFonts w:eastAsia="Calibri"/>
          <w:i/>
          <w:iCs/>
          <w:lang w:eastAsia="ja-JP"/>
        </w:rPr>
        <w:t>took the action quick and direct, and the relevant organisations were also very supportive and collaborative. Such as the electric provider, we received their calls they will reduce the cost and we can delay the payment”</w:t>
      </w:r>
      <w:r>
        <w:rPr>
          <w:rFonts w:eastAsia="Calibri"/>
          <w:lang w:eastAsia="ja-JP"/>
        </w:rPr>
        <w:t xml:space="preserve">. For example, the Business Owner of SME4, this allowed them to focus on recovering and maintaining their normal operation </w:t>
      </w:r>
      <w:r>
        <w:rPr>
          <w:rFonts w:eastAsia="Calibri"/>
          <w:i/>
          <w:iCs/>
          <w:lang w:eastAsia="ja-JP"/>
        </w:rPr>
        <w:t>“the technique was simple but effective. I don’t need to think about the small things”</w:t>
      </w:r>
      <w:r>
        <w:rPr>
          <w:rFonts w:eastAsia="Calibri"/>
          <w:lang w:eastAsia="ja-JP"/>
        </w:rPr>
        <w:t>.</w:t>
      </w:r>
    </w:p>
    <w:p w14:paraId="1E196D22" w14:textId="77777777" w:rsidR="00AD548A" w:rsidRDefault="00000000">
      <w:pPr>
        <w:pStyle w:val="Heading3"/>
        <w:rPr>
          <w:color w:val="auto"/>
        </w:rPr>
      </w:pPr>
      <w:r>
        <w:rPr>
          <w:color w:val="auto"/>
        </w:rPr>
        <w:t>4.</w:t>
      </w:r>
      <w:r>
        <w:rPr>
          <w:rFonts w:hint="eastAsia"/>
          <w:color w:val="auto"/>
          <w:lang w:eastAsia="zh-CN"/>
        </w:rPr>
        <w:t>1.</w:t>
      </w:r>
      <w:r>
        <w:rPr>
          <w:color w:val="auto"/>
        </w:rPr>
        <w:t xml:space="preserve">2 </w:t>
      </w:r>
      <w:r>
        <w:rPr>
          <w:rFonts w:hint="eastAsia"/>
          <w:color w:val="auto"/>
        </w:rPr>
        <w:t>Building referent power through network expansion</w:t>
      </w:r>
    </w:p>
    <w:p w14:paraId="507C8366" w14:textId="77777777" w:rsidR="00AD548A" w:rsidRDefault="00000000">
      <w:pPr>
        <w:ind w:firstLineChars="0" w:firstLine="0"/>
        <w:rPr>
          <w:rFonts w:eastAsia="Calibri"/>
          <w:szCs w:val="24"/>
        </w:rPr>
      </w:pPr>
      <w:r>
        <w:rPr>
          <w:rFonts w:eastAsia="Calibri"/>
          <w:szCs w:val="24"/>
        </w:rPr>
        <w:t>Institutions enhanced suppliers' attractiveness and desirability as partners</w:t>
      </w:r>
      <w:r>
        <w:rPr>
          <w:rFonts w:eastAsia="SimSun" w:hint="eastAsia"/>
          <w:szCs w:val="24"/>
        </w:rPr>
        <w:t>，</w:t>
      </w:r>
      <w:r>
        <w:rPr>
          <w:rFonts w:eastAsia="SimSun" w:hint="eastAsia"/>
          <w:szCs w:val="24"/>
          <w:lang w:val="en-US"/>
        </w:rPr>
        <w:t xml:space="preserve">that is their </w:t>
      </w:r>
      <w:r>
        <w:rPr>
          <w:rFonts w:eastAsia="Calibri"/>
          <w:szCs w:val="24"/>
        </w:rPr>
        <w:t>referent power</w:t>
      </w:r>
      <w:r>
        <w:rPr>
          <w:rFonts w:eastAsia="SimSun" w:hint="eastAsia"/>
          <w:szCs w:val="24"/>
          <w:lang w:val="en-US"/>
        </w:rPr>
        <w:t xml:space="preserve">, </w:t>
      </w:r>
      <w:r>
        <w:rPr>
          <w:rFonts w:eastAsia="Calibri"/>
          <w:szCs w:val="24"/>
        </w:rPr>
        <w:t>by creating alternative opportunities and validating their credibility.</w:t>
      </w:r>
    </w:p>
    <w:p w14:paraId="53C9B5EC" w14:textId="77777777" w:rsidR="00AD548A" w:rsidRDefault="00000000">
      <w:pPr>
        <w:ind w:firstLine="482"/>
        <w:rPr>
          <w:rFonts w:eastAsia="Calibri"/>
          <w:i/>
          <w:iCs/>
          <w:lang w:val="en-US" w:eastAsia="ja-JP"/>
        </w:rPr>
      </w:pPr>
      <w:r>
        <w:rPr>
          <w:rFonts w:eastAsia="Calibri" w:hint="eastAsia"/>
          <w:b/>
          <w:bCs/>
          <w:i/>
          <w:iCs/>
        </w:rPr>
        <w:t xml:space="preserve">International </w:t>
      </w:r>
      <w:r>
        <w:rPr>
          <w:rFonts w:eastAsia="SimSun" w:hint="eastAsia"/>
          <w:b/>
          <w:bCs/>
          <w:i/>
          <w:iCs/>
          <w:lang w:val="en-US"/>
        </w:rPr>
        <w:t>m</w:t>
      </w:r>
      <w:r>
        <w:rPr>
          <w:rFonts w:eastAsia="Calibri" w:hint="eastAsia"/>
          <w:b/>
          <w:bCs/>
          <w:i/>
          <w:iCs/>
        </w:rPr>
        <w:t xml:space="preserve">arket </w:t>
      </w:r>
      <w:r>
        <w:rPr>
          <w:rFonts w:eastAsia="SimSun" w:hint="eastAsia"/>
          <w:b/>
          <w:bCs/>
          <w:i/>
          <w:iCs/>
          <w:lang w:val="en-US"/>
        </w:rPr>
        <w:t>a</w:t>
      </w:r>
      <w:r>
        <w:rPr>
          <w:rFonts w:eastAsia="Calibri" w:hint="eastAsia"/>
          <w:b/>
          <w:bCs/>
          <w:i/>
          <w:iCs/>
        </w:rPr>
        <w:t>ccess</w:t>
      </w:r>
      <w:r>
        <w:rPr>
          <w:rFonts w:eastAsia="SimSun" w:hint="eastAsia"/>
          <w:b/>
          <w:bCs/>
          <w:i/>
          <w:iCs/>
          <w:lang w:val="en-US"/>
        </w:rPr>
        <w:t xml:space="preserve">: </w:t>
      </w:r>
      <w:r>
        <w:rPr>
          <w:rFonts w:eastAsia="Calibri" w:hint="eastAsia"/>
        </w:rPr>
        <w:t>Professional associations created platforms that connected suppliers directly with international buyers, reducing their dependency on domestic powerful partners.</w:t>
      </w:r>
      <w:r>
        <w:rPr>
          <w:rFonts w:eastAsia="SimSun" w:hint="eastAsia"/>
          <w:lang w:val="en-US"/>
        </w:rPr>
        <w:t xml:space="preserve"> A</w:t>
      </w:r>
      <w:r>
        <w:rPr>
          <w:rFonts w:eastAsia="Calibri"/>
          <w:lang w:eastAsia="ja-JP"/>
        </w:rPr>
        <w:t xml:space="preserve">ccording to many respondents, there were commercial associations, or third parties based in foreign countries to build platforms for the </w:t>
      </w:r>
      <w:r>
        <w:rPr>
          <w:rFonts w:eastAsia="Calibri" w:hint="eastAsia"/>
        </w:rPr>
        <w:t>supplier</w:t>
      </w:r>
      <w:r>
        <w:rPr>
          <w:rFonts w:eastAsia="Calibri"/>
          <w:lang w:eastAsia="ja-JP"/>
        </w:rPr>
        <w:t xml:space="preserve">s to connect with international buyers more closely and directly. This phenomenon was found to be specifically prominent for </w:t>
      </w:r>
      <w:r>
        <w:rPr>
          <w:rFonts w:eastAsia="Calibri" w:hint="eastAsia"/>
        </w:rPr>
        <w:t>firm</w:t>
      </w:r>
      <w:r>
        <w:rPr>
          <w:rFonts w:eastAsia="Calibri"/>
          <w:lang w:eastAsia="ja-JP"/>
        </w:rPr>
        <w:t xml:space="preserve">s from sectors of electronical devices and automotives as they are clearly more active in international business. According to </w:t>
      </w:r>
      <w:r>
        <w:rPr>
          <w:rFonts w:eastAsia="Calibri"/>
        </w:rPr>
        <w:t>SME</w:t>
      </w:r>
      <w:r>
        <w:rPr>
          <w:rFonts w:eastAsia="Calibri"/>
          <w:lang w:eastAsia="ja-JP"/>
        </w:rPr>
        <w:t>1</w:t>
      </w:r>
      <w:r>
        <w:rPr>
          <w:rFonts w:eastAsia="Calibri" w:hint="eastAsia"/>
        </w:rPr>
        <w:t>0</w:t>
      </w:r>
      <w:r>
        <w:rPr>
          <w:rFonts w:eastAsia="Calibri"/>
          <w:lang w:eastAsia="ja-JP"/>
        </w:rPr>
        <w:t xml:space="preserve">: </w:t>
      </w:r>
      <w:r>
        <w:rPr>
          <w:rFonts w:eastAsia="Calibri"/>
          <w:i/>
          <w:iCs/>
          <w:lang w:val="en-US" w:eastAsia="ja-JP"/>
        </w:rPr>
        <w:t xml:space="preserve">“it is normally quite difficult to expand in international markets…this time I remember that </w:t>
      </w:r>
      <w:r>
        <w:rPr>
          <w:rFonts w:eastAsia="Calibri"/>
          <w:i/>
          <w:iCs/>
          <w:lang w:eastAsia="ja-JP"/>
        </w:rPr>
        <w:t xml:space="preserve">some commercial associations from other countries became the bridges between us and international clients”. </w:t>
      </w:r>
      <w:r>
        <w:rPr>
          <w:rFonts w:eastAsia="Calibri"/>
          <w:lang w:eastAsia="ja-JP"/>
        </w:rPr>
        <w:t xml:space="preserve">These </w:t>
      </w:r>
      <w:r>
        <w:rPr>
          <w:rFonts w:eastAsia="Calibri" w:hint="eastAsia"/>
        </w:rPr>
        <w:t>supplier</w:t>
      </w:r>
      <w:r>
        <w:rPr>
          <w:rFonts w:eastAsia="Calibri"/>
          <w:lang w:eastAsia="ja-JP"/>
        </w:rPr>
        <w:t>s admit that they have successfully developed relationships with international buyers</w:t>
      </w:r>
      <w:r>
        <w:rPr>
          <w:rFonts w:eastAsia="Calibri"/>
          <w:i/>
          <w:iCs/>
          <w:lang w:eastAsia="ja-JP"/>
        </w:rPr>
        <w:t xml:space="preserve">: “and </w:t>
      </w:r>
      <w:r>
        <w:rPr>
          <w:rFonts w:eastAsia="Calibri"/>
          <w:i/>
          <w:iCs/>
          <w:lang w:val="en-US" w:eastAsia="ja-JP"/>
        </w:rPr>
        <w:t xml:space="preserve">without </w:t>
      </w:r>
      <w:r>
        <w:rPr>
          <w:rFonts w:eastAsia="Calibri"/>
          <w:i/>
          <w:iCs/>
          <w:lang w:val="en-US" w:eastAsia="ja-JP"/>
        </w:rPr>
        <w:lastRenderedPageBreak/>
        <w:t>the support and sources provided by these kind associations and institutes, we could not achieve this (expanding international market).” (</w:t>
      </w:r>
      <w:r>
        <w:rPr>
          <w:rFonts w:eastAsia="Calibri" w:hint="eastAsia"/>
          <w:i/>
          <w:iCs/>
          <w:lang w:val="en-US"/>
        </w:rPr>
        <w:t>S</w:t>
      </w:r>
      <w:r>
        <w:rPr>
          <w:rFonts w:eastAsia="Calibri"/>
          <w:i/>
          <w:iCs/>
          <w:lang w:val="en-US"/>
        </w:rPr>
        <w:t>ME</w:t>
      </w:r>
      <w:r>
        <w:rPr>
          <w:rFonts w:eastAsia="Calibri"/>
          <w:i/>
          <w:iCs/>
          <w:lang w:val="en-US" w:eastAsia="ja-JP"/>
        </w:rPr>
        <w:t>8)</w:t>
      </w:r>
    </w:p>
    <w:p w14:paraId="7C54FEB7" w14:textId="77777777" w:rsidR="00AD548A" w:rsidRDefault="00000000">
      <w:pPr>
        <w:ind w:firstLine="482"/>
        <w:rPr>
          <w:rFonts w:eastAsia="Calibri"/>
          <w:lang w:eastAsia="ja-JP"/>
        </w:rPr>
      </w:pPr>
      <w:r>
        <w:rPr>
          <w:rFonts w:eastAsia="Calibri" w:hint="eastAsia"/>
          <w:b/>
          <w:bCs/>
          <w:i/>
          <w:iCs/>
          <w:lang w:val="en-US"/>
        </w:rPr>
        <w:t>Credit e</w:t>
      </w:r>
      <w:r>
        <w:rPr>
          <w:rFonts w:eastAsia="Calibri"/>
          <w:b/>
          <w:bCs/>
          <w:i/>
          <w:iCs/>
          <w:lang w:val="en-US" w:eastAsia="ja-JP"/>
        </w:rPr>
        <w:t xml:space="preserve">ndorsement: </w:t>
      </w:r>
      <w:r>
        <w:rPr>
          <w:rFonts w:eastAsia="SimSun" w:hint="eastAsia"/>
          <w:lang w:val="en-US"/>
        </w:rPr>
        <w:t>M</w:t>
      </w:r>
      <w:r>
        <w:rPr>
          <w:rFonts w:eastAsia="Calibri"/>
          <w:lang w:val="en-US" w:eastAsia="ja-JP"/>
        </w:rPr>
        <w:t xml:space="preserve">any </w:t>
      </w:r>
      <w:r>
        <w:rPr>
          <w:rFonts w:eastAsia="Calibri" w:hint="eastAsia"/>
          <w:lang w:val="en-US"/>
        </w:rPr>
        <w:t>of the sampled supplier</w:t>
      </w:r>
      <w:r>
        <w:rPr>
          <w:rFonts w:eastAsia="Calibri"/>
          <w:lang w:val="en-US" w:eastAsia="ja-JP"/>
        </w:rPr>
        <w:t>s were having disputes with the</w:t>
      </w:r>
      <w:r>
        <w:rPr>
          <w:rFonts w:eastAsia="Calibri" w:hint="eastAsia"/>
          <w:lang w:val="en-US"/>
        </w:rPr>
        <w:t xml:space="preserve"> buyers</w:t>
      </w:r>
      <w:r>
        <w:rPr>
          <w:rFonts w:eastAsia="Calibri"/>
          <w:lang w:val="en-US" w:eastAsia="ja-JP"/>
        </w:rPr>
        <w:t xml:space="preserve">, mainly due to their incapability to provide sufficient proof on their loss of production ability because of the pandemic, and their lack of power to argue with strong partners. </w:t>
      </w:r>
      <w:r>
        <w:rPr>
          <w:rFonts w:eastAsia="Calibri" w:hint="eastAsia"/>
        </w:rPr>
        <w:t>Government agencies and professional institutions provided formal validation that enhanced suppliers' market credibility.</w:t>
      </w:r>
      <w:r>
        <w:rPr>
          <w:rFonts w:eastAsia="Calibri"/>
          <w:lang w:eastAsia="ja-JP"/>
        </w:rPr>
        <w:t xml:space="preserve"> For instance, governmental agencies were encouraged to issue free proof of force majeure for firms failed to perform the contract on time due to COVID-19, and such failures in fulfilling obligations were not recorded for credit rating. Further, it was found that credit insurance coverage was expanded specifically for SMEs </w:t>
      </w:r>
      <w:r>
        <w:rPr>
          <w:rFonts w:eastAsia="Calibri"/>
          <w:i/>
          <w:iCs/>
          <w:lang w:eastAsia="ja-JP"/>
        </w:rPr>
        <w:t>“We can get free certificate to prove that our delay of payment to the international suppliers is affected by the pandemic instead of deliberately breaking the contract” (</w:t>
      </w:r>
      <w:r>
        <w:rPr>
          <w:rFonts w:eastAsia="Calibri" w:hint="eastAsia"/>
          <w:i/>
          <w:iCs/>
        </w:rPr>
        <w:t>S</w:t>
      </w:r>
      <w:r>
        <w:rPr>
          <w:rFonts w:eastAsia="Calibri"/>
          <w:i/>
          <w:iCs/>
        </w:rPr>
        <w:t>ME</w:t>
      </w:r>
      <w:r>
        <w:rPr>
          <w:rFonts w:eastAsia="Calibri"/>
          <w:i/>
          <w:iCs/>
          <w:lang w:eastAsia="ja-JP"/>
        </w:rPr>
        <w:t>1).</w:t>
      </w:r>
      <w:r>
        <w:rPr>
          <w:rFonts w:eastAsia="Calibri"/>
          <w:lang w:eastAsia="ja-JP"/>
        </w:rPr>
        <w:t xml:space="preserve"> The informants reported that financial institutions allowed them to postpone the repayment of principal and interest on loans that are greatly affected by COVID-19. The informants approved these actions as powerful support and endorsement to negotiate </w:t>
      </w:r>
      <w:r>
        <w:rPr>
          <w:rFonts w:eastAsia="Calibri" w:hint="eastAsia"/>
        </w:rPr>
        <w:t xml:space="preserve">with the </w:t>
      </w:r>
      <w:r>
        <w:rPr>
          <w:rFonts w:eastAsia="Calibri"/>
        </w:rPr>
        <w:t>powerful</w:t>
      </w:r>
      <w:r>
        <w:rPr>
          <w:rFonts w:eastAsia="Calibri" w:hint="eastAsia"/>
        </w:rPr>
        <w:t xml:space="preserve"> buyer</w:t>
      </w:r>
      <w:r>
        <w:rPr>
          <w:rFonts w:eastAsia="Calibri"/>
          <w:lang w:eastAsia="ja-JP"/>
        </w:rPr>
        <w:t>: “</w:t>
      </w:r>
      <w:r>
        <w:rPr>
          <w:rFonts w:eastAsia="Calibri"/>
          <w:i/>
          <w:iCs/>
          <w:lang w:eastAsia="ja-JP"/>
        </w:rPr>
        <w:t>The loans and other financial support offered us more time and improved our ability to recover our normal operations. This actually told the</w:t>
      </w:r>
      <w:r>
        <w:rPr>
          <w:rFonts w:eastAsia="Calibri" w:hint="eastAsia"/>
          <w:i/>
          <w:iCs/>
        </w:rPr>
        <w:t>m</w:t>
      </w:r>
      <w:r>
        <w:rPr>
          <w:rFonts w:eastAsia="Calibri"/>
          <w:i/>
          <w:iCs/>
          <w:lang w:eastAsia="ja-JP"/>
        </w:rPr>
        <w:t xml:space="preserve"> that we can ensure long-term efficiency…”</w:t>
      </w:r>
      <w:r>
        <w:rPr>
          <w:rFonts w:eastAsia="Calibri"/>
          <w:lang w:eastAsia="ja-JP"/>
        </w:rPr>
        <w:t xml:space="preserve"> (</w:t>
      </w:r>
      <w:r>
        <w:rPr>
          <w:rFonts w:eastAsia="Calibri" w:hint="eastAsia"/>
        </w:rPr>
        <w:t>S</w:t>
      </w:r>
      <w:r>
        <w:rPr>
          <w:rFonts w:eastAsia="Calibri"/>
        </w:rPr>
        <w:t>ME</w:t>
      </w:r>
      <w:r>
        <w:rPr>
          <w:rFonts w:eastAsia="Calibri"/>
          <w:lang w:eastAsia="ja-JP"/>
        </w:rPr>
        <w:t>7)</w:t>
      </w:r>
    </w:p>
    <w:p w14:paraId="63BCA678" w14:textId="77777777" w:rsidR="00AD548A" w:rsidRDefault="00000000">
      <w:pPr>
        <w:ind w:firstLine="482"/>
        <w:rPr>
          <w:rFonts w:eastAsia="Calibri"/>
        </w:rPr>
      </w:pPr>
      <w:r>
        <w:rPr>
          <w:rFonts w:eastAsia="Calibri"/>
          <w:b/>
          <w:bCs/>
          <w:i/>
          <w:iCs/>
          <w:lang w:eastAsia="ja-JP"/>
        </w:rPr>
        <w:t xml:space="preserve">Promotion: </w:t>
      </w:r>
      <w:r>
        <w:rPr>
          <w:rFonts w:eastAsia="Calibri"/>
        </w:rPr>
        <w:t>T</w:t>
      </w:r>
      <w:r>
        <w:rPr>
          <w:rFonts w:eastAsia="Calibri" w:hint="eastAsia"/>
        </w:rPr>
        <w:t>he suppliers</w:t>
      </w:r>
      <w:r>
        <w:rPr>
          <w:rFonts w:eastAsia="Calibri"/>
          <w:lang w:eastAsia="ja-JP"/>
        </w:rPr>
        <w:t xml:space="preserve"> reported that their local business communities dedicated in promoting qualified SMEs through various conferences and events, supporting them to develop relationship with large organisations that could become potential buyers. </w:t>
      </w:r>
      <w:r>
        <w:rPr>
          <w:rFonts w:eastAsia="Calibri" w:hint="eastAsia"/>
        </w:rPr>
        <w:t>S</w:t>
      </w:r>
      <w:r>
        <w:rPr>
          <w:rFonts w:eastAsia="Calibri"/>
          <w:lang w:eastAsia="ja-JP"/>
        </w:rPr>
        <w:t xml:space="preserve">uch efforts resulted to increasing competition among their buyer pool, creating </w:t>
      </w:r>
      <w:r>
        <w:rPr>
          <w:rFonts w:eastAsia="Calibri"/>
          <w:lang w:eastAsia="ja-JP"/>
        </w:rPr>
        <w:lastRenderedPageBreak/>
        <w:t xml:space="preserve">pressure to their existing key buyers. </w:t>
      </w:r>
      <w:r>
        <w:rPr>
          <w:rFonts w:eastAsia="Calibri"/>
          <w:i/>
          <w:iCs/>
          <w:lang w:eastAsia="ja-JP"/>
        </w:rPr>
        <w:t>“…obviously this is a threat to their supplier base. We are having more opportunities and choices, and we have the recognition from the government…I would also be more generous if I were them! (</w:t>
      </w:r>
      <w:r>
        <w:rPr>
          <w:rFonts w:eastAsia="Calibri"/>
          <w:i/>
          <w:iCs/>
        </w:rPr>
        <w:t>SME</w:t>
      </w:r>
      <w:r>
        <w:rPr>
          <w:rFonts w:eastAsia="Calibri"/>
          <w:i/>
          <w:iCs/>
          <w:lang w:eastAsia="ja-JP"/>
        </w:rPr>
        <w:t xml:space="preserve">4)” </w:t>
      </w:r>
      <w:r>
        <w:rPr>
          <w:rFonts w:eastAsia="Calibri"/>
          <w:lang w:eastAsia="ja-JP"/>
        </w:rPr>
        <w:t xml:space="preserve">As a result, the </w:t>
      </w:r>
      <w:r>
        <w:rPr>
          <w:rFonts w:eastAsia="Calibri" w:hint="eastAsia"/>
        </w:rPr>
        <w:t>supplier</w:t>
      </w:r>
      <w:r>
        <w:rPr>
          <w:rFonts w:eastAsia="Calibri"/>
          <w:lang w:eastAsia="ja-JP"/>
        </w:rPr>
        <w:t>s obtained more power in buyer-supplier relationships.</w:t>
      </w:r>
    </w:p>
    <w:p w14:paraId="574B2A53" w14:textId="77777777" w:rsidR="00AD548A" w:rsidRDefault="00000000">
      <w:pPr>
        <w:keepNext/>
        <w:keepLines/>
        <w:spacing w:before="200"/>
        <w:ind w:firstLineChars="0" w:firstLine="0"/>
        <w:outlineLvl w:val="2"/>
        <w:rPr>
          <w:rFonts w:eastAsia="SimSun"/>
          <w:b/>
          <w:bCs/>
          <w:i/>
          <w:iCs/>
          <w:szCs w:val="24"/>
          <w:lang w:val="en-US" w:eastAsia="ja-JP"/>
        </w:rPr>
      </w:pPr>
      <w:r>
        <w:rPr>
          <w:rFonts w:eastAsia="SimSun" w:hint="eastAsia"/>
          <w:b/>
          <w:bCs/>
          <w:i/>
          <w:iCs/>
          <w:szCs w:val="24"/>
          <w:lang w:val="en-US"/>
        </w:rPr>
        <w:t xml:space="preserve">4.1.3 </w:t>
      </w:r>
      <w:r>
        <w:rPr>
          <w:rFonts w:eastAsia="SimSun" w:hint="eastAsia"/>
          <w:b/>
          <w:bCs/>
          <w:i/>
          <w:iCs/>
          <w:szCs w:val="24"/>
          <w:lang w:val="en-US" w:eastAsia="ja-JP"/>
        </w:rPr>
        <w:t>Building informational power through official channels</w:t>
      </w:r>
      <w:r>
        <w:rPr>
          <w:rFonts w:eastAsia="SimSun"/>
          <w:b/>
          <w:bCs/>
          <w:i/>
          <w:iCs/>
          <w:szCs w:val="24"/>
          <w:lang w:val="en-US" w:eastAsia="ja-JP"/>
        </w:rPr>
        <w:t xml:space="preserve"> </w:t>
      </w:r>
    </w:p>
    <w:p w14:paraId="79A39F18" w14:textId="77777777" w:rsidR="00AD548A" w:rsidRDefault="00000000">
      <w:pPr>
        <w:ind w:firstLineChars="0" w:firstLine="0"/>
        <w:rPr>
          <w:rFonts w:eastAsia="Calibri"/>
        </w:rPr>
      </w:pPr>
      <w:r>
        <w:rPr>
          <w:rFonts w:eastAsia="Calibri" w:hint="eastAsia"/>
        </w:rPr>
        <w:t>Institutions enhanced suppliers' access to critical information and formal processes by creating direct communication channels and simplifying bureaucratic procedures</w:t>
      </w:r>
      <w:r>
        <w:rPr>
          <w:rFonts w:eastAsia="SimSun" w:hint="eastAsia"/>
          <w:lang w:val="en-US"/>
        </w:rPr>
        <w:t xml:space="preserve">. </w:t>
      </w:r>
    </w:p>
    <w:p w14:paraId="151B5FF8" w14:textId="77777777" w:rsidR="00AD548A" w:rsidRDefault="00000000">
      <w:pPr>
        <w:ind w:firstLine="482"/>
        <w:rPr>
          <w:rFonts w:eastAsia="Calibri"/>
          <w:lang w:eastAsia="ja-JP"/>
        </w:rPr>
      </w:pPr>
      <w:r>
        <w:rPr>
          <w:rFonts w:eastAsia="Calibri"/>
          <w:b/>
          <w:bCs/>
          <w:i/>
          <w:iCs/>
          <w:lang w:eastAsia="ja-JP"/>
        </w:rPr>
        <w:t>Exporting simplification:</w:t>
      </w:r>
      <w:r>
        <w:rPr>
          <w:rFonts w:eastAsia="Calibri"/>
          <w:lang w:eastAsia="ja-JP"/>
        </w:rPr>
        <w:t xml:space="preserve"> </w:t>
      </w:r>
      <w:r>
        <w:rPr>
          <w:rFonts w:eastAsia="SimSun" w:hint="eastAsia"/>
          <w:lang w:val="en-US"/>
        </w:rPr>
        <w:t>T</w:t>
      </w:r>
      <w:r>
        <w:rPr>
          <w:rFonts w:eastAsia="Calibri"/>
          <w:lang w:eastAsia="ja-JP"/>
        </w:rPr>
        <w:t>he inspection on cargos and following procedure could take more than 20 days to minimise the possibility of virus contamination, which became the main barrier of international businesses.</w:t>
      </w:r>
      <w:r>
        <w:rPr>
          <w:rFonts w:eastAsia="SimSun" w:hint="eastAsia"/>
          <w:lang w:val="en-US"/>
        </w:rPr>
        <w:t xml:space="preserve"> </w:t>
      </w:r>
      <w:r>
        <w:rPr>
          <w:rFonts w:eastAsia="Calibri"/>
          <w:lang w:eastAsia="ja-JP"/>
        </w:rPr>
        <w:t xml:space="preserve">To ease such situation, the informants reported that relevant departments and authorities dedicated to improve the approval efficiencies. For instance, according to </w:t>
      </w:r>
      <w:r>
        <w:rPr>
          <w:rFonts w:eastAsia="Calibri"/>
        </w:rPr>
        <w:t>SME</w:t>
      </w:r>
      <w:r>
        <w:rPr>
          <w:rFonts w:eastAsia="Calibri"/>
          <w:lang w:eastAsia="ja-JP"/>
        </w:rPr>
        <w:t xml:space="preserve">2, the time needed for the inspection and release of export products was reduced: </w:t>
      </w:r>
      <w:r>
        <w:rPr>
          <w:rFonts w:eastAsia="Calibri"/>
          <w:i/>
          <w:iCs/>
          <w:lang w:eastAsia="ja-JP"/>
        </w:rPr>
        <w:t>“the total time needed to cut down to less than two days”</w:t>
      </w:r>
      <w:r>
        <w:rPr>
          <w:rFonts w:eastAsia="Calibri"/>
          <w:lang w:eastAsia="ja-JP"/>
        </w:rPr>
        <w:t xml:space="preserve"> and “</w:t>
      </w:r>
      <w:r>
        <w:rPr>
          <w:rFonts w:eastAsia="Calibri"/>
          <w:i/>
          <w:iCs/>
          <w:lang w:eastAsia="ja-JP"/>
        </w:rPr>
        <w:t>the actions of the customs to simplify these procedures really improved the efficiency of international sourcing…”</w:t>
      </w:r>
      <w:r>
        <w:rPr>
          <w:rFonts w:eastAsia="Calibri"/>
          <w:lang w:eastAsia="ja-JP"/>
        </w:rPr>
        <w:t xml:space="preserve">. Moreover, firms needed to pay overdue fines for emergency response services for ships that were stranded at ports, which could lead to huge economic and time costs in COVID-19 context due to its high unpredictability. According to the </w:t>
      </w:r>
      <w:r>
        <w:rPr>
          <w:rFonts w:eastAsia="Calibri" w:hint="eastAsia"/>
        </w:rPr>
        <w:t xml:space="preserve">sampled </w:t>
      </w:r>
      <w:r>
        <w:rPr>
          <w:rFonts w:eastAsia="Calibri"/>
        </w:rPr>
        <w:t>SMEs</w:t>
      </w:r>
      <w:r>
        <w:rPr>
          <w:rFonts w:eastAsia="Calibri"/>
          <w:lang w:eastAsia="ja-JP"/>
        </w:rPr>
        <w:t xml:space="preserve">, these mandatory payments were abolished to ensure international transaction efficiencies: </w:t>
      </w:r>
      <w:r>
        <w:rPr>
          <w:rFonts w:eastAsia="Calibri"/>
          <w:i/>
          <w:iCs/>
          <w:lang w:eastAsia="ja-JP"/>
        </w:rPr>
        <w:t xml:space="preserve">“that was before the pandemic, for all organisations, we need to pay if the ships stay at the ports for extra times, this was cancelled during the COVID-19 for us, as long as I know, this is specifically for </w:t>
      </w:r>
      <w:r>
        <w:rPr>
          <w:rFonts w:eastAsia="Calibri" w:hint="eastAsia"/>
          <w:i/>
          <w:iCs/>
        </w:rPr>
        <w:t>small firm</w:t>
      </w:r>
      <w:r>
        <w:rPr>
          <w:rFonts w:eastAsia="Calibri"/>
          <w:i/>
          <w:iCs/>
          <w:lang w:eastAsia="ja-JP"/>
        </w:rPr>
        <w:t xml:space="preserve">s” </w:t>
      </w:r>
      <w:r>
        <w:rPr>
          <w:rFonts w:eastAsia="Calibri"/>
          <w:lang w:eastAsia="ja-JP"/>
        </w:rPr>
        <w:t>(</w:t>
      </w:r>
      <w:r>
        <w:rPr>
          <w:rFonts w:eastAsia="Calibri" w:hint="eastAsia"/>
        </w:rPr>
        <w:t>S</w:t>
      </w:r>
      <w:r>
        <w:rPr>
          <w:rFonts w:eastAsia="Calibri"/>
        </w:rPr>
        <w:t>ME</w:t>
      </w:r>
      <w:r>
        <w:rPr>
          <w:rFonts w:eastAsia="Calibri"/>
          <w:lang w:eastAsia="ja-JP"/>
        </w:rPr>
        <w:t>7).</w:t>
      </w:r>
    </w:p>
    <w:p w14:paraId="563D777F" w14:textId="77777777" w:rsidR="00AD548A" w:rsidRDefault="00000000">
      <w:pPr>
        <w:ind w:firstLine="482"/>
        <w:rPr>
          <w:rFonts w:eastAsia="Calibri"/>
          <w:lang w:eastAsia="ja-JP"/>
        </w:rPr>
      </w:pPr>
      <w:r>
        <w:rPr>
          <w:rFonts w:eastAsia="Calibri"/>
          <w:b/>
          <w:bCs/>
          <w:i/>
          <w:iCs/>
          <w:lang w:eastAsia="ja-JP"/>
        </w:rPr>
        <w:lastRenderedPageBreak/>
        <w:t xml:space="preserve">Communication channel: </w:t>
      </w:r>
      <w:r>
        <w:rPr>
          <w:rFonts w:eastAsia="Calibri"/>
          <w:lang w:eastAsia="ja-JP"/>
        </w:rPr>
        <w:t>the government</w:t>
      </w:r>
      <w:r>
        <w:rPr>
          <w:rFonts w:eastAsia="Calibri" w:hint="eastAsia"/>
        </w:rPr>
        <w:t>al</w:t>
      </w:r>
      <w:r>
        <w:rPr>
          <w:rFonts w:eastAsia="Calibri"/>
          <w:lang w:eastAsia="ja-JP"/>
        </w:rPr>
        <w:t xml:space="preserve"> agencies from different level opened direct communication channels for SMEs to seek consultant and help</w:t>
      </w:r>
      <w:r>
        <w:rPr>
          <w:rFonts w:eastAsia="SimSun" w:hint="eastAsia"/>
          <w:lang w:val="en-US"/>
        </w:rPr>
        <w:t xml:space="preserve"> designed specifically for the pandemic-relevant issues</w:t>
      </w:r>
      <w:r>
        <w:rPr>
          <w:rFonts w:eastAsia="Calibri"/>
          <w:lang w:eastAsia="ja-JP"/>
        </w:rPr>
        <w:t xml:space="preserve">. For instance, many </w:t>
      </w:r>
      <w:r>
        <w:rPr>
          <w:rFonts w:eastAsia="Calibri" w:hint="eastAsia"/>
        </w:rPr>
        <w:t>of the sampled suppliers</w:t>
      </w:r>
      <w:r>
        <w:rPr>
          <w:rFonts w:eastAsia="Calibri"/>
          <w:lang w:eastAsia="ja-JP"/>
        </w:rPr>
        <w:t xml:space="preserve"> were having arguments and disputes on </w:t>
      </w:r>
      <w:r>
        <w:rPr>
          <w:rFonts w:eastAsia="SimSun" w:hint="eastAsia"/>
          <w:lang w:val="en-US"/>
        </w:rPr>
        <w:t xml:space="preserve">amending </w:t>
      </w:r>
      <w:r>
        <w:rPr>
          <w:rFonts w:eastAsia="Calibri"/>
          <w:lang w:eastAsia="ja-JP"/>
        </w:rPr>
        <w:t>contract</w:t>
      </w:r>
      <w:r>
        <w:rPr>
          <w:rFonts w:eastAsia="SimSun" w:hint="eastAsia"/>
          <w:lang w:val="en-US"/>
        </w:rPr>
        <w:t xml:space="preserve"> terms related to the COVID-19</w:t>
      </w:r>
      <w:r>
        <w:rPr>
          <w:rFonts w:eastAsia="Calibri"/>
          <w:lang w:eastAsia="ja-JP"/>
        </w:rPr>
        <w:t xml:space="preserve">, as the Business Owner of </w:t>
      </w:r>
      <w:r>
        <w:rPr>
          <w:rFonts w:eastAsia="Calibri" w:hint="eastAsia"/>
        </w:rPr>
        <w:t>S</w:t>
      </w:r>
      <w:r>
        <w:rPr>
          <w:rFonts w:eastAsia="Calibri"/>
        </w:rPr>
        <w:t>ME</w:t>
      </w:r>
      <w:r>
        <w:rPr>
          <w:rFonts w:eastAsia="Calibri" w:hint="eastAsia"/>
        </w:rPr>
        <w:t>2</w:t>
      </w:r>
      <w:r>
        <w:rPr>
          <w:rFonts w:eastAsia="Calibri"/>
          <w:lang w:eastAsia="ja-JP"/>
        </w:rPr>
        <w:t xml:space="preserve"> stated </w:t>
      </w:r>
      <w:r>
        <w:rPr>
          <w:rFonts w:eastAsia="Calibri"/>
          <w:i/>
          <w:iCs/>
          <w:lang w:eastAsia="ja-JP"/>
        </w:rPr>
        <w:t>“Still about the force majeure issue, they (powerful buyers) did not take our words. I think they just did not want to or they thought they did not need to hear our arguments</w:t>
      </w:r>
      <w:r>
        <w:rPr>
          <w:rFonts w:eastAsia="Calibri"/>
          <w:lang w:eastAsia="ja-JP"/>
        </w:rPr>
        <w:t xml:space="preserve">. </w:t>
      </w:r>
      <w:r>
        <w:rPr>
          <w:rFonts w:eastAsia="SimSun" w:hint="eastAsia"/>
          <w:lang w:val="en-US"/>
        </w:rPr>
        <w:t>T</w:t>
      </w:r>
      <w:r>
        <w:rPr>
          <w:rFonts w:eastAsia="Calibri"/>
          <w:lang w:eastAsia="ja-JP"/>
        </w:rPr>
        <w:t xml:space="preserve">he local governments permitted the </w:t>
      </w:r>
      <w:r>
        <w:rPr>
          <w:rFonts w:eastAsia="Calibri" w:hint="eastAsia"/>
        </w:rPr>
        <w:t>firms having related concerns</w:t>
      </w:r>
      <w:r>
        <w:rPr>
          <w:rFonts w:eastAsia="Calibri"/>
          <w:lang w:eastAsia="ja-JP"/>
        </w:rPr>
        <w:t xml:space="preserve"> to have direct communication with them and explain difficulties they were having and provided corresponding legal supports, as the informant continued: “</w:t>
      </w:r>
      <w:r>
        <w:rPr>
          <w:rFonts w:eastAsia="Calibri"/>
          <w:i/>
          <w:iCs/>
          <w:lang w:eastAsia="ja-JP"/>
        </w:rPr>
        <w:t>…</w:t>
      </w:r>
      <w:r>
        <w:rPr>
          <w:rFonts w:eastAsia="SimSun" w:hint="eastAsia"/>
          <w:i/>
          <w:iCs/>
          <w:lang w:val="en-US"/>
        </w:rPr>
        <w:t>they were not allowed to ask for any types of compensation if our incapability in completing the contracts because of the COVID-19</w:t>
      </w:r>
      <w:r>
        <w:rPr>
          <w:rFonts w:eastAsia="Calibri"/>
          <w:i/>
          <w:iCs/>
          <w:lang w:eastAsia="ja-JP"/>
        </w:rPr>
        <w:t>” (SME3)</w:t>
      </w:r>
      <w:r>
        <w:rPr>
          <w:rFonts w:eastAsia="Calibri"/>
          <w:lang w:eastAsia="ja-JP"/>
        </w:rPr>
        <w:t xml:space="preserve">. </w:t>
      </w:r>
    </w:p>
    <w:p w14:paraId="0F1E2B24" w14:textId="77777777" w:rsidR="00AD548A" w:rsidRDefault="00000000">
      <w:pPr>
        <w:ind w:firstLine="482"/>
        <w:rPr>
          <w:rFonts w:eastAsia="Calibri"/>
          <w:lang w:val="en-US" w:eastAsia="ja-JP"/>
        </w:rPr>
      </w:pPr>
      <w:r>
        <w:rPr>
          <w:rFonts w:eastAsia="Calibri" w:hint="eastAsia"/>
          <w:b/>
          <w:bCs/>
          <w:i/>
          <w:iCs/>
          <w:lang w:eastAsia="ja-JP"/>
        </w:rPr>
        <w:t>Utility support systems</w:t>
      </w:r>
      <w:r>
        <w:rPr>
          <w:rFonts w:eastAsia="Calibri"/>
          <w:b/>
          <w:bCs/>
          <w:i/>
          <w:iCs/>
          <w:lang w:eastAsia="ja-JP"/>
        </w:rPr>
        <w:t xml:space="preserve">: </w:t>
      </w:r>
      <w:r>
        <w:rPr>
          <w:rFonts w:eastAsia="Calibri" w:hint="eastAsia"/>
          <w:lang w:val="en-US"/>
        </w:rPr>
        <w:t>the supplier</w:t>
      </w:r>
      <w:r>
        <w:rPr>
          <w:rFonts w:eastAsia="Calibri"/>
          <w:lang w:val="en-US" w:eastAsia="ja-JP"/>
        </w:rPr>
        <w:t>s</w:t>
      </w:r>
      <w:r>
        <w:rPr>
          <w:rFonts w:eastAsia="Calibri" w:hint="eastAsia"/>
          <w:lang w:val="en-US"/>
        </w:rPr>
        <w:t xml:space="preserve"> reported their</w:t>
      </w:r>
      <w:r>
        <w:rPr>
          <w:rFonts w:eastAsia="Calibri"/>
          <w:lang w:val="en-US" w:eastAsia="ja-JP"/>
        </w:rPr>
        <w:t xml:space="preserve"> require </w:t>
      </w:r>
      <w:r>
        <w:rPr>
          <w:rFonts w:eastAsia="Calibri" w:hint="eastAsia"/>
          <w:lang w:val="en-US"/>
        </w:rPr>
        <w:t xml:space="preserve">of </w:t>
      </w:r>
      <w:r>
        <w:rPr>
          <w:rFonts w:eastAsia="Calibri"/>
          <w:lang w:val="en-US" w:eastAsia="ja-JP"/>
        </w:rPr>
        <w:t>continual availability of resources such as water and electricity to guarantee special inventory environments</w:t>
      </w:r>
      <w:r>
        <w:rPr>
          <w:rFonts w:eastAsia="Calibri" w:hint="eastAsia"/>
          <w:lang w:val="en-US"/>
        </w:rPr>
        <w:t xml:space="preserve"> during the close-down</w:t>
      </w:r>
      <w:r>
        <w:rPr>
          <w:rFonts w:eastAsia="Calibri"/>
          <w:lang w:val="en-US" w:eastAsia="ja-JP"/>
        </w:rPr>
        <w:t xml:space="preserve">. </w:t>
      </w:r>
      <w:r>
        <w:rPr>
          <w:rFonts w:eastAsia="Calibri" w:hint="eastAsia"/>
          <w:lang w:val="en-US"/>
        </w:rPr>
        <w:t>They explained their concern</w:t>
      </w:r>
      <w:r>
        <w:rPr>
          <w:rFonts w:eastAsia="Calibri"/>
          <w:lang w:val="en-US" w:eastAsia="ja-JP"/>
        </w:rPr>
        <w:t xml:space="preserve"> that the power supply bureau may not be able to complete regular maintenance on power facilities and cause supply disruptions.</w:t>
      </w:r>
    </w:p>
    <w:p w14:paraId="1369BC0D" w14:textId="77777777" w:rsidR="00AD548A" w:rsidRDefault="00000000">
      <w:pPr>
        <w:rPr>
          <w:rFonts w:eastAsia="Calibri"/>
          <w:lang w:val="en-US"/>
        </w:rPr>
      </w:pPr>
      <w:r>
        <w:rPr>
          <w:rFonts w:eastAsia="Calibri"/>
          <w:lang w:val="en-US" w:eastAsia="ja-JP"/>
        </w:rPr>
        <w:t>Under such circumstance, the government</w:t>
      </w:r>
      <w:r>
        <w:rPr>
          <w:rFonts w:eastAsia="Calibri" w:hint="eastAsia"/>
          <w:lang w:val="en-US"/>
        </w:rPr>
        <w:t>al agencies</w:t>
      </w:r>
      <w:r>
        <w:rPr>
          <w:rFonts w:eastAsia="Calibri"/>
          <w:lang w:val="en-US" w:eastAsia="ja-JP"/>
        </w:rPr>
        <w:t xml:space="preserve"> soon released policies on ensuring continual supply of necessary power and resources</w:t>
      </w:r>
      <w:r>
        <w:rPr>
          <w:rFonts w:eastAsia="Calibri" w:hint="eastAsia"/>
          <w:lang w:val="en-US"/>
        </w:rPr>
        <w:t>, with a specific preference for the SMEs</w:t>
      </w:r>
      <w:r>
        <w:rPr>
          <w:rFonts w:eastAsia="Calibri"/>
          <w:lang w:val="en-US" w:eastAsia="ja-JP"/>
        </w:rPr>
        <w:t xml:space="preserve">. </w:t>
      </w:r>
      <w:r>
        <w:rPr>
          <w:rFonts w:eastAsia="Calibri" w:hint="eastAsia"/>
          <w:lang w:val="en-US"/>
        </w:rPr>
        <w:t>T</w:t>
      </w:r>
      <w:r>
        <w:rPr>
          <w:rFonts w:eastAsia="Calibri"/>
          <w:lang w:val="en-US" w:eastAsia="ja-JP"/>
        </w:rPr>
        <w:t xml:space="preserve">he local governments coordinated closely with </w:t>
      </w:r>
      <w:r>
        <w:rPr>
          <w:rFonts w:eastAsia="Calibri" w:hint="eastAsia"/>
          <w:lang w:val="en-US"/>
        </w:rPr>
        <w:t>the service providers,</w:t>
      </w:r>
      <w:r>
        <w:rPr>
          <w:rFonts w:eastAsia="Calibri"/>
          <w:lang w:val="en-US" w:eastAsia="ja-JP"/>
        </w:rPr>
        <w:t xml:space="preserve"> </w:t>
      </w:r>
      <w:r>
        <w:rPr>
          <w:rFonts w:eastAsia="Calibri" w:hint="eastAsia"/>
          <w:lang w:val="en-US"/>
        </w:rPr>
        <w:t>which effectively</w:t>
      </w:r>
      <w:r>
        <w:rPr>
          <w:rFonts w:eastAsia="Calibri"/>
          <w:lang w:val="en-US" w:eastAsia="ja-JP"/>
        </w:rPr>
        <w:t xml:space="preserve"> organiz</w:t>
      </w:r>
      <w:r>
        <w:rPr>
          <w:rFonts w:eastAsia="Calibri" w:hint="eastAsia"/>
          <w:lang w:val="en-US"/>
        </w:rPr>
        <w:t>ed</w:t>
      </w:r>
      <w:r>
        <w:rPr>
          <w:rFonts w:eastAsia="Calibri"/>
          <w:lang w:val="en-US" w:eastAsia="ja-JP"/>
        </w:rPr>
        <w:t xml:space="preserve"> emergency teams to ensure instant communication with firms that had power supply issues resolve the problems immediately: </w:t>
      </w:r>
      <w:r>
        <w:rPr>
          <w:rFonts w:eastAsia="Calibri"/>
          <w:i/>
          <w:iCs/>
          <w:lang w:val="en-US" w:eastAsia="ja-JP"/>
        </w:rPr>
        <w:t xml:space="preserve">“there were several times of cutting down, but they released the announcement on time, so that we </w:t>
      </w:r>
      <w:r>
        <w:rPr>
          <w:rFonts w:eastAsia="Calibri"/>
          <w:i/>
          <w:iCs/>
          <w:lang w:val="en-US" w:eastAsia="ja-JP"/>
        </w:rPr>
        <w:lastRenderedPageBreak/>
        <w:t>know what problems they were having”</w:t>
      </w:r>
      <w:r>
        <w:rPr>
          <w:rFonts w:eastAsia="Calibri"/>
          <w:lang w:val="en-US" w:eastAsia="ja-JP"/>
        </w:rPr>
        <w:t xml:space="preserve"> and </w:t>
      </w:r>
      <w:r>
        <w:rPr>
          <w:rFonts w:eastAsia="Calibri"/>
          <w:i/>
          <w:iCs/>
          <w:lang w:val="en-US" w:eastAsia="ja-JP"/>
        </w:rPr>
        <w:t>“yes sometimes it was unstable, but recovered quickly, and most of times the power supply was pretty stable”</w:t>
      </w:r>
      <w:r>
        <w:rPr>
          <w:rFonts w:eastAsia="Calibri"/>
          <w:lang w:val="en-US" w:eastAsia="ja-JP"/>
        </w:rPr>
        <w:t xml:space="preserve"> (</w:t>
      </w:r>
      <w:r>
        <w:rPr>
          <w:rFonts w:eastAsia="Calibri" w:hint="eastAsia"/>
          <w:lang w:val="en-US"/>
        </w:rPr>
        <w:t>S</w:t>
      </w:r>
      <w:r>
        <w:rPr>
          <w:rFonts w:eastAsia="Calibri"/>
          <w:lang w:val="en-US"/>
        </w:rPr>
        <w:t>ME</w:t>
      </w:r>
      <w:r>
        <w:rPr>
          <w:rFonts w:eastAsia="Calibri"/>
          <w:lang w:val="en-US" w:eastAsia="ja-JP"/>
        </w:rPr>
        <w:t>9).</w:t>
      </w:r>
    </w:p>
    <w:p w14:paraId="5A600C7F" w14:textId="77777777" w:rsidR="00AD548A" w:rsidRDefault="00000000">
      <w:pPr>
        <w:spacing w:before="480"/>
        <w:ind w:firstLineChars="0" w:firstLine="0"/>
        <w:contextualSpacing/>
        <w:jc w:val="left"/>
        <w:outlineLvl w:val="0"/>
        <w:rPr>
          <w:rFonts w:eastAsia="SimSun"/>
          <w:b/>
          <w:bCs/>
          <w:szCs w:val="28"/>
          <w:lang w:val="en-US"/>
        </w:rPr>
      </w:pPr>
      <w:r>
        <w:rPr>
          <w:rFonts w:eastAsia="SimSun" w:hint="eastAsia"/>
          <w:b/>
          <w:bCs/>
          <w:szCs w:val="28"/>
          <w:lang w:val="en-US"/>
        </w:rPr>
        <w:t>4.2 Institutional tactics for buyer constraint</w:t>
      </w:r>
    </w:p>
    <w:p w14:paraId="31CC52CF" w14:textId="77777777" w:rsidR="00AD548A" w:rsidRDefault="00000000">
      <w:pPr>
        <w:spacing w:before="480"/>
        <w:ind w:firstLineChars="0" w:firstLine="0"/>
        <w:contextualSpacing/>
        <w:outlineLvl w:val="0"/>
        <w:rPr>
          <w:rFonts w:eastAsia="SimSun"/>
          <w:b/>
          <w:bCs/>
          <w:szCs w:val="28"/>
          <w:lang w:val="en-US"/>
        </w:rPr>
      </w:pPr>
      <w:r>
        <w:rPr>
          <w:rFonts w:eastAsia="SimSun" w:hint="eastAsia"/>
          <w:szCs w:val="28"/>
          <w:lang w:val="en-US"/>
        </w:rPr>
        <w:t>In parallel with the empowerment of suppliers, institutional actors deployed a suite of tactics designed to directly constrain the coercive power of dominant buyers. These interventions targeted the very privileges that enabled opportunistic behavior, forcing a shift towards more collaborative practices. Our findings identify three principal constraint-based tactics.</w:t>
      </w:r>
    </w:p>
    <w:p w14:paraId="06918D8B" w14:textId="77777777" w:rsidR="00AD548A" w:rsidRDefault="00000000">
      <w:pPr>
        <w:ind w:firstLine="482"/>
        <w:rPr>
          <w:rFonts w:eastAsia="SimSun"/>
          <w:i/>
          <w:iCs/>
          <w:szCs w:val="24"/>
        </w:rPr>
      </w:pPr>
      <w:r>
        <w:rPr>
          <w:rFonts w:eastAsia="Calibri" w:hint="eastAsia"/>
          <w:b/>
          <w:bCs/>
          <w:i/>
          <w:iCs/>
          <w:lang w:val="en-US"/>
        </w:rPr>
        <w:t xml:space="preserve">Legal </w:t>
      </w:r>
      <w:r>
        <w:rPr>
          <w:rFonts w:eastAsia="SimSun" w:hint="eastAsia"/>
          <w:b/>
          <w:bCs/>
          <w:i/>
          <w:iCs/>
          <w:lang w:val="en-US"/>
        </w:rPr>
        <w:t xml:space="preserve">interventions: </w:t>
      </w:r>
      <w:r>
        <w:rPr>
          <w:rFonts w:eastAsia="Calibri"/>
          <w:szCs w:val="24"/>
        </w:rPr>
        <w:t xml:space="preserve">Institutions actively intervened in the private contracting process to disrupt the unilateral imposition of terms by powerful buyers. Previously, as SME3 noted, suppliers felt compelled to comply: </w:t>
      </w:r>
      <w:r>
        <w:rPr>
          <w:rFonts w:eastAsia="Calibri"/>
          <w:i/>
          <w:iCs/>
          <w:szCs w:val="24"/>
        </w:rPr>
        <w:t>"to maintain the relationships, the suppliers usually chose to comply with the large organisations' requests."</w:t>
      </w:r>
      <w:r>
        <w:rPr>
          <w:rFonts w:eastAsia="Calibri"/>
          <w:szCs w:val="24"/>
        </w:rPr>
        <w:t xml:space="preserve"> This dynamic was openly acknowledged by buyers, with BUYER2 stating, </w:t>
      </w:r>
      <w:r>
        <w:rPr>
          <w:rFonts w:eastAsia="Calibri"/>
          <w:i/>
          <w:iCs/>
          <w:szCs w:val="24"/>
        </w:rPr>
        <w:t>"well it is shame to say this, but it is true that we kind of controlled how the contracts were written."</w:t>
      </w:r>
    </w:p>
    <w:p w14:paraId="18EFC5C5" w14:textId="77777777" w:rsidR="00AD548A" w:rsidRDefault="00000000">
      <w:pPr>
        <w:rPr>
          <w:rFonts w:eastAsia="Calibri"/>
          <w:szCs w:val="24"/>
        </w:rPr>
      </w:pPr>
      <w:r>
        <w:rPr>
          <w:rFonts w:eastAsia="Calibri"/>
          <w:szCs w:val="24"/>
        </w:rPr>
        <w:t>This coercive power was directly challenged when governments mandated the inclusion of specific, protective terms for SMEs in new contracts. For instance, SME3 highlighted a clause that "SMEs shall not be forced to accept non-cash payment methods." This intervention transformed the negotiation process. As BUYER2 explained,</w:t>
      </w:r>
      <w:r>
        <w:rPr>
          <w:rFonts w:eastAsia="Calibri"/>
          <w:i/>
          <w:iCs/>
          <w:szCs w:val="24"/>
        </w:rPr>
        <w:t xml:space="preserve"> "to follow what was required, our legal department reviewed our previous contracts, and we had multiple times of negotiation with the suppliers to really hear their demands, to actually achieve mutual benefits." </w:t>
      </w:r>
      <w:r>
        <w:rPr>
          <w:rFonts w:eastAsia="Calibri"/>
          <w:szCs w:val="24"/>
        </w:rPr>
        <w:t>This represents a direct institutional constraint on the buyers' ability to exercise mediated power.</w:t>
      </w:r>
    </w:p>
    <w:p w14:paraId="4182D9DA" w14:textId="77777777" w:rsidR="00AD548A" w:rsidRDefault="00000000">
      <w:pPr>
        <w:ind w:firstLine="482"/>
        <w:rPr>
          <w:rFonts w:eastAsia="SimSun"/>
          <w:i/>
          <w:iCs/>
          <w:szCs w:val="24"/>
        </w:rPr>
      </w:pPr>
      <w:r>
        <w:rPr>
          <w:rFonts w:eastAsia="Calibri"/>
          <w:b/>
          <w:bCs/>
          <w:i/>
          <w:iCs/>
          <w:szCs w:val="24"/>
        </w:rPr>
        <w:lastRenderedPageBreak/>
        <w:t xml:space="preserve">Behavioral </w:t>
      </w:r>
      <w:r>
        <w:rPr>
          <w:rFonts w:eastAsia="SimSun" w:hint="eastAsia"/>
          <w:b/>
          <w:bCs/>
          <w:i/>
          <w:iCs/>
          <w:szCs w:val="24"/>
          <w:lang w:val="en-US"/>
        </w:rPr>
        <w:t>s</w:t>
      </w:r>
      <w:r>
        <w:rPr>
          <w:rFonts w:eastAsia="Calibri"/>
          <w:b/>
          <w:bCs/>
          <w:i/>
          <w:iCs/>
          <w:szCs w:val="24"/>
        </w:rPr>
        <w:t xml:space="preserve">upervision and </w:t>
      </w:r>
      <w:r>
        <w:rPr>
          <w:rFonts w:eastAsia="SimSun" w:hint="eastAsia"/>
          <w:b/>
          <w:bCs/>
          <w:i/>
          <w:iCs/>
          <w:szCs w:val="24"/>
          <w:lang w:val="en-US"/>
        </w:rPr>
        <w:t>m</w:t>
      </w:r>
      <w:r>
        <w:rPr>
          <w:rFonts w:eastAsia="Calibri"/>
          <w:b/>
          <w:bCs/>
          <w:i/>
          <w:iCs/>
          <w:szCs w:val="24"/>
        </w:rPr>
        <w:t>onitoring</w:t>
      </w:r>
      <w:r>
        <w:rPr>
          <w:rFonts w:eastAsia="SimSun" w:hint="eastAsia"/>
          <w:b/>
          <w:bCs/>
          <w:i/>
          <w:iCs/>
          <w:szCs w:val="24"/>
          <w:lang w:val="en-US"/>
        </w:rPr>
        <w:t xml:space="preserve">: </w:t>
      </w:r>
      <w:r>
        <w:rPr>
          <w:rFonts w:eastAsia="Calibri"/>
          <w:szCs w:val="24"/>
        </w:rPr>
        <w:t xml:space="preserve">Beyond setting rules, institutions established active monitoring regimes to detect and deter opportunism. Suppliers reported that buyers had previously delayed payments with impunity, often leveraging their </w:t>
      </w:r>
      <w:r>
        <w:rPr>
          <w:rFonts w:eastAsia="Calibri"/>
          <w:i/>
          <w:iCs/>
          <w:szCs w:val="24"/>
        </w:rPr>
        <w:t xml:space="preserve">"close interest-relevant relationships with the government" </w:t>
      </w:r>
      <w:r>
        <w:rPr>
          <w:rFonts w:eastAsia="Calibri"/>
          <w:szCs w:val="24"/>
        </w:rPr>
        <w:t>(SME6). Suppliers felt powerless to resist, with SME6 asking,</w:t>
      </w:r>
      <w:r>
        <w:rPr>
          <w:rFonts w:eastAsia="Calibri"/>
          <w:i/>
          <w:iCs/>
          <w:szCs w:val="24"/>
        </w:rPr>
        <w:t xml:space="preserve"> "how can I argue with them... there is nothing we can do."</w:t>
      </w:r>
    </w:p>
    <w:p w14:paraId="53EC5E61" w14:textId="77777777" w:rsidR="00AD548A" w:rsidRDefault="00000000">
      <w:pPr>
        <w:rPr>
          <w:rFonts w:eastAsia="SimSun"/>
          <w:i/>
          <w:iCs/>
          <w:szCs w:val="24"/>
        </w:rPr>
      </w:pPr>
      <w:r>
        <w:rPr>
          <w:rFonts w:eastAsia="Calibri"/>
          <w:szCs w:val="24"/>
        </w:rPr>
        <w:t>This changed with the implementation of surprise audits and inspections. BUYER3 reported that</w:t>
      </w:r>
      <w:r>
        <w:rPr>
          <w:rFonts w:eastAsia="Calibri"/>
          <w:i/>
          <w:iCs/>
          <w:szCs w:val="24"/>
        </w:rPr>
        <w:t xml:space="preserve"> "we were regularly checked by the auditing team, and in many cases, we did not receive any messages in advance, so we need to be careful."</w:t>
      </w:r>
      <w:r>
        <w:rPr>
          <w:rFonts w:eastAsia="Calibri"/>
          <w:szCs w:val="24"/>
        </w:rPr>
        <w:t xml:space="preserve"> The effect was immediate and tangible. SME1 observed that</w:t>
      </w:r>
      <w:r>
        <w:rPr>
          <w:rFonts w:eastAsia="Calibri"/>
          <w:i/>
          <w:iCs/>
          <w:szCs w:val="24"/>
        </w:rPr>
        <w:t xml:space="preserve"> "Normally, they would pay in a few months later, but they paid quite quick this time right after the new regulation is released."</w:t>
      </w:r>
      <w:r>
        <w:rPr>
          <w:rFonts w:eastAsia="Calibri"/>
          <w:szCs w:val="24"/>
        </w:rPr>
        <w:t xml:space="preserve"> For buyers, this supervision served as a constructive "warning," with BUYER4 admitting </w:t>
      </w:r>
      <w:r>
        <w:rPr>
          <w:rFonts w:eastAsia="Calibri"/>
          <w:i/>
          <w:iCs/>
          <w:szCs w:val="24"/>
        </w:rPr>
        <w:t>"it allowed us to improve our daily operations."</w:t>
      </w:r>
    </w:p>
    <w:p w14:paraId="2DED9571" w14:textId="77777777" w:rsidR="00AD548A" w:rsidRDefault="00000000">
      <w:pPr>
        <w:ind w:firstLine="482"/>
        <w:rPr>
          <w:rFonts w:eastAsia="Calibri"/>
          <w:i/>
          <w:iCs/>
          <w:szCs w:val="24"/>
        </w:rPr>
      </w:pPr>
      <w:r>
        <w:rPr>
          <w:rFonts w:eastAsia="Calibri"/>
          <w:b/>
          <w:bCs/>
          <w:i/>
          <w:iCs/>
          <w:szCs w:val="24"/>
        </w:rPr>
        <w:t xml:space="preserve">Benefit </w:t>
      </w:r>
      <w:r>
        <w:rPr>
          <w:rFonts w:eastAsia="SimSun" w:hint="eastAsia"/>
          <w:b/>
          <w:bCs/>
          <w:i/>
          <w:iCs/>
          <w:szCs w:val="24"/>
          <w:lang w:val="en-US"/>
        </w:rPr>
        <w:t>r</w:t>
      </w:r>
      <w:r>
        <w:rPr>
          <w:rFonts w:eastAsia="Calibri"/>
          <w:b/>
          <w:bCs/>
          <w:i/>
          <w:iCs/>
          <w:szCs w:val="24"/>
        </w:rPr>
        <w:t>edistribution</w:t>
      </w:r>
      <w:r>
        <w:rPr>
          <w:rFonts w:eastAsia="SimSun" w:hint="eastAsia"/>
          <w:szCs w:val="24"/>
          <w:lang w:val="en-US"/>
        </w:rPr>
        <w:t xml:space="preserve">: </w:t>
      </w:r>
      <w:r>
        <w:rPr>
          <w:rFonts w:eastAsia="Calibri"/>
          <w:szCs w:val="24"/>
        </w:rPr>
        <w:t>A profound tactical shift involved the deliberate reallocation of governmental benefits away from powerful buyers and towards SMEs, challenging long-standing structural privileges. Suppliers reported that before the pandemic,</w:t>
      </w:r>
      <w:r>
        <w:rPr>
          <w:rFonts w:eastAsia="Calibri"/>
          <w:i/>
          <w:iCs/>
          <w:szCs w:val="24"/>
        </w:rPr>
        <w:t xml:space="preserve"> "most of governmental preferences were distributed to their strategic buyers who hold privileged power positions."</w:t>
      </w:r>
    </w:p>
    <w:p w14:paraId="0E8AE09A" w14:textId="77777777" w:rsidR="00AD548A" w:rsidRDefault="00000000">
      <w:pPr>
        <w:rPr>
          <w:rFonts w:eastAsia="Calibri"/>
        </w:rPr>
      </w:pPr>
      <w:r>
        <w:rPr>
          <w:rFonts w:eastAsia="Calibri"/>
          <w:szCs w:val="24"/>
        </w:rPr>
        <w:t xml:space="preserve">This redistribution signaled a major shift in institutional priorities. BUYER1 explicitly noted the change: </w:t>
      </w:r>
      <w:r>
        <w:rPr>
          <w:rFonts w:eastAsia="Calibri"/>
          <w:i/>
          <w:iCs/>
          <w:szCs w:val="24"/>
        </w:rPr>
        <w:t xml:space="preserve">"I think this is the first time that we are receiving less funds from the government directly. I mean in the past it was simple." </w:t>
      </w:r>
      <w:r>
        <w:rPr>
          <w:rFonts w:eastAsia="Calibri"/>
          <w:szCs w:val="24"/>
        </w:rPr>
        <w:t>This created a sense of caution among buyers, with BUYER3 stating,</w:t>
      </w:r>
      <w:r>
        <w:rPr>
          <w:rFonts w:eastAsia="Calibri"/>
          <w:i/>
          <w:iCs/>
          <w:szCs w:val="24"/>
        </w:rPr>
        <w:t xml:space="preserve"> "We must be careful with the </w:t>
      </w:r>
      <w:r>
        <w:rPr>
          <w:rFonts w:eastAsia="Calibri"/>
          <w:i/>
          <w:iCs/>
          <w:szCs w:val="24"/>
        </w:rPr>
        <w:lastRenderedPageBreak/>
        <w:t>governments' attitudes now during this special time."</w:t>
      </w:r>
      <w:r>
        <w:rPr>
          <w:rFonts w:eastAsia="Calibri"/>
          <w:szCs w:val="24"/>
        </w:rPr>
        <w:t xml:space="preserve"> For suppliers, this tactic was transformative. As SME8 summarized, </w:t>
      </w:r>
      <w:r>
        <w:rPr>
          <w:rFonts w:eastAsia="Calibri"/>
          <w:i/>
          <w:iCs/>
          <w:szCs w:val="24"/>
        </w:rPr>
        <w:t>"before this, we had to apply a lot of things by ourselves, but for many large companies, they kind have the privilege. So this time, it really make big difference."</w:t>
      </w:r>
      <w:r>
        <w:rPr>
          <w:rFonts w:eastAsia="Calibri"/>
          <w:szCs w:val="24"/>
        </w:rPr>
        <w:t xml:space="preserve"> While not dissolving the buyers' structural advantages, this redistribution significantly curtailed their ability to leverage them, effectively suppressing the negative outcomes of their privileged position.</w:t>
      </w:r>
    </w:p>
    <w:p w14:paraId="00D7318A" w14:textId="77777777" w:rsidR="00AD548A" w:rsidRDefault="00000000">
      <w:pPr>
        <w:pStyle w:val="Heading2"/>
      </w:pPr>
      <w:r>
        <w:rPr>
          <w:rFonts w:hint="eastAsia"/>
        </w:rPr>
        <w:t>4.</w:t>
      </w:r>
      <w:r>
        <w:rPr>
          <w:rFonts w:hint="eastAsia"/>
          <w:lang w:eastAsia="zh-CN"/>
        </w:rPr>
        <w:t>3</w:t>
      </w:r>
      <w:r>
        <w:rPr>
          <w:rFonts w:hint="eastAsia"/>
        </w:rPr>
        <w:t xml:space="preserve"> </w:t>
      </w:r>
      <w:r>
        <w:rPr>
          <w:rFonts w:hint="eastAsia"/>
          <w:lang w:eastAsia="zh-CN"/>
        </w:rPr>
        <w:t>Buyer behaviour changes: the c</w:t>
      </w:r>
      <w:r>
        <w:rPr>
          <w:rFonts w:hint="eastAsia"/>
        </w:rPr>
        <w:t xml:space="preserve">ausal </w:t>
      </w:r>
      <w:r>
        <w:rPr>
          <w:rFonts w:hint="eastAsia"/>
          <w:lang w:eastAsia="zh-CN"/>
        </w:rPr>
        <w:t>m</w:t>
      </w:r>
      <w:r>
        <w:rPr>
          <w:rFonts w:hint="eastAsia"/>
        </w:rPr>
        <w:t>echanisms</w:t>
      </w:r>
    </w:p>
    <w:p w14:paraId="5A943A72" w14:textId="77777777" w:rsidR="00AD548A" w:rsidRDefault="00000000">
      <w:pPr>
        <w:ind w:firstLineChars="0" w:firstLine="0"/>
        <w:rPr>
          <w:rFonts w:eastAsia="Calibri"/>
        </w:rPr>
      </w:pPr>
      <w:r>
        <w:rPr>
          <w:rFonts w:eastAsia="Calibri"/>
          <w:b/>
          <w:bCs/>
        </w:rPr>
        <w:t xml:space="preserve">Appendix </w:t>
      </w:r>
      <w:r>
        <w:rPr>
          <w:rFonts w:eastAsia="SimSun" w:hint="eastAsia"/>
          <w:b/>
          <w:bCs/>
          <w:lang w:val="en-US"/>
        </w:rPr>
        <w:t>3</w:t>
      </w:r>
      <w:r>
        <w:rPr>
          <w:rFonts w:eastAsia="Calibri"/>
        </w:rPr>
        <w:t xml:space="preserve"> presents a case–tactic–power dynamics matrix that goes beyond descriptive case details by explicitly mapping how institutional tactics shaped power dynamics in each buyer–supplier relationship. The table links observed institutional interventions to their institutional sources, identifies how they enhanced SMEs’ non-mediated power, and highlights how they constrained buyers’ mediated coercive power.</w:t>
      </w:r>
      <w:r>
        <w:rPr>
          <w:rFonts w:eastAsia="SimSun" w:hint="eastAsia"/>
          <w:lang w:val="en-US"/>
        </w:rPr>
        <w:t xml:space="preserve"> </w:t>
      </w:r>
      <w:r>
        <w:rPr>
          <w:rFonts w:eastAsia="Calibri" w:hint="eastAsia"/>
        </w:rPr>
        <w:t xml:space="preserve">As further detailed in </w:t>
      </w:r>
      <w:r>
        <w:rPr>
          <w:rFonts w:eastAsia="Calibri" w:hint="eastAsia"/>
          <w:b/>
          <w:bCs/>
        </w:rPr>
        <w:t xml:space="preserve">Appendix </w:t>
      </w:r>
      <w:r>
        <w:rPr>
          <w:rFonts w:eastAsia="SimSun" w:hint="eastAsia"/>
          <w:b/>
          <w:bCs/>
          <w:lang w:val="en-US"/>
        </w:rPr>
        <w:t>5</w:t>
      </w:r>
      <w:r>
        <w:rPr>
          <w:rFonts w:eastAsia="Calibri" w:hint="eastAsia"/>
        </w:rPr>
        <w:t>, our analysis of interview quotes from both sides of the dyad provides direct evidence for these mechanisms.</w:t>
      </w:r>
      <w:r>
        <w:rPr>
          <w:rFonts w:eastAsia="Calibri"/>
        </w:rPr>
        <w:t xml:space="preserve"> </w:t>
      </w:r>
      <w:r>
        <w:rPr>
          <w:rFonts w:eastAsia="Calibri" w:hint="eastAsia"/>
        </w:rPr>
        <w:t>Our analysis reveals that institutional tactics achieved power rebalancing through mechanisms unique to the crisis context that went beyond traditional institutional explanations.</w:t>
      </w:r>
    </w:p>
    <w:p w14:paraId="039313EA" w14:textId="77777777" w:rsidR="00AD548A" w:rsidRDefault="00000000">
      <w:pPr>
        <w:ind w:firstLineChars="0" w:firstLine="0"/>
        <w:rPr>
          <w:rFonts w:eastAsia="SimSun"/>
          <w:b/>
          <w:bCs/>
        </w:rPr>
      </w:pPr>
      <w:r>
        <w:rPr>
          <w:rFonts w:eastAsia="Calibri" w:hint="eastAsia"/>
          <w:b/>
          <w:bCs/>
        </w:rPr>
        <w:t>4.</w:t>
      </w:r>
      <w:r>
        <w:rPr>
          <w:rFonts w:eastAsia="SimSun" w:hint="eastAsia"/>
          <w:b/>
          <w:bCs/>
          <w:lang w:val="en-US"/>
        </w:rPr>
        <w:t>3</w:t>
      </w:r>
      <w:r>
        <w:rPr>
          <w:rFonts w:eastAsia="Calibri" w:hint="eastAsia"/>
          <w:b/>
          <w:bCs/>
        </w:rPr>
        <w:t xml:space="preserve">.1 Mechanisms in </w:t>
      </w:r>
      <w:r>
        <w:rPr>
          <w:rFonts w:eastAsia="SimSun" w:hint="eastAsia"/>
          <w:b/>
          <w:bCs/>
          <w:lang w:val="en-US"/>
        </w:rPr>
        <w:t>c</w:t>
      </w:r>
      <w:r>
        <w:rPr>
          <w:rFonts w:eastAsia="Calibri" w:hint="eastAsia"/>
          <w:b/>
          <w:bCs/>
        </w:rPr>
        <w:t xml:space="preserve">risis </w:t>
      </w:r>
      <w:r>
        <w:rPr>
          <w:rFonts w:eastAsia="SimSun" w:hint="eastAsia"/>
          <w:b/>
          <w:bCs/>
          <w:lang w:val="en-US"/>
        </w:rPr>
        <w:t>c</w:t>
      </w:r>
      <w:r>
        <w:rPr>
          <w:rFonts w:eastAsia="Calibri" w:hint="eastAsia"/>
          <w:b/>
          <w:bCs/>
        </w:rPr>
        <w:t>ontext</w:t>
      </w:r>
    </w:p>
    <w:p w14:paraId="3C6FB78C" w14:textId="77777777" w:rsidR="00AD548A" w:rsidRDefault="00000000">
      <w:pPr>
        <w:ind w:firstLine="482"/>
        <w:rPr>
          <w:rFonts w:eastAsia="Calibri"/>
          <w:i/>
          <w:iCs/>
        </w:rPr>
      </w:pPr>
      <w:r>
        <w:rPr>
          <w:rFonts w:eastAsia="SimSun" w:hint="eastAsia"/>
          <w:b/>
          <w:bCs/>
          <w:i/>
          <w:iCs/>
          <w:lang w:val="en-US"/>
        </w:rPr>
        <w:t>A</w:t>
      </w:r>
      <w:r>
        <w:rPr>
          <w:rFonts w:eastAsia="Calibri" w:hint="eastAsia"/>
          <w:b/>
          <w:bCs/>
          <w:i/>
          <w:iCs/>
        </w:rPr>
        <w:t>lter</w:t>
      </w:r>
      <w:r>
        <w:rPr>
          <w:rFonts w:eastAsia="SimSun" w:hint="eastAsia"/>
          <w:b/>
          <w:bCs/>
          <w:i/>
          <w:iCs/>
          <w:lang w:val="en-US"/>
        </w:rPr>
        <w:t>ed</w:t>
      </w:r>
      <w:r>
        <w:rPr>
          <w:rFonts w:eastAsia="Calibri" w:hint="eastAsia"/>
          <w:b/>
          <w:bCs/>
          <w:i/>
          <w:iCs/>
        </w:rPr>
        <w:t xml:space="preserve"> buyer cost-benefit </w:t>
      </w:r>
      <w:r>
        <w:rPr>
          <w:rFonts w:eastAsia="SimSun" w:hint="eastAsia"/>
          <w:b/>
          <w:bCs/>
          <w:i/>
          <w:iCs/>
          <w:lang w:val="en-US"/>
        </w:rPr>
        <w:t>evaluation:</w:t>
      </w:r>
      <w:r>
        <w:rPr>
          <w:rFonts w:eastAsia="SimSun" w:hint="eastAsia"/>
          <w:b/>
          <w:bCs/>
          <w:lang w:val="en-US"/>
        </w:rPr>
        <w:t xml:space="preserve"> </w:t>
      </w:r>
      <w:r>
        <w:rPr>
          <w:rFonts w:eastAsia="Calibri" w:hint="eastAsia"/>
        </w:rPr>
        <w:t xml:space="preserve">The data shows that buyers became aware that their traditional coercive tactics carried new risks as suppliers gained institutional support. As BUYER2 noted: </w:t>
      </w:r>
      <w:r>
        <w:rPr>
          <w:rFonts w:eastAsia="Calibri" w:hint="eastAsia"/>
          <w:i/>
          <w:iCs/>
        </w:rPr>
        <w:t>"We had to reconsider our approach because they [suppliers] now had options. The government backing gave them an exit strategy from our relationship."</w:t>
      </w:r>
      <w:r>
        <w:rPr>
          <w:rFonts w:eastAsia="Calibri" w:hint="eastAsia"/>
        </w:rPr>
        <w:t xml:space="preserve"> This sentiment was echoed by BUYER4, who observed: </w:t>
      </w:r>
      <w:r>
        <w:rPr>
          <w:rFonts w:eastAsia="Calibri" w:hint="eastAsia"/>
          <w:i/>
          <w:iCs/>
        </w:rPr>
        <w:t xml:space="preserve">"When we </w:t>
      </w:r>
      <w:r>
        <w:rPr>
          <w:rFonts w:eastAsia="Calibri" w:hint="eastAsia"/>
          <w:i/>
          <w:iCs/>
        </w:rPr>
        <w:lastRenderedPageBreak/>
        <w:t>saw our key suppliers receiving international platform access, we realized that our threats to replace them were becoming empty. They could now replace us."</w:t>
      </w:r>
      <w:r>
        <w:rPr>
          <w:rFonts w:eastAsia="SimSun" w:hint="eastAsia"/>
          <w:i/>
          <w:iCs/>
          <w:lang w:val="en-US"/>
        </w:rPr>
        <w:t xml:space="preserve"> </w:t>
      </w:r>
      <w:r>
        <w:rPr>
          <w:rFonts w:eastAsia="SimSun" w:hint="eastAsia"/>
          <w:lang w:val="en-US"/>
        </w:rPr>
        <w:t xml:space="preserve">Thus, </w:t>
      </w:r>
      <w:r>
        <w:rPr>
          <w:rFonts w:eastAsia="Calibri" w:hint="eastAsia"/>
        </w:rPr>
        <w:t xml:space="preserve">institutional support reduced the perceived dependency of suppliers, thereby increasing the potential cost to buyers of relationship termination. This is evidenced by SME4's statement: </w:t>
      </w:r>
      <w:r>
        <w:rPr>
          <w:rFonts w:eastAsia="Calibri" w:hint="eastAsia"/>
          <w:i/>
          <w:iCs/>
        </w:rPr>
        <w:t>"The recognition from government gave us more choices... I would also be more generous if I were them!"</w:t>
      </w:r>
    </w:p>
    <w:p w14:paraId="24E150E6" w14:textId="77777777" w:rsidR="00AD548A" w:rsidRDefault="00000000">
      <w:pPr>
        <w:rPr>
          <w:rFonts w:eastAsia="Calibri"/>
        </w:rPr>
      </w:pPr>
      <w:r>
        <w:rPr>
          <w:rFonts w:eastAsia="SimSun" w:hint="eastAsia"/>
          <w:lang w:val="en-US"/>
        </w:rPr>
        <w:t>Secondly, t</w:t>
      </w:r>
      <w:r>
        <w:rPr>
          <w:rFonts w:eastAsia="Calibri" w:hint="eastAsia"/>
        </w:rPr>
        <w:t xml:space="preserve">he supervision and regulatory tactics directly increased the costs of opportunistic behavior. BUYER3's experience with </w:t>
      </w:r>
      <w:r>
        <w:rPr>
          <w:rFonts w:eastAsia="SimSun" w:hint="eastAsia"/>
          <w:lang w:val="en-US"/>
        </w:rPr>
        <w:t xml:space="preserve">increased amount of </w:t>
      </w:r>
      <w:r>
        <w:rPr>
          <w:rFonts w:eastAsia="Calibri" w:hint="eastAsia"/>
        </w:rPr>
        <w:t xml:space="preserve">surprise audits illustrates this mechanism: </w:t>
      </w:r>
      <w:r>
        <w:rPr>
          <w:rFonts w:eastAsia="Calibri" w:hint="eastAsia"/>
          <w:i/>
          <w:iCs/>
        </w:rPr>
        <w:t xml:space="preserve">"We were checked </w:t>
      </w:r>
      <w:r>
        <w:rPr>
          <w:rFonts w:eastAsia="SimSun" w:hint="eastAsia"/>
          <w:i/>
          <w:iCs/>
          <w:lang w:val="en-US"/>
        </w:rPr>
        <w:t xml:space="preserve">more often </w:t>
      </w:r>
      <w:r>
        <w:rPr>
          <w:rFonts w:eastAsia="Calibri" w:hint="eastAsia"/>
          <w:i/>
          <w:iCs/>
        </w:rPr>
        <w:t>by the auditing team, and in many cases, we did not receive any messages in advance, so we need to be careful."</w:t>
      </w:r>
      <w:r>
        <w:rPr>
          <w:rFonts w:eastAsia="Calibri" w:hint="eastAsia"/>
        </w:rPr>
        <w:t xml:space="preserve"> This surveillance created a tangible risk that altered behavioral calculations, as BUYER2 acknowledged: </w:t>
      </w:r>
      <w:r>
        <w:rPr>
          <w:rFonts w:eastAsia="Calibri" w:hint="eastAsia"/>
          <w:i/>
          <w:iCs/>
        </w:rPr>
        <w:t>"To follow what was required, our legal department reviewed our previous contracts... to actually achieve mutual benefits."</w:t>
      </w:r>
      <w:r>
        <w:rPr>
          <w:rFonts w:eastAsia="SimSun" w:hint="eastAsia"/>
          <w:i/>
          <w:iCs/>
          <w:lang w:val="en-US"/>
        </w:rPr>
        <w:t xml:space="preserve"> </w:t>
      </w:r>
      <w:r>
        <w:rPr>
          <w:rFonts w:eastAsia="SimSun" w:hint="eastAsia"/>
          <w:lang w:val="en-US"/>
        </w:rPr>
        <w:t>For the powerful parties, the</w:t>
      </w:r>
      <w:r>
        <w:rPr>
          <w:rFonts w:eastAsia="Calibri" w:hint="eastAsia"/>
        </w:rPr>
        <w:t xml:space="preserve"> increased monitoring</w:t>
      </w:r>
      <w:r>
        <w:rPr>
          <w:rFonts w:eastAsia="SimSun" w:hint="eastAsia"/>
          <w:lang w:val="en-US"/>
        </w:rPr>
        <w:t xml:space="preserve"> caused</w:t>
      </w:r>
      <w:r>
        <w:rPr>
          <w:rFonts w:eastAsia="Calibri" w:hint="eastAsia"/>
        </w:rPr>
        <w:t xml:space="preserve"> higher risk of penalty</w:t>
      </w:r>
      <w:r>
        <w:rPr>
          <w:rFonts w:eastAsia="SimSun" w:hint="eastAsia"/>
          <w:lang w:val="en-US"/>
        </w:rPr>
        <w:t xml:space="preserve">, and therefore </w:t>
      </w:r>
      <w:r>
        <w:rPr>
          <w:rFonts w:eastAsia="Calibri" w:hint="eastAsia"/>
        </w:rPr>
        <w:t xml:space="preserve">reduced opportunism. SME1 confirmed this effect: </w:t>
      </w:r>
      <w:r>
        <w:rPr>
          <w:rFonts w:eastAsia="Calibri" w:hint="eastAsia"/>
          <w:i/>
          <w:iCs/>
        </w:rPr>
        <w:t>"Normally, they would pay in a few months later, but they paid quite quick this time right after the new regulation is released."</w:t>
      </w:r>
    </w:p>
    <w:p w14:paraId="72E955A1" w14:textId="77777777" w:rsidR="00AD548A" w:rsidRDefault="00000000">
      <w:pPr>
        <w:ind w:firstLine="482"/>
        <w:rPr>
          <w:rFonts w:eastAsia="Calibri"/>
        </w:rPr>
      </w:pPr>
      <w:r>
        <w:rPr>
          <w:rFonts w:eastAsia="Calibri" w:hint="eastAsia"/>
          <w:b/>
          <w:bCs/>
          <w:i/>
          <w:iCs/>
        </w:rPr>
        <w:t xml:space="preserve">Industry </w:t>
      </w:r>
      <w:r>
        <w:rPr>
          <w:rFonts w:eastAsia="SimSun" w:hint="eastAsia"/>
          <w:b/>
          <w:bCs/>
          <w:i/>
          <w:iCs/>
          <w:lang w:val="en-US"/>
        </w:rPr>
        <w:t>n</w:t>
      </w:r>
      <w:r>
        <w:rPr>
          <w:rFonts w:eastAsia="Calibri" w:hint="eastAsia"/>
          <w:b/>
          <w:bCs/>
          <w:i/>
          <w:iCs/>
        </w:rPr>
        <w:t xml:space="preserve">orm </w:t>
      </w:r>
      <w:r>
        <w:rPr>
          <w:rFonts w:eastAsia="SimSun" w:hint="eastAsia"/>
          <w:b/>
          <w:bCs/>
          <w:i/>
          <w:iCs/>
          <w:lang w:val="en-US"/>
        </w:rPr>
        <w:t>t</w:t>
      </w:r>
      <w:r>
        <w:rPr>
          <w:rFonts w:eastAsia="Calibri" w:hint="eastAsia"/>
          <w:b/>
          <w:bCs/>
          <w:i/>
          <w:iCs/>
        </w:rPr>
        <w:t>ransformation</w:t>
      </w:r>
      <w:r>
        <w:rPr>
          <w:rFonts w:eastAsia="SimSun" w:hint="eastAsia"/>
          <w:b/>
          <w:bCs/>
          <w:i/>
          <w:iCs/>
          <w:lang w:val="en-US"/>
        </w:rPr>
        <w:t>:</w:t>
      </w:r>
      <w:r>
        <w:rPr>
          <w:rFonts w:eastAsia="SimSun" w:hint="eastAsia"/>
          <w:b/>
          <w:bCs/>
          <w:lang w:val="en-US"/>
        </w:rPr>
        <w:t xml:space="preserve"> </w:t>
      </w:r>
      <w:r>
        <w:rPr>
          <w:rFonts w:eastAsia="Calibri" w:hint="eastAsia"/>
        </w:rPr>
        <w:t xml:space="preserve">The scale of institutional intervention created a shift from individual supplier support to industry-wide norm change. As BUYER1 observed: </w:t>
      </w:r>
      <w:r>
        <w:rPr>
          <w:rFonts w:eastAsia="Calibri" w:hint="eastAsia"/>
          <w:i/>
          <w:iCs/>
        </w:rPr>
        <w:t>"I think this is the first time that we are receiving less funds from the government directly. I mean in the past it was simple."</w:t>
      </w:r>
      <w:r>
        <w:rPr>
          <w:rFonts w:eastAsia="Calibri" w:hint="eastAsia"/>
        </w:rPr>
        <w:t xml:space="preserve"> This redistribution signaled a systemic shift that buyers could not ignore. BUYER3 captured this awareness: </w:t>
      </w:r>
      <w:r>
        <w:rPr>
          <w:rFonts w:eastAsia="Calibri" w:hint="eastAsia"/>
          <w:i/>
          <w:iCs/>
        </w:rPr>
        <w:t>"We must be careful with the governments' attitudes now during this special time."</w:t>
      </w:r>
      <w:r>
        <w:rPr>
          <w:rFonts w:eastAsia="SimSun" w:hint="eastAsia"/>
          <w:lang w:val="en-US"/>
        </w:rPr>
        <w:t xml:space="preserve"> The </w:t>
      </w:r>
      <w:r>
        <w:rPr>
          <w:rFonts w:eastAsia="Calibri" w:hint="eastAsia"/>
        </w:rPr>
        <w:lastRenderedPageBreak/>
        <w:t>institutional support</w:t>
      </w:r>
      <w:r>
        <w:rPr>
          <w:rFonts w:eastAsia="SimSun" w:hint="eastAsia"/>
          <w:lang w:val="en-US"/>
        </w:rPr>
        <w:t>s</w:t>
      </w:r>
      <w:r>
        <w:rPr>
          <w:rFonts w:eastAsia="Calibri" w:hint="eastAsia"/>
        </w:rPr>
        <w:t xml:space="preserve"> </w:t>
      </w:r>
      <w:r>
        <w:rPr>
          <w:rFonts w:eastAsia="SimSun" w:hint="eastAsia"/>
          <w:lang w:val="en-US"/>
        </w:rPr>
        <w:t xml:space="preserve">became more </w:t>
      </w:r>
      <w:r>
        <w:rPr>
          <w:rFonts w:eastAsia="Calibri" w:hint="eastAsia"/>
        </w:rPr>
        <w:t>predictable and widespread, thereby changing buyers' expectations about what constituted acceptable behavior across the industry.</w:t>
      </w:r>
    </w:p>
    <w:p w14:paraId="7C86E5AA" w14:textId="77777777" w:rsidR="00AD548A" w:rsidRDefault="00000000">
      <w:pPr>
        <w:ind w:firstLine="482"/>
        <w:rPr>
          <w:rFonts w:eastAsia="Calibri"/>
        </w:rPr>
      </w:pPr>
      <w:r>
        <w:rPr>
          <w:rFonts w:eastAsia="Calibri" w:hint="eastAsia"/>
          <w:b/>
          <w:bCs/>
          <w:i/>
          <w:iCs/>
        </w:rPr>
        <w:t xml:space="preserve">Temporary </w:t>
      </w:r>
      <w:r>
        <w:rPr>
          <w:rFonts w:eastAsia="SimSun" w:hint="eastAsia"/>
          <w:b/>
          <w:bCs/>
          <w:i/>
          <w:iCs/>
          <w:lang w:val="en-US"/>
        </w:rPr>
        <w:t>p</w:t>
      </w:r>
      <w:r>
        <w:rPr>
          <w:rFonts w:eastAsia="Calibri" w:hint="eastAsia"/>
          <w:b/>
          <w:bCs/>
          <w:i/>
          <w:iCs/>
        </w:rPr>
        <w:t xml:space="preserve">rivilege </w:t>
      </w:r>
      <w:r>
        <w:rPr>
          <w:rFonts w:eastAsia="SimSun" w:hint="eastAsia"/>
          <w:b/>
          <w:bCs/>
          <w:i/>
          <w:iCs/>
          <w:lang w:val="en-US"/>
        </w:rPr>
        <w:t>s</w:t>
      </w:r>
      <w:r>
        <w:rPr>
          <w:rFonts w:eastAsia="Calibri" w:hint="eastAsia"/>
          <w:b/>
          <w:bCs/>
          <w:i/>
          <w:iCs/>
        </w:rPr>
        <w:t>uspension</w:t>
      </w:r>
      <w:r>
        <w:rPr>
          <w:rFonts w:eastAsia="SimSun" w:hint="eastAsia"/>
          <w:b/>
          <w:bCs/>
          <w:i/>
          <w:iCs/>
          <w:lang w:val="en-US"/>
        </w:rPr>
        <w:t>:</w:t>
      </w:r>
      <w:r>
        <w:rPr>
          <w:rFonts w:eastAsia="SimSun" w:hint="eastAsia"/>
          <w:b/>
          <w:bCs/>
          <w:lang w:val="en-US"/>
        </w:rPr>
        <w:t xml:space="preserve"> </w:t>
      </w:r>
      <w:r>
        <w:rPr>
          <w:rFonts w:eastAsia="Calibri" w:hint="eastAsia"/>
        </w:rPr>
        <w:t>The crisis context enabled temporary privilege suspension</w:t>
      </w:r>
      <w:r>
        <w:rPr>
          <w:rFonts w:eastAsia="SimSun" w:hint="eastAsia"/>
          <w:lang w:val="en-US"/>
        </w:rPr>
        <w:t xml:space="preserve">, </w:t>
      </w:r>
      <w:r>
        <w:rPr>
          <w:rFonts w:eastAsia="Calibri" w:hint="eastAsia"/>
        </w:rPr>
        <w:t xml:space="preserve">where normal structural advantages were deliberately neutralized during the emergency period. This differs from permanent privilege reduction, as BUYER1's comment suggests: </w:t>
      </w:r>
      <w:r>
        <w:rPr>
          <w:rFonts w:eastAsia="Calibri" w:hint="eastAsia"/>
          <w:i/>
          <w:iCs/>
        </w:rPr>
        <w:t>"This is the first time that we are receiving less funds from the government directly."</w:t>
      </w:r>
      <w:r>
        <w:rPr>
          <w:rFonts w:eastAsia="Calibri" w:hint="eastAsia"/>
        </w:rPr>
        <w:t xml:space="preserve"> The temporary nature is crucial</w:t>
      </w:r>
      <w:r>
        <w:rPr>
          <w:rFonts w:eastAsia="SimSun" w:hint="eastAsia"/>
          <w:lang w:val="en-US"/>
        </w:rPr>
        <w:t xml:space="preserve"> in allowing</w:t>
      </w:r>
      <w:r>
        <w:rPr>
          <w:rFonts w:eastAsia="Calibri" w:hint="eastAsia"/>
        </w:rPr>
        <w:t xml:space="preserve"> for rapid rebalancing without challenging fundamental power structures, creating what SME8 described as "big difference" in negotiation dynamics.</w:t>
      </w:r>
    </w:p>
    <w:p w14:paraId="5E25A56A" w14:textId="77777777" w:rsidR="00AD548A" w:rsidRDefault="00000000">
      <w:pPr>
        <w:ind w:firstLine="482"/>
        <w:rPr>
          <w:rFonts w:eastAsia="SimSun"/>
          <w:i/>
          <w:iCs/>
        </w:rPr>
      </w:pPr>
      <w:r>
        <w:rPr>
          <w:rFonts w:eastAsia="Calibri" w:hint="eastAsia"/>
          <w:b/>
          <w:bCs/>
          <w:i/>
          <w:iCs/>
        </w:rPr>
        <w:t>Multi-</w:t>
      </w:r>
      <w:r>
        <w:rPr>
          <w:rFonts w:eastAsia="SimSun" w:hint="eastAsia"/>
          <w:b/>
          <w:bCs/>
          <w:i/>
          <w:iCs/>
          <w:lang w:val="en-US"/>
        </w:rPr>
        <w:t>a</w:t>
      </w:r>
      <w:r>
        <w:rPr>
          <w:rFonts w:eastAsia="Calibri" w:hint="eastAsia"/>
          <w:b/>
          <w:bCs/>
          <w:i/>
          <w:iCs/>
        </w:rPr>
        <w:t xml:space="preserve">ctor </w:t>
      </w:r>
      <w:r>
        <w:rPr>
          <w:rFonts w:eastAsia="SimSun" w:hint="eastAsia"/>
          <w:b/>
          <w:bCs/>
          <w:i/>
          <w:iCs/>
          <w:lang w:val="en-US"/>
        </w:rPr>
        <w:t>s</w:t>
      </w:r>
      <w:r>
        <w:rPr>
          <w:rFonts w:eastAsia="Calibri" w:hint="eastAsia"/>
          <w:b/>
          <w:bCs/>
          <w:i/>
          <w:iCs/>
        </w:rPr>
        <w:t>ynergy</w:t>
      </w:r>
      <w:r>
        <w:rPr>
          <w:rFonts w:eastAsia="SimSun" w:hint="eastAsia"/>
          <w:b/>
          <w:bCs/>
          <w:i/>
          <w:iCs/>
          <w:lang w:val="en-US"/>
        </w:rPr>
        <w:t xml:space="preserve">: </w:t>
      </w:r>
      <w:r>
        <w:rPr>
          <w:rFonts w:eastAsia="Calibri" w:hint="eastAsia"/>
        </w:rPr>
        <w:t xml:space="preserve">The coordinated action across different institutional actors created effects that exceeded what single intervention could achieve. The integration of utility support, legal channels, and international platforms created comprehensive </w:t>
      </w:r>
      <w:r>
        <w:rPr>
          <w:rFonts w:eastAsia="SimSun" w:hint="eastAsia"/>
          <w:lang w:val="en-US"/>
        </w:rPr>
        <w:t>supports</w:t>
      </w:r>
      <w:r>
        <w:rPr>
          <w:rFonts w:eastAsia="Calibri" w:hint="eastAsia"/>
        </w:rPr>
        <w:t xml:space="preserve"> that fundamentally changed supplier viability. As SME7 noted: </w:t>
      </w:r>
      <w:r>
        <w:rPr>
          <w:rFonts w:eastAsia="Calibri" w:hint="eastAsia"/>
          <w:i/>
          <w:iCs/>
        </w:rPr>
        <w:t>"The loans and other financial support offered us more time and improved our ability to recover... This actually told them that we can ensure long-term efficiency."</w:t>
      </w:r>
    </w:p>
    <w:p w14:paraId="6547BAAF" w14:textId="77777777" w:rsidR="00AD548A" w:rsidRDefault="00000000">
      <w:pPr>
        <w:rPr>
          <w:rFonts w:eastAsia="Calibri"/>
        </w:rPr>
      </w:pPr>
      <w:r>
        <w:rPr>
          <w:rFonts w:eastAsia="Calibri" w:hint="eastAsia"/>
        </w:rPr>
        <w:t>These mechanisms demonstrate that the theoretical innovation lies in revealing how crisis conditions transform the operation and effectiveness of these actions, enabling rapid power reconfiguration that would be unlikely in stable environments.</w:t>
      </w:r>
    </w:p>
    <w:p w14:paraId="0BD1A9FD" w14:textId="77777777" w:rsidR="00AD548A" w:rsidRDefault="00000000">
      <w:pPr>
        <w:spacing w:before="480"/>
        <w:ind w:firstLineChars="0" w:firstLine="0"/>
        <w:contextualSpacing/>
        <w:jc w:val="left"/>
        <w:outlineLvl w:val="0"/>
        <w:rPr>
          <w:rFonts w:eastAsia="SimSun"/>
          <w:b/>
          <w:bCs/>
          <w:szCs w:val="28"/>
          <w:lang w:val="en-US"/>
        </w:rPr>
      </w:pPr>
      <w:r>
        <w:rPr>
          <w:rFonts w:eastAsia="SimSun" w:hint="eastAsia"/>
          <w:b/>
          <w:bCs/>
          <w:szCs w:val="28"/>
          <w:lang w:val="en-US"/>
        </w:rPr>
        <w:t xml:space="preserve">5. </w:t>
      </w:r>
      <w:r>
        <w:rPr>
          <w:rFonts w:eastAsia="SimSun"/>
          <w:b/>
          <w:bCs/>
          <w:szCs w:val="28"/>
          <w:lang w:val="en-US"/>
        </w:rPr>
        <w:t xml:space="preserve">Integrative model of institutional tactics and power dynamics </w:t>
      </w:r>
    </w:p>
    <w:p w14:paraId="0572FD4B" w14:textId="77777777" w:rsidR="00AD548A" w:rsidRDefault="00000000">
      <w:pPr>
        <w:ind w:firstLineChars="0" w:firstLine="0"/>
        <w:rPr>
          <w:rFonts w:eastAsia="Calibri"/>
          <w:szCs w:val="24"/>
        </w:rPr>
      </w:pPr>
      <w:r>
        <w:rPr>
          <w:rFonts w:eastAsia="Calibri"/>
        </w:rPr>
        <w:t>By including illustrative evidence and linking each case to its contribution to power-balancing outcomes, the matrix provides an empirical foundation for the integrative model (</w:t>
      </w:r>
      <w:r>
        <w:rPr>
          <w:rFonts w:eastAsia="SimSun" w:hint="eastAsia"/>
          <w:lang w:val="en-US"/>
        </w:rPr>
        <w:t xml:space="preserve">please see </w:t>
      </w:r>
      <w:r>
        <w:rPr>
          <w:rFonts w:eastAsia="Calibri"/>
          <w:b/>
          <w:bCs/>
        </w:rPr>
        <w:t xml:space="preserve">Figure </w:t>
      </w:r>
      <w:r>
        <w:rPr>
          <w:rFonts w:eastAsia="Calibri" w:hint="eastAsia"/>
          <w:b/>
          <w:bCs/>
          <w:lang w:val="en-US"/>
        </w:rPr>
        <w:t>2</w:t>
      </w:r>
      <w:r>
        <w:rPr>
          <w:rFonts w:eastAsia="Calibri"/>
        </w:rPr>
        <w:t xml:space="preserve">), reinforcing the causal logic between institutional tactics, </w:t>
      </w:r>
      <w:r>
        <w:rPr>
          <w:rFonts w:eastAsia="Calibri"/>
        </w:rPr>
        <w:lastRenderedPageBreak/>
        <w:t xml:space="preserve">power sources, and relationship </w:t>
      </w:r>
      <w:r>
        <w:rPr>
          <w:rFonts w:eastAsia="Calibri" w:hint="eastAsia"/>
        </w:rPr>
        <w:t>re-balancing</w:t>
      </w:r>
      <w:r>
        <w:rPr>
          <w:rFonts w:eastAsia="Calibri"/>
        </w:rPr>
        <w:t>.</w:t>
      </w:r>
      <w:r>
        <w:rPr>
          <w:rFonts w:eastAsia="SimSun" w:hint="eastAsia"/>
          <w:lang w:val="en-US"/>
        </w:rPr>
        <w:t xml:space="preserve"> </w:t>
      </w:r>
      <w:r>
        <w:rPr>
          <w:rFonts w:eastAsia="Calibri"/>
          <w:color w:val="00B0F0"/>
          <w:szCs w:val="24"/>
        </w:rPr>
        <w:t>Th</w:t>
      </w:r>
      <w:r>
        <w:rPr>
          <w:rFonts w:eastAsia="SimSun" w:hint="eastAsia"/>
          <w:color w:val="00B0F0"/>
          <w:szCs w:val="24"/>
          <w:lang w:val="en-US"/>
        </w:rPr>
        <w:t>is</w:t>
      </w:r>
      <w:r>
        <w:rPr>
          <w:rFonts w:eastAsia="Calibri"/>
          <w:color w:val="00B0F0"/>
          <w:szCs w:val="24"/>
        </w:rPr>
        <w:t xml:space="preserve"> </w:t>
      </w:r>
      <w:r>
        <w:rPr>
          <w:rFonts w:eastAsia="Calibri"/>
          <w:color w:val="00B0F0"/>
        </w:rPr>
        <w:t>integrative</w:t>
      </w:r>
      <w:r>
        <w:rPr>
          <w:rFonts w:eastAsia="SimSun" w:hint="eastAsia"/>
          <w:color w:val="00B0F0"/>
          <w:lang w:val="en-US"/>
        </w:rPr>
        <w:t xml:space="preserve"> </w:t>
      </w:r>
      <w:r>
        <w:rPr>
          <w:rFonts w:eastAsia="Calibri"/>
          <w:color w:val="00B0F0"/>
          <w:szCs w:val="24"/>
        </w:rPr>
        <w:t>model posits</w:t>
      </w:r>
      <w:r>
        <w:rPr>
          <w:rFonts w:eastAsia="Calibri"/>
          <w:szCs w:val="24"/>
        </w:rPr>
        <w:t xml:space="preserve"> that institutional actors rebalance power through a dual-pathway framework that simultaneously empowers the vulnerable and constrains the powerful. </w:t>
      </w:r>
    </w:p>
    <w:p w14:paraId="276BEA6F" w14:textId="77777777" w:rsidR="00AD548A" w:rsidRDefault="00000000">
      <w:pPr>
        <w:jc w:val="center"/>
        <w:rPr>
          <w:rFonts w:eastAsia="Calibri"/>
          <w:szCs w:val="24"/>
        </w:rPr>
      </w:pPr>
      <w:r>
        <w:rPr>
          <w:rFonts w:eastAsia="Calibri" w:hint="eastAsia"/>
        </w:rPr>
        <w:t xml:space="preserve">[Insert </w:t>
      </w:r>
      <w:r>
        <w:rPr>
          <w:rFonts w:eastAsia="Calibri" w:hint="eastAsia"/>
          <w:lang w:val="en-US"/>
        </w:rPr>
        <w:t>Figure 2</w:t>
      </w:r>
      <w:r>
        <w:rPr>
          <w:rFonts w:eastAsia="Calibri" w:hint="eastAsia"/>
        </w:rPr>
        <w:t xml:space="preserve"> about here]</w:t>
      </w:r>
    </w:p>
    <w:p w14:paraId="720D6309" w14:textId="77777777" w:rsidR="00AD548A" w:rsidRDefault="00000000">
      <w:pPr>
        <w:keepNext/>
        <w:keepLines/>
        <w:spacing w:before="200"/>
        <w:ind w:firstLineChars="0" w:firstLine="0"/>
        <w:outlineLvl w:val="2"/>
        <w:rPr>
          <w:rFonts w:eastAsia="SimSun"/>
          <w:b/>
          <w:bCs/>
          <w:i/>
          <w:iCs/>
          <w:szCs w:val="24"/>
          <w:lang w:val="en-US" w:eastAsia="ja-JP"/>
        </w:rPr>
      </w:pPr>
      <w:r>
        <w:rPr>
          <w:rFonts w:eastAsia="SimSun" w:hint="eastAsia"/>
          <w:b/>
          <w:bCs/>
          <w:i/>
          <w:iCs/>
          <w:szCs w:val="24"/>
          <w:lang w:val="en-US"/>
        </w:rPr>
        <w:t xml:space="preserve">5.1.1 </w:t>
      </w:r>
      <w:r>
        <w:rPr>
          <w:rFonts w:eastAsia="SimSun" w:hint="eastAsia"/>
          <w:b/>
          <w:bCs/>
          <w:i/>
          <w:iCs/>
          <w:szCs w:val="24"/>
          <w:lang w:val="en-US" w:eastAsia="ja-JP"/>
        </w:rPr>
        <w:t xml:space="preserve">The </w:t>
      </w:r>
      <w:r>
        <w:rPr>
          <w:rFonts w:eastAsia="SimSun" w:hint="eastAsia"/>
          <w:b/>
          <w:bCs/>
          <w:i/>
          <w:iCs/>
          <w:szCs w:val="24"/>
          <w:lang w:val="en-US"/>
        </w:rPr>
        <w:t>s</w:t>
      </w:r>
      <w:r>
        <w:rPr>
          <w:rFonts w:eastAsia="SimSun" w:hint="eastAsia"/>
          <w:b/>
          <w:bCs/>
          <w:i/>
          <w:iCs/>
          <w:szCs w:val="24"/>
          <w:lang w:val="en-US" w:eastAsia="ja-JP"/>
        </w:rPr>
        <w:t xml:space="preserve">upplier </w:t>
      </w:r>
      <w:r>
        <w:rPr>
          <w:rFonts w:eastAsia="SimSun" w:hint="eastAsia"/>
          <w:b/>
          <w:bCs/>
          <w:i/>
          <w:iCs/>
          <w:szCs w:val="24"/>
          <w:lang w:val="en-US"/>
        </w:rPr>
        <w:t>e</w:t>
      </w:r>
      <w:r>
        <w:rPr>
          <w:rFonts w:eastAsia="SimSun" w:hint="eastAsia"/>
          <w:b/>
          <w:bCs/>
          <w:i/>
          <w:iCs/>
          <w:szCs w:val="24"/>
          <w:lang w:val="en-US" w:eastAsia="ja-JP"/>
        </w:rPr>
        <w:t xml:space="preserve">mpowerment </w:t>
      </w:r>
      <w:r>
        <w:rPr>
          <w:rFonts w:eastAsia="SimSun" w:hint="eastAsia"/>
          <w:b/>
          <w:bCs/>
          <w:i/>
          <w:iCs/>
          <w:szCs w:val="24"/>
          <w:lang w:val="en-US"/>
        </w:rPr>
        <w:t>p</w:t>
      </w:r>
      <w:r>
        <w:rPr>
          <w:rFonts w:eastAsia="SimSun" w:hint="eastAsia"/>
          <w:b/>
          <w:bCs/>
          <w:i/>
          <w:iCs/>
          <w:szCs w:val="24"/>
          <w:lang w:val="en-US" w:eastAsia="ja-JP"/>
        </w:rPr>
        <w:t xml:space="preserve">athway: </w:t>
      </w:r>
      <w:r>
        <w:rPr>
          <w:rFonts w:eastAsia="SimSun" w:hint="eastAsia"/>
          <w:b/>
          <w:bCs/>
          <w:i/>
          <w:iCs/>
          <w:szCs w:val="24"/>
          <w:lang w:val="en-US"/>
        </w:rPr>
        <w:t>b</w:t>
      </w:r>
      <w:r>
        <w:rPr>
          <w:rFonts w:eastAsia="SimSun" w:hint="eastAsia"/>
          <w:b/>
          <w:bCs/>
          <w:i/>
          <w:iCs/>
          <w:szCs w:val="24"/>
          <w:lang w:val="en-US" w:eastAsia="ja-JP"/>
        </w:rPr>
        <w:t xml:space="preserve">uilding </w:t>
      </w:r>
      <w:r>
        <w:rPr>
          <w:rFonts w:eastAsia="SimSun" w:hint="eastAsia"/>
          <w:b/>
          <w:bCs/>
          <w:i/>
          <w:iCs/>
          <w:szCs w:val="24"/>
          <w:lang w:val="en-US"/>
        </w:rPr>
        <w:t>n</w:t>
      </w:r>
      <w:r>
        <w:rPr>
          <w:rFonts w:eastAsia="SimSun" w:hint="eastAsia"/>
          <w:b/>
          <w:bCs/>
          <w:i/>
          <w:iCs/>
          <w:szCs w:val="24"/>
          <w:lang w:val="en-US" w:eastAsia="ja-JP"/>
        </w:rPr>
        <w:t>on-</w:t>
      </w:r>
      <w:r>
        <w:rPr>
          <w:rFonts w:eastAsia="SimSun" w:hint="eastAsia"/>
          <w:b/>
          <w:bCs/>
          <w:i/>
          <w:iCs/>
          <w:szCs w:val="24"/>
          <w:lang w:val="en-US"/>
        </w:rPr>
        <w:t>m</w:t>
      </w:r>
      <w:r>
        <w:rPr>
          <w:rFonts w:eastAsia="SimSun" w:hint="eastAsia"/>
          <w:b/>
          <w:bCs/>
          <w:i/>
          <w:iCs/>
          <w:szCs w:val="24"/>
          <w:lang w:val="en-US" w:eastAsia="ja-JP"/>
        </w:rPr>
        <w:t xml:space="preserve">ediated </w:t>
      </w:r>
      <w:r>
        <w:rPr>
          <w:rFonts w:eastAsia="SimSun" w:hint="eastAsia"/>
          <w:b/>
          <w:bCs/>
          <w:i/>
          <w:iCs/>
          <w:szCs w:val="24"/>
          <w:lang w:val="en-US"/>
        </w:rPr>
        <w:t>p</w:t>
      </w:r>
      <w:r>
        <w:rPr>
          <w:rFonts w:eastAsia="SimSun" w:hint="eastAsia"/>
          <w:b/>
          <w:bCs/>
          <w:i/>
          <w:iCs/>
          <w:szCs w:val="24"/>
          <w:lang w:val="en-US" w:eastAsia="ja-JP"/>
        </w:rPr>
        <w:t>ower</w:t>
      </w:r>
    </w:p>
    <w:p w14:paraId="069D51C0" w14:textId="77777777" w:rsidR="00AD548A" w:rsidRDefault="00000000">
      <w:pPr>
        <w:ind w:firstLineChars="0" w:firstLine="0"/>
        <w:rPr>
          <w:rFonts w:eastAsia="Calibri"/>
          <w:color w:val="00B0F0"/>
          <w:lang w:val="en-US"/>
        </w:rPr>
      </w:pPr>
      <w:r>
        <w:rPr>
          <w:rFonts w:eastAsia="Calibri"/>
          <w:lang w:val="en-US"/>
        </w:rPr>
        <w:t>T</w:t>
      </w:r>
      <w:r>
        <w:rPr>
          <w:rFonts w:eastAsia="Calibri" w:hint="eastAsia"/>
          <w:lang w:val="en-US"/>
        </w:rPr>
        <w:t xml:space="preserve">he first dynamic shows how the institutional tactics adopted for the dominated suppliers </w:t>
      </w:r>
      <w:r>
        <w:rPr>
          <w:rFonts w:eastAsia="Calibri"/>
          <w:lang w:val="en-US"/>
        </w:rPr>
        <w:t>transformed</w:t>
      </w:r>
      <w:r>
        <w:rPr>
          <w:rFonts w:eastAsia="Calibri" w:hint="eastAsia"/>
          <w:lang w:val="en-US"/>
        </w:rPr>
        <w:t xml:space="preserve"> into their non-mediated power. </w:t>
      </w:r>
      <w:r>
        <w:rPr>
          <w:rFonts w:eastAsia="Calibri"/>
          <w:lang w:val="en-US"/>
        </w:rPr>
        <w:t>I</w:t>
      </w:r>
      <w:r>
        <w:rPr>
          <w:rFonts w:eastAsia="Calibri" w:hint="eastAsia"/>
          <w:lang w:val="en-US"/>
        </w:rPr>
        <w:t xml:space="preserve">n our cases, the institutional tactics improve the power </w:t>
      </w:r>
      <w:r>
        <w:rPr>
          <w:rFonts w:eastAsia="Calibri"/>
          <w:lang w:val="en-US"/>
        </w:rPr>
        <w:t>position</w:t>
      </w:r>
      <w:r>
        <w:rPr>
          <w:rFonts w:eastAsia="Calibri" w:hint="eastAsia"/>
          <w:lang w:val="en-US"/>
        </w:rPr>
        <w:t xml:space="preserve"> of the suppliers that are </w:t>
      </w:r>
      <w:r>
        <w:rPr>
          <w:rFonts w:eastAsia="Calibri"/>
          <w:lang w:val="en-US"/>
        </w:rPr>
        <w:t>dominated</w:t>
      </w:r>
      <w:r>
        <w:rPr>
          <w:rFonts w:eastAsia="Calibri" w:hint="eastAsia"/>
          <w:lang w:val="en-US"/>
        </w:rPr>
        <w:t xml:space="preserve"> by their buyer through influencing their expert, referent, and informational power that are considered as non-mediated power </w:t>
      </w:r>
      <w:sdt>
        <w:sdtPr>
          <w:rPr>
            <w:rFonts w:eastAsia="Calibri" w:hint="eastAsia"/>
            <w:lang w:val="en-US"/>
          </w:rPr>
          <w:tag w:val="MENDELEY_CITATION_v3_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"/>
          <w:id w:val="147464099"/>
          <w:placeholder>
            <w:docPart w:val="{e73d2633-2c51-404c-9e2d-4d33bf6731a4}"/>
          </w:placeholder>
        </w:sdtPr>
        <w:sdtContent>
          <w:r>
            <w:rPr>
              <w:rFonts w:eastAsia="Calibri"/>
            </w:rPr>
            <w:t>(Reimann and Ketchen, 2017; Siemieniako and Mitr, 2018)</w:t>
          </w:r>
        </w:sdtContent>
      </w:sdt>
      <w:r>
        <w:rPr>
          <w:rFonts w:eastAsia="Calibri" w:hint="eastAsia"/>
          <w:lang w:val="en-US"/>
        </w:rPr>
        <w:t xml:space="preserve">. </w:t>
      </w:r>
      <w:r>
        <w:rPr>
          <w:rFonts w:eastAsia="SimSun" w:hint="eastAsia"/>
          <w:color w:val="00B0F0"/>
          <w:lang w:val="en-US"/>
        </w:rPr>
        <w:t xml:space="preserve">It is worth noting that there was a interplay between the tactics initiated by the institutions and the way how the SMEs leveraged the tactics. </w:t>
      </w:r>
      <w:r>
        <w:rPr>
          <w:rFonts w:eastAsia="SimSun" w:hint="eastAsia"/>
          <w:color w:val="00B0F0"/>
          <w:szCs w:val="24"/>
          <w:lang w:val="en-US"/>
        </w:rPr>
        <w:t>The</w:t>
      </w:r>
      <w:r>
        <w:rPr>
          <w:rFonts w:eastAsia="Calibri" w:hint="eastAsia"/>
          <w:color w:val="00B0F0"/>
          <w:szCs w:val="24"/>
        </w:rPr>
        <w:t xml:space="preserve"> critical distinction between</w:t>
      </w:r>
      <w:r>
        <w:rPr>
          <w:rFonts w:eastAsia="SimSun" w:hint="eastAsia"/>
          <w:color w:val="00B0F0"/>
          <w:szCs w:val="24"/>
          <w:lang w:val="en-US"/>
        </w:rPr>
        <w:t xml:space="preserve"> them is that i</w:t>
      </w:r>
      <w:r>
        <w:rPr>
          <w:rFonts w:eastAsia="Calibri" w:hint="eastAsia"/>
          <w:color w:val="00B0F0"/>
          <w:szCs w:val="24"/>
        </w:rPr>
        <w:t>nstitution-initiated tactics represent structural resources provided to SMEs</w:t>
      </w:r>
      <w:r>
        <w:rPr>
          <w:rFonts w:eastAsia="SimSun" w:hint="eastAsia"/>
          <w:color w:val="00B0F0"/>
          <w:szCs w:val="24"/>
          <w:lang w:val="en-US"/>
        </w:rPr>
        <w:t xml:space="preserve">, while </w:t>
      </w:r>
      <w:r>
        <w:rPr>
          <w:rFonts w:eastAsia="Calibri" w:hint="eastAsia"/>
          <w:color w:val="00B0F0"/>
          <w:szCs w:val="24"/>
        </w:rPr>
        <w:t xml:space="preserve">SME-leveraged tactics represent the active agency of SMEs in mobilizing these structural resources to alter power dynamics. </w:t>
      </w:r>
      <w:r>
        <w:rPr>
          <w:rFonts w:eastAsia="SimSun" w:hint="eastAsia"/>
          <w:color w:val="00B0F0"/>
          <w:szCs w:val="24"/>
          <w:lang w:val="en-US"/>
        </w:rPr>
        <w:t>Such</w:t>
      </w:r>
      <w:r>
        <w:rPr>
          <w:rFonts w:eastAsia="Calibri" w:hint="eastAsia"/>
          <w:color w:val="00B0F0"/>
          <w:szCs w:val="24"/>
        </w:rPr>
        <w:t xml:space="preserve"> interplay highlights that institutional rebalancing requires SMEs to strategically enact the potential afforded by new rules and resources.</w:t>
      </w:r>
    </w:p>
    <w:p w14:paraId="5C55E16E" w14:textId="77777777" w:rsidR="00AD548A" w:rsidRDefault="00000000">
      <w:pPr>
        <w:rPr>
          <w:rFonts w:eastAsia="Calibri"/>
          <w:i/>
          <w:iCs/>
          <w:lang w:val="en-US"/>
        </w:rPr>
      </w:pPr>
      <w:r>
        <w:rPr>
          <w:rFonts w:eastAsia="Calibri"/>
          <w:szCs w:val="24"/>
        </w:rPr>
        <w:t>Tactics such as cost reduction and industrial transformation did more than ensure survival; they enabled suppliers to develop specialized capabilities that increased their expert power.</w:t>
      </w:r>
      <w:r>
        <w:rPr>
          <w:rFonts w:eastAsia="Calibri" w:hint="eastAsia"/>
          <w:lang w:val="en-US"/>
        </w:rPr>
        <w:t xml:space="preserve">. </w:t>
      </w:r>
      <w:r>
        <w:rPr>
          <w:rFonts w:eastAsia="Calibri"/>
          <w:szCs w:val="24"/>
        </w:rPr>
        <w:t>As BUYER4 acknowledged:</w:t>
      </w:r>
      <w:r>
        <w:rPr>
          <w:rFonts w:eastAsia="SimSun" w:hint="eastAsia"/>
          <w:szCs w:val="24"/>
          <w:lang w:val="en-US"/>
        </w:rPr>
        <w:t xml:space="preserve"> </w:t>
      </w:r>
      <w:r>
        <w:rPr>
          <w:rFonts w:eastAsia="Calibri"/>
          <w:i/>
          <w:iCs/>
          <w:szCs w:val="24"/>
        </w:rPr>
        <w:t>"Of course it is better if we can find suitable suppliers domestically, what they are achieving are important to us."</w:t>
      </w:r>
      <w:r>
        <w:rPr>
          <w:rFonts w:eastAsia="Calibri"/>
          <w:szCs w:val="24"/>
        </w:rPr>
        <w:t xml:space="preserve"> This shift from being replaceable to being valued for specific expertise fundamentally altered </w:t>
      </w:r>
      <w:r>
        <w:rPr>
          <w:rFonts w:eastAsia="Calibri"/>
          <w:szCs w:val="24"/>
        </w:rPr>
        <w:lastRenderedPageBreak/>
        <w:t xml:space="preserve">relationship dynamics. SME6's experience with technology development illustrates this transformation: </w:t>
      </w:r>
      <w:r>
        <w:rPr>
          <w:rFonts w:eastAsia="Calibri"/>
          <w:i/>
          <w:iCs/>
          <w:szCs w:val="24"/>
        </w:rPr>
        <w:t>"We were encouraged to develop our own technologies... this will probably allow us to have the strength to compete with the international suppliers, and argue for our own interests."</w:t>
      </w:r>
    </w:p>
    <w:p w14:paraId="65B61904" w14:textId="77777777" w:rsidR="00AD548A" w:rsidRDefault="00000000">
      <w:pPr>
        <w:rPr>
          <w:rFonts w:eastAsia="Calibri"/>
          <w:szCs w:val="24"/>
        </w:rPr>
      </w:pPr>
      <w:r>
        <w:rPr>
          <w:rFonts w:eastAsia="Calibri"/>
          <w:szCs w:val="24"/>
        </w:rPr>
        <w:t>Institutional tactics that expanded business networks transformed supplier status from dependent subordinates to sought-after partners with attractive alternatives</w:t>
      </w:r>
      <w:r>
        <w:rPr>
          <w:rFonts w:eastAsia="SimSun" w:hint="eastAsia"/>
          <w:szCs w:val="24"/>
          <w:lang w:val="en-US"/>
        </w:rPr>
        <w:t xml:space="preserve">; </w:t>
      </w:r>
      <w:r>
        <w:rPr>
          <w:rFonts w:eastAsia="Calibri"/>
          <w:lang w:val="en-US"/>
        </w:rPr>
        <w:t>improving</w:t>
      </w:r>
      <w:r>
        <w:rPr>
          <w:rFonts w:eastAsia="Calibri" w:hint="eastAsia"/>
          <w:lang w:val="en-US"/>
        </w:rPr>
        <w:t xml:space="preserve"> the weaker suppliers</w:t>
      </w:r>
      <w:r>
        <w:rPr>
          <w:rFonts w:eastAsia="Calibri"/>
          <w:lang w:val="en-US"/>
        </w:rPr>
        <w:t>’</w:t>
      </w:r>
      <w:r>
        <w:rPr>
          <w:rFonts w:eastAsia="Calibri" w:hint="eastAsia"/>
          <w:lang w:val="en-US"/>
        </w:rPr>
        <w:t xml:space="preserve"> referent power</w:t>
      </w:r>
      <w:r>
        <w:rPr>
          <w:rFonts w:eastAsia="Calibri"/>
          <w:szCs w:val="24"/>
        </w:rPr>
        <w:t xml:space="preserve">. SME5 captured this shift: </w:t>
      </w:r>
      <w:r>
        <w:rPr>
          <w:rFonts w:eastAsia="Calibri"/>
          <w:i/>
          <w:iCs/>
          <w:szCs w:val="24"/>
        </w:rPr>
        <w:t>"We don't necessarily have to stuck with them, since we might now have better choices."</w:t>
      </w:r>
      <w:r>
        <w:rPr>
          <w:rFonts w:eastAsia="Calibri"/>
          <w:szCs w:val="24"/>
        </w:rPr>
        <w:t xml:space="preserve"> This creation of viable alternatives enhanced the desire of buyers to be associated with them</w:t>
      </w:r>
      <w:r>
        <w:rPr>
          <w:rFonts w:eastAsia="SimSun" w:hint="eastAsia"/>
          <w:szCs w:val="24"/>
          <w:lang w:val="en-US"/>
        </w:rPr>
        <w:t xml:space="preserve">, </w:t>
      </w:r>
      <w:r>
        <w:rPr>
          <w:rFonts w:eastAsia="Calibri"/>
          <w:szCs w:val="24"/>
        </w:rPr>
        <w:t>as evidenced by buyers showing "more collaborative attitude"when they recognized the supplier's enhanced market position.</w:t>
      </w:r>
    </w:p>
    <w:p w14:paraId="15EAA96A" w14:textId="77777777" w:rsidR="00AD548A" w:rsidRDefault="00000000">
      <w:pPr>
        <w:rPr>
          <w:rFonts w:eastAsia="Calibri"/>
          <w:szCs w:val="24"/>
        </w:rPr>
      </w:pPr>
      <w:r>
        <w:rPr>
          <w:rFonts w:eastAsia="Calibri"/>
          <w:lang w:val="en-US"/>
        </w:rPr>
        <w:t>F</w:t>
      </w:r>
      <w:r>
        <w:rPr>
          <w:rFonts w:eastAsia="Calibri" w:hint="eastAsia"/>
          <w:lang w:val="en-US"/>
        </w:rPr>
        <w:t xml:space="preserve">urthermore, </w:t>
      </w:r>
      <w:r>
        <w:rPr>
          <w:rFonts w:eastAsia="Calibri"/>
        </w:rPr>
        <w:t>enabling official interaction</w:t>
      </w:r>
      <w:r>
        <w:rPr>
          <w:rFonts w:eastAsia="Calibri" w:hint="eastAsia"/>
        </w:rPr>
        <w:t xml:space="preserve"> refers to the institutional tactics that improved the suppliers</w:t>
      </w:r>
      <w:r>
        <w:rPr>
          <w:rFonts w:eastAsia="Calibri"/>
        </w:rPr>
        <w:t>’</w:t>
      </w:r>
      <w:r>
        <w:rPr>
          <w:rFonts w:eastAsia="Calibri" w:hint="eastAsia"/>
        </w:rPr>
        <w:t xml:space="preserve"> informational power related to specific information and expertise.</w:t>
      </w:r>
      <w:r>
        <w:rPr>
          <w:rFonts w:eastAsia="Calibri"/>
          <w:szCs w:val="24"/>
        </w:rPr>
        <w:t xml:space="preserve">The establishment of direct communication channels with government agencies and the simplification of official processes provided suppliers with unique informational advantages. This created what BUYER1 described as a worrying development: </w:t>
      </w:r>
      <w:r>
        <w:rPr>
          <w:rFonts w:eastAsia="Calibri"/>
          <w:i/>
          <w:iCs/>
          <w:szCs w:val="24"/>
        </w:rPr>
        <w:t>"under these special circumstances, we are not favoured, and this worries us..."</w:t>
      </w:r>
      <w:r>
        <w:rPr>
          <w:rFonts w:eastAsia="Calibri"/>
          <w:szCs w:val="24"/>
        </w:rPr>
        <w:t xml:space="preserve"> Suppliers' proximity to official information sources reduced information asymmetries that traditionally favored larger buyers, thereby enhancing their informational power in negotiations.</w:t>
      </w:r>
    </w:p>
    <w:p w14:paraId="6671FDC1" w14:textId="77777777" w:rsidR="00AD548A" w:rsidRDefault="00000000">
      <w:pPr>
        <w:keepNext/>
        <w:keepLines/>
        <w:spacing w:before="200"/>
        <w:ind w:firstLineChars="0" w:firstLine="0"/>
        <w:outlineLvl w:val="2"/>
        <w:rPr>
          <w:rFonts w:eastAsia="SimSun"/>
          <w:b/>
          <w:bCs/>
          <w:i/>
          <w:iCs/>
          <w:szCs w:val="24"/>
          <w:lang w:val="en-US" w:eastAsia="ja-JP"/>
        </w:rPr>
      </w:pPr>
      <w:r>
        <w:rPr>
          <w:rFonts w:eastAsia="SimSun" w:hint="eastAsia"/>
          <w:b/>
          <w:bCs/>
          <w:i/>
          <w:iCs/>
          <w:szCs w:val="24"/>
          <w:lang w:val="en-US" w:eastAsia="ja-JP"/>
        </w:rPr>
        <w:t>5.</w:t>
      </w:r>
      <w:r>
        <w:rPr>
          <w:rFonts w:eastAsia="SimSun" w:hint="eastAsia"/>
          <w:b/>
          <w:bCs/>
          <w:i/>
          <w:iCs/>
          <w:szCs w:val="24"/>
          <w:lang w:val="en-US"/>
        </w:rPr>
        <w:t>1.</w:t>
      </w:r>
      <w:r>
        <w:rPr>
          <w:rFonts w:eastAsia="SimSun" w:hint="eastAsia"/>
          <w:b/>
          <w:bCs/>
          <w:i/>
          <w:iCs/>
          <w:szCs w:val="24"/>
          <w:lang w:val="en-US" w:eastAsia="ja-JP"/>
        </w:rPr>
        <w:t xml:space="preserve">2 </w:t>
      </w:r>
      <w:r>
        <w:rPr>
          <w:rFonts w:eastAsia="SimSun"/>
          <w:b/>
          <w:bCs/>
          <w:i/>
          <w:iCs/>
          <w:szCs w:val="24"/>
          <w:lang w:val="en-US" w:eastAsia="ja-JP"/>
        </w:rPr>
        <w:t xml:space="preserve">The </w:t>
      </w:r>
      <w:r>
        <w:rPr>
          <w:rFonts w:eastAsia="SimSun" w:hint="eastAsia"/>
          <w:b/>
          <w:bCs/>
          <w:i/>
          <w:iCs/>
          <w:szCs w:val="24"/>
          <w:lang w:val="en-US"/>
        </w:rPr>
        <w:t>b</w:t>
      </w:r>
      <w:r>
        <w:rPr>
          <w:rFonts w:eastAsia="SimSun"/>
          <w:b/>
          <w:bCs/>
          <w:i/>
          <w:iCs/>
          <w:szCs w:val="24"/>
          <w:lang w:val="en-US" w:eastAsia="ja-JP"/>
        </w:rPr>
        <w:t xml:space="preserve">uyer </w:t>
      </w:r>
      <w:r>
        <w:rPr>
          <w:rFonts w:eastAsia="SimSun" w:hint="eastAsia"/>
          <w:b/>
          <w:bCs/>
          <w:i/>
          <w:iCs/>
          <w:szCs w:val="24"/>
          <w:lang w:val="en-US"/>
        </w:rPr>
        <w:t>c</w:t>
      </w:r>
      <w:r>
        <w:rPr>
          <w:rFonts w:eastAsia="SimSun"/>
          <w:b/>
          <w:bCs/>
          <w:i/>
          <w:iCs/>
          <w:szCs w:val="24"/>
          <w:lang w:val="en-US" w:eastAsia="ja-JP"/>
        </w:rPr>
        <w:t xml:space="preserve">onstraint </w:t>
      </w:r>
      <w:r>
        <w:rPr>
          <w:rFonts w:eastAsia="SimSun" w:hint="eastAsia"/>
          <w:b/>
          <w:bCs/>
          <w:i/>
          <w:iCs/>
          <w:szCs w:val="24"/>
          <w:lang w:val="en-US"/>
        </w:rPr>
        <w:t>p</w:t>
      </w:r>
      <w:r>
        <w:rPr>
          <w:rFonts w:eastAsia="SimSun"/>
          <w:b/>
          <w:bCs/>
          <w:i/>
          <w:iCs/>
          <w:szCs w:val="24"/>
          <w:lang w:val="en-US" w:eastAsia="ja-JP"/>
        </w:rPr>
        <w:t xml:space="preserve">athway: </w:t>
      </w:r>
      <w:r>
        <w:rPr>
          <w:rFonts w:eastAsia="SimSun" w:hint="eastAsia"/>
          <w:b/>
          <w:bCs/>
          <w:i/>
          <w:iCs/>
          <w:szCs w:val="24"/>
          <w:lang w:val="en-US"/>
        </w:rPr>
        <w:t>r</w:t>
      </w:r>
      <w:r>
        <w:rPr>
          <w:rFonts w:eastAsia="SimSun"/>
          <w:b/>
          <w:bCs/>
          <w:i/>
          <w:iCs/>
          <w:szCs w:val="24"/>
          <w:lang w:val="en-US" w:eastAsia="ja-JP"/>
        </w:rPr>
        <w:t xml:space="preserve">estricting </w:t>
      </w:r>
      <w:r>
        <w:rPr>
          <w:rFonts w:eastAsia="SimSun" w:hint="eastAsia"/>
          <w:b/>
          <w:bCs/>
          <w:i/>
          <w:iCs/>
          <w:szCs w:val="24"/>
          <w:lang w:val="en-US"/>
        </w:rPr>
        <w:t>m</w:t>
      </w:r>
      <w:r>
        <w:rPr>
          <w:rFonts w:eastAsia="SimSun"/>
          <w:b/>
          <w:bCs/>
          <w:i/>
          <w:iCs/>
          <w:szCs w:val="24"/>
          <w:lang w:val="en-US" w:eastAsia="ja-JP"/>
        </w:rPr>
        <w:t xml:space="preserve">ediated </w:t>
      </w:r>
      <w:r>
        <w:rPr>
          <w:rFonts w:eastAsia="SimSun" w:hint="eastAsia"/>
          <w:b/>
          <w:bCs/>
          <w:i/>
          <w:iCs/>
          <w:szCs w:val="24"/>
          <w:lang w:val="en-US"/>
        </w:rPr>
        <w:t>p</w:t>
      </w:r>
      <w:r>
        <w:rPr>
          <w:rFonts w:eastAsia="SimSun"/>
          <w:b/>
          <w:bCs/>
          <w:i/>
          <w:iCs/>
          <w:szCs w:val="24"/>
          <w:lang w:val="en-US" w:eastAsia="ja-JP"/>
        </w:rPr>
        <w:t>ower</w:t>
      </w:r>
    </w:p>
    <w:p w14:paraId="3E20C26F" w14:textId="77777777" w:rsidR="00AD548A" w:rsidRDefault="00000000">
      <w:pPr>
        <w:ind w:firstLineChars="0" w:firstLine="0"/>
        <w:rPr>
          <w:rFonts w:eastAsia="Calibri"/>
          <w:szCs w:val="24"/>
        </w:rPr>
      </w:pPr>
      <w:r>
        <w:rPr>
          <w:rFonts w:eastAsia="Calibri"/>
          <w:szCs w:val="24"/>
        </w:rPr>
        <w:t xml:space="preserve">The second pathway operates by systematically constraining the exercise of mediated </w:t>
      </w:r>
      <w:r>
        <w:rPr>
          <w:rFonts w:eastAsia="Calibri"/>
          <w:szCs w:val="24"/>
        </w:rPr>
        <w:lastRenderedPageBreak/>
        <w:t>power, particularly coercive power, through direct regulation and the alteration of structural incentives.</w:t>
      </w:r>
    </w:p>
    <w:p w14:paraId="09CFF6B1" w14:textId="77777777" w:rsidR="00AD548A" w:rsidRDefault="00000000">
      <w:pPr>
        <w:rPr>
          <w:rFonts w:eastAsia="Calibri"/>
          <w:szCs w:val="24"/>
        </w:rPr>
      </w:pPr>
      <w:r>
        <w:rPr>
          <w:rFonts w:eastAsia="Calibri"/>
          <w:szCs w:val="24"/>
        </w:rPr>
        <w:t xml:space="preserve">Direct interventions in contracting processes and buyer behavior supervision imposed explicit limits on coercive power exercises. As BUYER2 explained: </w:t>
      </w:r>
      <w:r>
        <w:rPr>
          <w:rFonts w:eastAsia="Calibri"/>
          <w:i/>
          <w:iCs/>
          <w:szCs w:val="24"/>
        </w:rPr>
        <w:t>"To follow what was required, our legal department reviewed our previous contracts, and we had multiple times of negotiation with the suppliers to really hear their demands."</w:t>
      </w:r>
      <w:r>
        <w:rPr>
          <w:rFonts w:eastAsia="Calibri"/>
          <w:szCs w:val="24"/>
        </w:rPr>
        <w:t xml:space="preserve"> This formal constraint transformed negotiation processes from unilateral imposition to bilateral discussion. The surprise audits mentioned by BUYER3 ("we were regularly checked by the auditing team... we need to be careful") created ongoing accountability that persistently discouraged coercive behavior.</w:t>
      </w:r>
    </w:p>
    <w:p w14:paraId="0A379A07" w14:textId="77777777" w:rsidR="00AD548A" w:rsidRDefault="00000000">
      <w:pPr>
        <w:rPr>
          <w:rFonts w:eastAsia="Calibri"/>
          <w:szCs w:val="24"/>
        </w:rPr>
      </w:pPr>
      <w:r>
        <w:rPr>
          <w:rFonts w:eastAsia="Calibri"/>
          <w:szCs w:val="24"/>
        </w:rPr>
        <w:t>The strategic redistribution of benefits away from dominant buyers addressed what suppliers described as "invisible privilege rights." This reallocation signaled a shift in institutional priorities that fundamentally altered the structural context in which power was exercised. BUYER1's observation</w:t>
      </w:r>
      <w:r>
        <w:rPr>
          <w:rFonts w:eastAsia="SimSun" w:hint="eastAsia"/>
          <w:szCs w:val="24"/>
          <w:lang w:val="en-US"/>
        </w:rPr>
        <w:t>:</w:t>
      </w:r>
      <w:r>
        <w:rPr>
          <w:rFonts w:eastAsia="Calibri"/>
          <w:i/>
          <w:iCs/>
          <w:szCs w:val="24"/>
        </w:rPr>
        <w:t>"This is the first time that we are receiving less funds from the government directly"</w:t>
      </w:r>
      <w:r>
        <w:rPr>
          <w:rFonts w:eastAsia="SimSun" w:hint="eastAsia"/>
          <w:i/>
          <w:iCs/>
          <w:szCs w:val="24"/>
          <w:lang w:val="en-US"/>
        </w:rPr>
        <w:t>,</w:t>
      </w:r>
      <w:r>
        <w:rPr>
          <w:rFonts w:eastAsia="SimSun" w:hint="eastAsia"/>
          <w:szCs w:val="24"/>
          <w:lang w:val="en-US"/>
        </w:rPr>
        <w:t xml:space="preserve"> </w:t>
      </w:r>
      <w:r>
        <w:rPr>
          <w:rFonts w:eastAsia="Calibri"/>
          <w:szCs w:val="24"/>
        </w:rPr>
        <w:t>reflects awareness of this structural shift. While this did not eliminate buyers' underlying advantages, it created what SME8 described as "big difference" in the practical manifestation of those advantages.</w:t>
      </w:r>
    </w:p>
    <w:p w14:paraId="121CBB17" w14:textId="77777777" w:rsidR="00AD548A" w:rsidRDefault="00000000">
      <w:pPr>
        <w:keepNext/>
        <w:keepLines/>
        <w:spacing w:before="200"/>
        <w:ind w:firstLineChars="0" w:firstLine="0"/>
        <w:outlineLvl w:val="1"/>
        <w:rPr>
          <w:rFonts w:eastAsia="SimSun"/>
          <w:b/>
          <w:bCs/>
          <w:szCs w:val="24"/>
          <w:lang w:val="en-US"/>
        </w:rPr>
      </w:pPr>
      <w:r>
        <w:rPr>
          <w:rFonts w:eastAsia="SimSun"/>
          <w:b/>
          <w:bCs/>
          <w:szCs w:val="24"/>
          <w:lang w:val="en-US" w:eastAsia="ja-JP"/>
        </w:rPr>
        <w:t xml:space="preserve">5.2 Causal </w:t>
      </w:r>
      <w:r>
        <w:rPr>
          <w:rFonts w:eastAsia="SimSun" w:hint="eastAsia"/>
          <w:b/>
          <w:bCs/>
          <w:szCs w:val="24"/>
          <w:lang w:val="en-US"/>
        </w:rPr>
        <w:t>p</w:t>
      </w:r>
      <w:r>
        <w:rPr>
          <w:rFonts w:eastAsia="SimSun"/>
          <w:b/>
          <w:bCs/>
          <w:szCs w:val="24"/>
          <w:lang w:val="en-US" w:eastAsia="ja-JP"/>
        </w:rPr>
        <w:t xml:space="preserve">ropositions </w:t>
      </w:r>
    </w:p>
    <w:p w14:paraId="73420BD6" w14:textId="77777777" w:rsidR="00AD548A" w:rsidRDefault="00000000">
      <w:pPr>
        <w:ind w:firstLineChars="0" w:firstLine="0"/>
        <w:rPr>
          <w:rFonts w:eastAsia="Calibri"/>
          <w:szCs w:val="24"/>
        </w:rPr>
      </w:pPr>
      <w:r>
        <w:rPr>
          <w:rFonts w:eastAsia="Calibri"/>
          <w:szCs w:val="24"/>
        </w:rPr>
        <w:t xml:space="preserve">Based on the integrative model and the identified causal mechanisms, we distill </w:t>
      </w:r>
      <w:r>
        <w:rPr>
          <w:rFonts w:eastAsia="SimSun" w:hint="eastAsia"/>
          <w:szCs w:val="24"/>
          <w:lang w:val="en-US"/>
        </w:rPr>
        <w:t>four</w:t>
      </w:r>
      <w:r>
        <w:rPr>
          <w:rFonts w:eastAsia="Calibri"/>
          <w:szCs w:val="24"/>
        </w:rPr>
        <w:t xml:space="preserve"> core propositions that specify the processes through which institutional interventions rebalance power asymmetry during crises. </w:t>
      </w:r>
    </w:p>
    <w:p w14:paraId="47CD1092" w14:textId="77777777" w:rsidR="00AD548A" w:rsidRDefault="00000000">
      <w:pPr>
        <w:ind w:firstLine="482"/>
        <w:rPr>
          <w:rFonts w:eastAsia="Calibri"/>
          <w:szCs w:val="24"/>
        </w:rPr>
      </w:pPr>
      <w:r>
        <w:rPr>
          <w:rFonts w:eastAsia="Calibri"/>
          <w:b/>
          <w:bCs/>
          <w:i/>
          <w:iCs/>
          <w:szCs w:val="24"/>
        </w:rPr>
        <w:t>Proposition 1:</w:t>
      </w:r>
      <w:r>
        <w:rPr>
          <w:rFonts w:eastAsia="SimSun" w:hint="eastAsia"/>
          <w:b/>
          <w:bCs/>
          <w:i/>
          <w:iCs/>
          <w:szCs w:val="24"/>
          <w:lang w:val="en-US"/>
        </w:rPr>
        <w:t xml:space="preserve"> </w:t>
      </w:r>
      <w:r>
        <w:rPr>
          <w:rFonts w:eastAsia="SimSun" w:hint="eastAsia"/>
          <w:szCs w:val="24"/>
          <w:lang w:val="en-US"/>
        </w:rPr>
        <w:t>I</w:t>
      </w:r>
      <w:r>
        <w:rPr>
          <w:rFonts w:eastAsia="Calibri"/>
          <w:szCs w:val="24"/>
        </w:rPr>
        <w:t xml:space="preserve">nstitutional rebalancing during crises occurs primarily by altering </w:t>
      </w:r>
      <w:r>
        <w:rPr>
          <w:rFonts w:eastAsia="Calibri"/>
          <w:szCs w:val="24"/>
        </w:rPr>
        <w:lastRenderedPageBreak/>
        <w:t>the cost-benefit calculations of dominant actors, rather than by permanently dismantling their structural power. This mechanism is activated when institutional support reduces the dependency of weaker parties and increases the costs of opportunism for dominant parties.</w:t>
      </w:r>
      <w:r>
        <w:rPr>
          <w:rFonts w:eastAsia="SimSun" w:hint="eastAsia"/>
          <w:szCs w:val="24"/>
          <w:lang w:val="en-US"/>
        </w:rPr>
        <w:t xml:space="preserve"> </w:t>
      </w:r>
      <w:r>
        <w:rPr>
          <w:rFonts w:eastAsia="Calibri"/>
          <w:szCs w:val="24"/>
        </w:rPr>
        <w:t>It moves beyond the static view of power-as-property to a dynamic view of power-as-calculation, explaining how rapid rebalancing can occur even without slow, structural change.</w:t>
      </w:r>
    </w:p>
    <w:p w14:paraId="21018662" w14:textId="77777777" w:rsidR="00AD548A" w:rsidRDefault="00000000">
      <w:pPr>
        <w:ind w:firstLine="482"/>
        <w:rPr>
          <w:rFonts w:eastAsia="Calibri"/>
          <w:szCs w:val="24"/>
        </w:rPr>
      </w:pPr>
      <w:r>
        <w:rPr>
          <w:rFonts w:eastAsia="Calibri"/>
          <w:b/>
          <w:bCs/>
          <w:i/>
          <w:iCs/>
          <w:szCs w:val="24"/>
        </w:rPr>
        <w:t>Proposition</w:t>
      </w:r>
      <w:r>
        <w:rPr>
          <w:rFonts w:eastAsia="SimSun" w:hint="eastAsia"/>
          <w:b/>
          <w:bCs/>
          <w:i/>
          <w:iCs/>
          <w:szCs w:val="24"/>
          <w:lang w:val="en-US"/>
        </w:rPr>
        <w:t xml:space="preserve"> 2:</w:t>
      </w:r>
      <w:r>
        <w:rPr>
          <w:rFonts w:eastAsia="Calibri" w:hint="eastAsia"/>
          <w:szCs w:val="24"/>
          <w:lang w:val="en-US"/>
        </w:rPr>
        <w:t xml:space="preserve"> e</w:t>
      </w:r>
      <w:r>
        <w:rPr>
          <w:rFonts w:eastAsia="Calibri"/>
          <w:szCs w:val="24"/>
        </w:rPr>
        <w:t xml:space="preserve">xtreme volatility creates a unique context where institutions can temporarily suspend the structural privileges, enabling rapid </w:t>
      </w:r>
      <w:r>
        <w:rPr>
          <w:rFonts w:eastAsia="SimSun" w:hint="eastAsia"/>
          <w:szCs w:val="24"/>
          <w:lang w:val="en-US"/>
        </w:rPr>
        <w:t xml:space="preserve">power </w:t>
      </w:r>
      <w:r>
        <w:rPr>
          <w:rFonts w:eastAsia="Calibri"/>
          <w:szCs w:val="24"/>
        </w:rPr>
        <w:t>rebalancing. The effectiveness of this suspension is contingent upon its perception as a legitimate, crisis-specific response by both powerful and weak actors.</w:t>
      </w:r>
      <w:r>
        <w:rPr>
          <w:rFonts w:eastAsia="SimSun" w:hint="eastAsia"/>
          <w:szCs w:val="24"/>
          <w:lang w:val="en-US"/>
        </w:rPr>
        <w:t xml:space="preserve"> </w:t>
      </w:r>
      <w:r>
        <w:rPr>
          <w:rFonts w:eastAsia="Calibri"/>
          <w:szCs w:val="24"/>
        </w:rPr>
        <w:t>It identifies a time-bound mechanism of power rebalancing that is distinct from permanent institutional reform, explaining how rapid, significant change can be achieved in crises without triggering overwhelming resistance from powerful incumbents.</w:t>
      </w:r>
    </w:p>
    <w:p w14:paraId="528D332B" w14:textId="77777777" w:rsidR="00AD548A" w:rsidRDefault="00000000">
      <w:pPr>
        <w:ind w:firstLine="482"/>
        <w:rPr>
          <w:rFonts w:eastAsia="Calibri"/>
          <w:szCs w:val="24"/>
        </w:rPr>
      </w:pPr>
      <w:r>
        <w:rPr>
          <w:rFonts w:eastAsia="Calibri"/>
          <w:b/>
          <w:bCs/>
          <w:i/>
          <w:iCs/>
          <w:szCs w:val="24"/>
        </w:rPr>
        <w:t>Proposition</w:t>
      </w:r>
      <w:r>
        <w:rPr>
          <w:rFonts w:eastAsia="SimSun" w:hint="eastAsia"/>
          <w:b/>
          <w:bCs/>
          <w:i/>
          <w:iCs/>
          <w:szCs w:val="24"/>
          <w:lang w:val="en-US"/>
        </w:rPr>
        <w:t>3:</w:t>
      </w:r>
      <w:r>
        <w:rPr>
          <w:rFonts w:eastAsia="SimSun" w:hint="eastAsia"/>
          <w:b/>
          <w:bCs/>
          <w:szCs w:val="24"/>
          <w:lang w:val="en-US"/>
        </w:rPr>
        <w:t xml:space="preserve"> </w:t>
      </w:r>
      <w:r>
        <w:rPr>
          <w:rFonts w:eastAsia="SimSun" w:hint="eastAsia"/>
          <w:szCs w:val="24"/>
          <w:lang w:val="en-US"/>
        </w:rPr>
        <w:t>t</w:t>
      </w:r>
      <w:r>
        <w:rPr>
          <w:rFonts w:eastAsia="Calibri"/>
          <w:szCs w:val="24"/>
        </w:rPr>
        <w:t>he coordinated actions of multiple institutional actors create synergistic empowerment effects that exceed the sum of individual interventions. This synergy is critical for transforming compensatory support into genuine bargaining power.</w:t>
      </w:r>
      <w:r>
        <w:rPr>
          <w:rFonts w:eastAsia="SimSun" w:hint="eastAsia"/>
          <w:szCs w:val="24"/>
          <w:lang w:val="en-US"/>
        </w:rPr>
        <w:t xml:space="preserve"> </w:t>
      </w:r>
      <w:r>
        <w:rPr>
          <w:rFonts w:eastAsia="Calibri"/>
          <w:szCs w:val="24"/>
        </w:rPr>
        <w:t>This proposition extends institutional theory, suggesting that coherence across institutional actors amplifies their individual effects.</w:t>
      </w:r>
      <w:r>
        <w:rPr>
          <w:rFonts w:eastAsia="SimSun" w:hint="eastAsia"/>
          <w:szCs w:val="24"/>
          <w:lang w:val="en-US"/>
        </w:rPr>
        <w:t xml:space="preserve"> </w:t>
      </w:r>
      <w:r>
        <w:rPr>
          <w:rFonts w:eastAsia="Calibri"/>
          <w:szCs w:val="24"/>
        </w:rPr>
        <w:t xml:space="preserve">It moves the focus from isolated institutional pressures to the orchestration of institutional actions as a source of power rebalancing. </w:t>
      </w:r>
    </w:p>
    <w:p w14:paraId="0DF0E319" w14:textId="77777777" w:rsidR="00AD548A" w:rsidRDefault="00000000">
      <w:pPr>
        <w:ind w:firstLine="482"/>
        <w:rPr>
          <w:rFonts w:eastAsia="Calibri"/>
          <w:szCs w:val="24"/>
        </w:rPr>
      </w:pPr>
      <w:r>
        <w:rPr>
          <w:rFonts w:eastAsia="Calibri"/>
          <w:b/>
          <w:bCs/>
          <w:i/>
          <w:iCs/>
          <w:szCs w:val="24"/>
        </w:rPr>
        <w:t>Proposition 4:</w:t>
      </w:r>
      <w:r>
        <w:rPr>
          <w:rFonts w:eastAsia="Calibri"/>
          <w:szCs w:val="24"/>
        </w:rPr>
        <w:t xml:space="preserve"> Widespread and visible institutional support during a crisis can accelerate the transformation of industry norms, re-embedding buyer-supplier </w:t>
      </w:r>
      <w:r>
        <w:rPr>
          <w:rFonts w:eastAsia="Calibri"/>
          <w:szCs w:val="24"/>
        </w:rPr>
        <w:lastRenderedPageBreak/>
        <w:t>relationships within a temporary institutional logic that legitimizes support for the vulnerable</w:t>
      </w:r>
      <w:r>
        <w:rPr>
          <w:rFonts w:eastAsia="SimSun" w:hint="eastAsia"/>
          <w:szCs w:val="24"/>
          <w:lang w:val="en-US"/>
        </w:rPr>
        <w:t>,</w:t>
      </w:r>
      <w:r>
        <w:rPr>
          <w:rFonts w:eastAsia="Calibri"/>
          <w:szCs w:val="24"/>
        </w:rPr>
        <w:t xml:space="preserve"> and de-legitimizes overt opportunism.</w:t>
      </w:r>
      <w:r>
        <w:rPr>
          <w:rFonts w:eastAsia="SimSun" w:hint="eastAsia"/>
          <w:szCs w:val="24"/>
          <w:lang w:val="en-US"/>
        </w:rPr>
        <w:t xml:space="preserve"> </w:t>
      </w:r>
      <w:r>
        <w:rPr>
          <w:rFonts w:eastAsia="Calibri"/>
          <w:szCs w:val="24"/>
        </w:rPr>
        <w:t>This norm acts as a self-reinforcing social barrier against opportunism, making rebalancing more sustainable and less reliant on continuous direct monitoring.</w:t>
      </w:r>
    </w:p>
    <w:p w14:paraId="6D44EDD4" w14:textId="77777777" w:rsidR="00AD548A" w:rsidRDefault="00000000">
      <w:pPr>
        <w:rPr>
          <w:rFonts w:eastAsia="Calibri"/>
          <w:szCs w:val="24"/>
        </w:rPr>
      </w:pPr>
      <w:r>
        <w:rPr>
          <w:rFonts w:eastAsia="Calibri"/>
          <w:szCs w:val="24"/>
        </w:rPr>
        <w:t xml:space="preserve">These propositions collectively shift the theoretical understanding of institutional power rebalancing from </w:t>
      </w:r>
      <w:r>
        <w:rPr>
          <w:rFonts w:eastAsia="SimSun" w:hint="eastAsia"/>
          <w:szCs w:val="24"/>
          <w:lang w:val="en-US"/>
        </w:rPr>
        <w:t>the</w:t>
      </w:r>
      <w:r>
        <w:rPr>
          <w:rFonts w:eastAsia="Calibri"/>
          <w:szCs w:val="24"/>
        </w:rPr>
        <w:t xml:space="preserve"> question of what institutions do to how and under what conditions their interventions effectively reconfigure asymmetric relationships. They provide a causal framework that can be tested and refined in future studies of crisis-driven institutional change.</w:t>
      </w:r>
    </w:p>
    <w:p w14:paraId="0864BD41" w14:textId="77777777" w:rsidR="00AD548A" w:rsidRDefault="00000000">
      <w:pPr>
        <w:ind w:firstLineChars="0" w:firstLine="0"/>
        <w:rPr>
          <w:rFonts w:eastAsia="Calibri"/>
          <w:b/>
          <w:bCs/>
          <w:szCs w:val="24"/>
        </w:rPr>
      </w:pPr>
      <w:r>
        <w:rPr>
          <w:rFonts w:eastAsia="SimSun" w:hint="eastAsia"/>
          <w:b/>
          <w:bCs/>
          <w:szCs w:val="24"/>
          <w:lang w:val="en-US"/>
        </w:rPr>
        <w:t xml:space="preserve">5.3 </w:t>
      </w:r>
      <w:r>
        <w:rPr>
          <w:rFonts w:eastAsia="Calibri"/>
          <w:b/>
          <w:bCs/>
          <w:szCs w:val="24"/>
        </w:rPr>
        <w:t xml:space="preserve">Contextual </w:t>
      </w:r>
      <w:r>
        <w:rPr>
          <w:rFonts w:eastAsia="SimSun" w:hint="eastAsia"/>
          <w:b/>
          <w:bCs/>
          <w:szCs w:val="24"/>
          <w:lang w:val="en-US"/>
        </w:rPr>
        <w:t>b</w:t>
      </w:r>
      <w:r>
        <w:rPr>
          <w:rFonts w:eastAsia="Calibri"/>
          <w:b/>
          <w:bCs/>
          <w:szCs w:val="24"/>
        </w:rPr>
        <w:t xml:space="preserve">oundaries and </w:t>
      </w:r>
      <w:r>
        <w:rPr>
          <w:rFonts w:eastAsia="SimSun" w:hint="eastAsia"/>
          <w:b/>
          <w:bCs/>
          <w:szCs w:val="24"/>
          <w:lang w:val="en-US"/>
        </w:rPr>
        <w:t>t</w:t>
      </w:r>
      <w:r>
        <w:rPr>
          <w:rFonts w:eastAsia="Calibri"/>
          <w:b/>
          <w:bCs/>
          <w:szCs w:val="24"/>
        </w:rPr>
        <w:t xml:space="preserve">heoretical </w:t>
      </w:r>
      <w:r>
        <w:rPr>
          <w:rFonts w:eastAsia="SimSun" w:hint="eastAsia"/>
          <w:b/>
          <w:bCs/>
          <w:szCs w:val="24"/>
          <w:lang w:val="en-US"/>
        </w:rPr>
        <w:t>s</w:t>
      </w:r>
      <w:r>
        <w:rPr>
          <w:rFonts w:eastAsia="Calibri"/>
          <w:b/>
          <w:bCs/>
          <w:szCs w:val="24"/>
        </w:rPr>
        <w:t>cope</w:t>
      </w:r>
    </w:p>
    <w:p w14:paraId="1BBD14FF" w14:textId="77777777" w:rsidR="00AD548A" w:rsidRDefault="00000000">
      <w:pPr>
        <w:rPr>
          <w:rFonts w:eastAsia="Calibri"/>
          <w:color w:val="00B0F0"/>
        </w:rPr>
      </w:pPr>
      <w:r>
        <w:rPr>
          <w:rFonts w:eastAsia="Calibri"/>
          <w:szCs w:val="24"/>
        </w:rPr>
        <w:t>Our analysis indicates that China’s high power-distance culture, strong state capacity, and centralized institutional arrangements critically shaped the form and intensity of the observed mechanisms. Specifically, these features amplified the effectiveness of direct, coercive institutional pressure and enabled the rapid, coordinated mobilization of enabling resources across entities. The pronounced multi-actor synergy and the highly directive nature of temporary privilege suspension are thus partially context-dependent expressions of the underlying mechanisms.</w:t>
      </w:r>
      <w:r>
        <w:rPr>
          <w:rFonts w:eastAsia="SimSun" w:hint="eastAsia"/>
          <w:color w:val="00B0F0"/>
          <w:szCs w:val="24"/>
          <w:lang w:val="en-US"/>
        </w:rPr>
        <w:t xml:space="preserve"> In particular, w</w:t>
      </w:r>
      <w:r>
        <w:rPr>
          <w:rFonts w:eastAsia="Calibri" w:hint="eastAsia"/>
          <w:color w:val="00B0F0"/>
        </w:rPr>
        <w:t>hile framed as temporary within the acute crisis period, the conditions under which such suspensions might solidify or revert post-crisis present a compelling avenue for future inquiry. We speculate that the permanence of such rebalancing may depend on two factors</w:t>
      </w:r>
      <w:r>
        <w:rPr>
          <w:rFonts w:eastAsia="SimSun" w:hint="eastAsia"/>
          <w:color w:val="00B0F0"/>
          <w:lang w:val="en-US"/>
        </w:rPr>
        <w:t>. Firstly, it might relates to</w:t>
      </w:r>
      <w:r>
        <w:rPr>
          <w:rFonts w:eastAsia="Calibri" w:hint="eastAsia"/>
          <w:color w:val="00B0F0"/>
        </w:rPr>
        <w:t xml:space="preserve"> whether the interim measure proves its efficiency and is codified into formal procedure</w:t>
      </w:r>
      <w:r>
        <w:rPr>
          <w:rFonts w:eastAsia="SimSun" w:hint="eastAsia"/>
          <w:color w:val="00B0F0"/>
          <w:lang w:val="en-US"/>
        </w:rPr>
        <w:t>. And secondly, it may depends on</w:t>
      </w:r>
      <w:r>
        <w:rPr>
          <w:rFonts w:eastAsia="Calibri" w:hint="eastAsia"/>
          <w:color w:val="00B0F0"/>
        </w:rPr>
        <w:t xml:space="preserve"> whether the </w:t>
      </w:r>
      <w:r>
        <w:rPr>
          <w:rFonts w:eastAsia="Calibri" w:hint="eastAsia"/>
          <w:color w:val="00B0F0"/>
        </w:rPr>
        <w:lastRenderedPageBreak/>
        <w:t xml:space="preserve">crisis-forged alignment of interests among </w:t>
      </w:r>
      <w:r>
        <w:rPr>
          <w:rFonts w:eastAsia="SimSun" w:hint="eastAsia"/>
          <w:color w:val="00B0F0"/>
          <w:lang w:val="en-US"/>
        </w:rPr>
        <w:t xml:space="preserve">the </w:t>
      </w:r>
      <w:r>
        <w:rPr>
          <w:rFonts w:eastAsia="Calibri" w:hint="eastAsia"/>
          <w:color w:val="00B0F0"/>
        </w:rPr>
        <w:t xml:space="preserve">institutions, </w:t>
      </w:r>
      <w:r>
        <w:rPr>
          <w:rFonts w:eastAsia="SimSun" w:hint="eastAsia"/>
          <w:color w:val="00B0F0"/>
          <w:lang w:val="en-US"/>
        </w:rPr>
        <w:t xml:space="preserve">the </w:t>
      </w:r>
      <w:r>
        <w:rPr>
          <w:rFonts w:eastAsia="Calibri" w:hint="eastAsia"/>
          <w:color w:val="00B0F0"/>
        </w:rPr>
        <w:t xml:space="preserve">empowered SMEs, and </w:t>
      </w:r>
      <w:r>
        <w:rPr>
          <w:rFonts w:eastAsia="SimSun" w:hint="eastAsia"/>
          <w:color w:val="00B0F0"/>
          <w:lang w:val="en-US"/>
        </w:rPr>
        <w:t>other relevant parties</w:t>
      </w:r>
      <w:r>
        <w:rPr>
          <w:rFonts w:eastAsia="Calibri" w:hint="eastAsia"/>
          <w:color w:val="00B0F0"/>
        </w:rPr>
        <w:t xml:space="preserve"> creates a durable coalition that resists a full reversion to the pre-crisis status quo. Thus, a temporary suspension can potentially lead to enduring structural adjustment.</w:t>
      </w:r>
    </w:p>
    <w:p w14:paraId="3FDB3ED2" w14:textId="77777777" w:rsidR="00AD548A" w:rsidRDefault="00000000">
      <w:pPr>
        <w:rPr>
          <w:rFonts w:eastAsia="Calibri"/>
          <w:color w:val="00B0F0"/>
          <w:szCs w:val="24"/>
        </w:rPr>
      </w:pPr>
      <w:r>
        <w:rPr>
          <w:rFonts w:eastAsia="Calibri"/>
          <w:szCs w:val="24"/>
        </w:rPr>
        <w:t xml:space="preserve">The core theoretical mechanisms retain their analytical relevance across contexts. However, their enactment will vary. </w:t>
      </w:r>
      <w:r>
        <w:rPr>
          <w:rFonts w:eastAsia="SimSun" w:hint="eastAsia"/>
          <w:color w:val="00B0F0"/>
          <w:szCs w:val="24"/>
          <w:lang w:val="en-US"/>
        </w:rPr>
        <w:t xml:space="preserve">In specific, </w:t>
      </w:r>
      <w:r>
        <w:rPr>
          <w:rFonts w:eastAsia="Calibri" w:hint="eastAsia"/>
          <w:color w:val="00B0F0"/>
          <w:szCs w:val="24"/>
        </w:rPr>
        <w:t>In a decentralized, market-driven context, multi-actor synergy might involve industry consortia, legal firms, and shareholder activists rather than centralized state bodies</w:t>
      </w:r>
      <w:r>
        <w:rPr>
          <w:rFonts w:eastAsia="SimSun" w:hint="eastAsia"/>
          <w:szCs w:val="24"/>
          <w:lang w:val="en-US"/>
        </w:rPr>
        <w:t xml:space="preserve"> (Xu et al., 2021)</w:t>
      </w:r>
      <w:r>
        <w:rPr>
          <w:rFonts w:eastAsia="Calibri" w:hint="eastAsia"/>
          <w:szCs w:val="24"/>
        </w:rPr>
        <w:t xml:space="preserve">. </w:t>
      </w:r>
      <w:r>
        <w:rPr>
          <w:rFonts w:eastAsia="Calibri" w:hint="eastAsia"/>
          <w:color w:val="00B0F0"/>
          <w:szCs w:val="24"/>
        </w:rPr>
        <w:t>The constraint pathway might rely less on administrative audits and more on market penalties. Conversely, in a multi-level governance context like the European Union</w:t>
      </w:r>
      <w:r>
        <w:rPr>
          <w:rFonts w:eastAsia="SimSun" w:hint="eastAsia"/>
          <w:color w:val="00B0F0"/>
          <w:szCs w:val="24"/>
          <w:lang w:val="en-US"/>
        </w:rPr>
        <w:t xml:space="preserve"> (Ferreira de Ara</w:t>
      </w:r>
      <w:r>
        <w:rPr>
          <w:rFonts w:eastAsia="SimSun" w:hint="eastAsia"/>
          <w:color w:val="00B0F0"/>
          <w:szCs w:val="24"/>
          <w:lang w:val="en-US"/>
        </w:rPr>
        <w:t>ú</w:t>
      </w:r>
      <w:r>
        <w:rPr>
          <w:rFonts w:eastAsia="SimSun" w:hint="eastAsia"/>
          <w:color w:val="00B0F0"/>
          <w:szCs w:val="24"/>
          <w:lang w:val="en-US"/>
        </w:rPr>
        <w:t>jo Lima et al., 2020)</w:t>
      </w:r>
      <w:r>
        <w:rPr>
          <w:rFonts w:eastAsia="Calibri" w:hint="eastAsia"/>
          <w:color w:val="00B0F0"/>
          <w:szCs w:val="24"/>
        </w:rPr>
        <w:t>, tactics might be enacted through EU directives, national regulatory agencies, and social partnership</w:t>
      </w:r>
      <w:r>
        <w:rPr>
          <w:rFonts w:eastAsia="SimSun" w:hint="eastAsia"/>
          <w:color w:val="00B0F0"/>
          <w:szCs w:val="24"/>
          <w:lang w:val="en-US"/>
        </w:rPr>
        <w:t>s</w:t>
      </w:r>
      <w:r>
        <w:rPr>
          <w:rFonts w:eastAsia="Calibri" w:hint="eastAsia"/>
          <w:color w:val="00B0F0"/>
          <w:szCs w:val="24"/>
        </w:rPr>
        <w:t xml:space="preserve">. The enabling pathway could be </w:t>
      </w:r>
      <w:r>
        <w:rPr>
          <w:rFonts w:eastAsia="SimSun" w:hint="eastAsia"/>
          <w:color w:val="00B0F0"/>
          <w:szCs w:val="24"/>
          <w:lang w:val="en-US"/>
        </w:rPr>
        <w:t>dominated</w:t>
      </w:r>
      <w:r>
        <w:rPr>
          <w:rFonts w:eastAsia="Calibri" w:hint="eastAsia"/>
          <w:color w:val="00B0F0"/>
          <w:szCs w:val="24"/>
        </w:rPr>
        <w:t xml:space="preserve"> by powerful retailers or lead firms</w:t>
      </w:r>
      <w:r>
        <w:rPr>
          <w:rFonts w:eastAsia="SimSun" w:hint="eastAsia"/>
          <w:color w:val="00B0F0"/>
          <w:szCs w:val="24"/>
          <w:lang w:val="en-US"/>
        </w:rPr>
        <w:t xml:space="preserve"> </w:t>
      </w:r>
      <w:r>
        <w:rPr>
          <w:rFonts w:eastAsia="Calibri" w:hint="eastAsia"/>
          <w:color w:val="00B0F0"/>
          <w:szCs w:val="24"/>
        </w:rPr>
        <w:t xml:space="preserve">as part of </w:t>
      </w:r>
      <w:r>
        <w:rPr>
          <w:rFonts w:eastAsia="SimSun" w:hint="eastAsia"/>
          <w:color w:val="00B0F0"/>
          <w:szCs w:val="24"/>
          <w:lang w:val="en-US"/>
        </w:rPr>
        <w:t xml:space="preserve">their </w:t>
      </w:r>
      <w:r>
        <w:rPr>
          <w:rFonts w:eastAsia="Calibri" w:hint="eastAsia"/>
          <w:color w:val="00B0F0"/>
          <w:szCs w:val="24"/>
        </w:rPr>
        <w:t>corporate responsibility governance. While the actors and instruments differ, the fundamental logic of compensatory balancing</w:t>
      </w:r>
      <w:r>
        <w:rPr>
          <w:rFonts w:eastAsia="SimSun" w:hint="eastAsia"/>
          <w:color w:val="00B0F0"/>
          <w:szCs w:val="24"/>
          <w:lang w:val="en-US"/>
        </w:rPr>
        <w:t xml:space="preserve"> still </w:t>
      </w:r>
      <w:r>
        <w:rPr>
          <w:rFonts w:eastAsia="Calibri" w:hint="eastAsia"/>
          <w:color w:val="00B0F0"/>
          <w:szCs w:val="24"/>
        </w:rPr>
        <w:t>remains powerful lens for designing effective rebalancing institutions across diverse environments</w:t>
      </w:r>
      <w:r>
        <w:rPr>
          <w:rFonts w:eastAsia="SimSun" w:hint="eastAsia"/>
          <w:color w:val="00B0F0"/>
          <w:szCs w:val="24"/>
          <w:lang w:val="en-US"/>
        </w:rPr>
        <w:t>.</w:t>
      </w:r>
    </w:p>
    <w:p w14:paraId="5905E35E" w14:textId="77777777" w:rsidR="00AD548A" w:rsidRDefault="00000000">
      <w:pPr>
        <w:rPr>
          <w:rFonts w:eastAsia="Calibri"/>
          <w:szCs w:val="24"/>
        </w:rPr>
      </w:pPr>
      <w:r>
        <w:rPr>
          <w:rFonts w:eastAsia="Calibri"/>
          <w:szCs w:val="24"/>
        </w:rPr>
        <w:t>Therefore, the boundary conditions of our model hinge not on geography but on institutional coordinative capacity and the sources of credible enforcement. Future research should test these core propositions in diverse settings to build a more contingent understanding of institutionally-enabled power rebalancing.</w:t>
      </w:r>
    </w:p>
    <w:p w14:paraId="51F06843" w14:textId="77777777" w:rsidR="00AD548A" w:rsidRDefault="00000000">
      <w:pPr>
        <w:pStyle w:val="Heading1"/>
      </w:pPr>
      <w:r>
        <w:rPr>
          <w:rFonts w:hint="eastAsia"/>
        </w:rPr>
        <w:t>6</w:t>
      </w:r>
      <w:r>
        <w:t xml:space="preserve">. </w:t>
      </w:r>
      <w:r>
        <w:rPr>
          <w:rFonts w:hint="eastAsia"/>
        </w:rPr>
        <w:t xml:space="preserve">Contributions </w:t>
      </w:r>
    </w:p>
    <w:p w14:paraId="0EDCA763" w14:textId="77777777" w:rsidR="00AD548A" w:rsidRDefault="00000000">
      <w:pPr>
        <w:ind w:firstLineChars="0" w:firstLine="0"/>
      </w:pPr>
      <w:r>
        <w:lastRenderedPageBreak/>
        <w:t xml:space="preserve">In our research, </w:t>
      </w:r>
      <w:r>
        <w:rPr>
          <w:rFonts w:hint="eastAsia"/>
        </w:rPr>
        <w:t xml:space="preserve">institutional tactics for balancing </w:t>
      </w:r>
      <w:r>
        <w:t>the</w:t>
      </w:r>
      <w:r>
        <w:rPr>
          <w:rFonts w:hint="eastAsia"/>
        </w:rPr>
        <w:t xml:space="preserve"> power between the dominated suppliers and dominating buyers are presented</w:t>
      </w:r>
      <w:r>
        <w:t>. Although our cases have specific features, our findings identify overall patterns that contribute to our understanding of how non</w:t>
      </w:r>
      <w:r>
        <w:rPr>
          <w:rFonts w:hint="eastAsia"/>
          <w:lang w:val="en-US"/>
        </w:rPr>
        <w:t>-</w:t>
      </w:r>
      <w:r>
        <w:t xml:space="preserve">market stakeholders influence the weaker parties’ development of countervailing power in against of their powerful partners. </w:t>
      </w:r>
    </w:p>
    <w:p w14:paraId="420E3AA9" w14:textId="77777777" w:rsidR="00AD548A" w:rsidRDefault="00000000">
      <w:pPr>
        <w:ind w:firstLineChars="0" w:firstLine="0"/>
        <w:rPr>
          <w:b/>
          <w:bCs/>
        </w:rPr>
      </w:pPr>
      <w:r>
        <w:rPr>
          <w:rFonts w:hint="eastAsia"/>
          <w:b/>
          <w:bCs/>
        </w:rPr>
        <w:t xml:space="preserve">6.1 </w:t>
      </w:r>
      <w:r>
        <w:rPr>
          <w:b/>
          <w:bCs/>
        </w:rPr>
        <w:t>Theoretical</w:t>
      </w:r>
      <w:r>
        <w:rPr>
          <w:rFonts w:hint="eastAsia"/>
          <w:b/>
          <w:bCs/>
        </w:rPr>
        <w:t xml:space="preserve"> contribution</w:t>
      </w:r>
    </w:p>
    <w:p w14:paraId="36ED39FD" w14:textId="77777777" w:rsidR="00AD548A" w:rsidRDefault="00000000">
      <w:pPr>
        <w:ind w:firstLineChars="0" w:firstLine="0"/>
        <w:rPr>
          <w:lang w:val="en-US"/>
        </w:rPr>
      </w:pPr>
      <w:r>
        <w:t>F</w:t>
      </w:r>
      <w:r>
        <w:rPr>
          <w:rFonts w:hint="eastAsia"/>
        </w:rPr>
        <w:t>irst, we introduce and formalize core mechanisms for power rebalancing during systemic disruptions</w:t>
      </w:r>
      <w:r>
        <w:rPr>
          <w:rFonts w:hint="eastAsia"/>
          <w:lang w:val="en-US"/>
        </w:rPr>
        <w:t>. Prior research on power-balancing emphasizes strategies aimed at increasing a supplier</w:t>
      </w:r>
      <w:r>
        <w:rPr>
          <w:rFonts w:hint="eastAsia"/>
          <w:lang w:val="en-US"/>
        </w:rPr>
        <w:t>’</w:t>
      </w:r>
      <w:r>
        <w:rPr>
          <w:rFonts w:hint="eastAsia"/>
          <w:lang w:val="en-US"/>
        </w:rPr>
        <w:t xml:space="preserve">s indispensability or reducing dependency, often requiring significant resources and time </w:t>
      </w:r>
      <w:sdt>
        <w:sdtPr>
          <w:tag w:val="MENDELEY_CITATION_v3_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"/>
          <w:id w:val="147457400"/>
          <w:placeholder>
            <w:docPart w:val="{a715d1a4-7579-473c-96b5-2d8a3252cf12}"/>
          </w:placeholder>
        </w:sdtPr>
        <w:sdtContent>
          <w:r>
            <w:t xml:space="preserve">(Adobor and McMullen, 2018; Hosseini </w:t>
          </w:r>
          <w:r>
            <w:rPr>
              <w:i/>
              <w:iCs/>
            </w:rPr>
            <w:t>et al.</w:t>
          </w:r>
          <w:r>
            <w:t>, 2019)</w:t>
          </w:r>
        </w:sdtContent>
      </w:sdt>
      <w:r>
        <w:rPr>
          <w:rFonts w:hint="eastAsia"/>
          <w:lang w:val="en-US"/>
        </w:rPr>
        <w:t>. Our study identifies an alternative, rapid-response mechanism enabled by institutional actors which effectively enhances the suppliers</w:t>
      </w:r>
      <w:r>
        <w:rPr>
          <w:lang w:val="en-US"/>
        </w:rPr>
        <w:t>’</w:t>
      </w:r>
      <w:r>
        <w:rPr>
          <w:rFonts w:hint="eastAsia"/>
          <w:lang w:val="en-US"/>
        </w:rPr>
        <w:t xml:space="preserve"> resilience and constraints buyers</w:t>
      </w:r>
      <w:r>
        <w:rPr>
          <w:lang w:val="en-US"/>
        </w:rPr>
        <w:t>’</w:t>
      </w:r>
      <w:r>
        <w:rPr>
          <w:rFonts w:hint="eastAsia"/>
          <w:lang w:val="en-US"/>
        </w:rPr>
        <w:t xml:space="preserve"> privileges. We delineate the causal pathways of this mechanism, showing how institutional interventions alter the buyer</w:t>
      </w:r>
      <w:r>
        <w:rPr>
          <w:rFonts w:hint="eastAsia"/>
          <w:lang w:val="en-US"/>
        </w:rPr>
        <w:t>’</w:t>
      </w:r>
      <w:r>
        <w:rPr>
          <w:rFonts w:hint="eastAsia"/>
          <w:lang w:val="en-US"/>
        </w:rPr>
        <w:t>s cost-benefit calculus and temporarily suspend operational advantages. This advances power asymmetry literature by explaining how significant rebalancing can be achieved in the short term during a highly volatile period.</w:t>
      </w:r>
    </w:p>
    <w:p w14:paraId="45D67B86" w14:textId="77777777" w:rsidR="00AD548A" w:rsidRDefault="00000000">
      <w:r>
        <w:rPr>
          <w:rFonts w:hint="eastAsia"/>
          <w:lang w:val="en-US"/>
        </w:rPr>
        <w:t>Second</w:t>
      </w:r>
      <w:r>
        <w:rPr>
          <w:rFonts w:hint="eastAsia"/>
        </w:rPr>
        <w:t xml:space="preserve">, we develop an integrative, dual-pathway model that specifies how multi-actor institutional synergy reconfigures power sources. Extant research often examines power dynamics from a dyadic perspective or focuses on isolated institutional pressures (Adobor and McMullen, 2018; Hosseini et al., 2019). Our analysis synthesizes a more complex reality, proposing a model where institutional tactics operate through two </w:t>
      </w:r>
      <w:r>
        <w:rPr>
          <w:rFonts w:hint="eastAsia"/>
        </w:rPr>
        <w:lastRenderedPageBreak/>
        <w:t>synergistic pathways</w:t>
      </w:r>
      <w:r>
        <w:rPr>
          <w:rFonts w:hint="eastAsia"/>
          <w:lang w:val="en-US"/>
        </w:rPr>
        <w:t xml:space="preserve">, including </w:t>
      </w:r>
      <w:r>
        <w:rPr>
          <w:rFonts w:hint="eastAsia"/>
        </w:rPr>
        <w:t xml:space="preserve">a supplier empowerment pathway </w:t>
      </w:r>
      <w:r>
        <w:rPr>
          <w:rFonts w:hint="eastAsia"/>
          <w:lang w:val="en-US"/>
        </w:rPr>
        <w:t>and</w:t>
      </w:r>
      <w:r>
        <w:rPr>
          <w:rFonts w:hint="eastAsia"/>
        </w:rPr>
        <w:t xml:space="preserve"> a buyer constraint pathway. This model provides a holistic framework for understanding power rebalancing as an ecosystem-driven process, offering a significant departure from firm-centric explanations and providing a foundation for future research on multi-actor governance in volatile supply chains.</w:t>
      </w:r>
    </w:p>
    <w:p w14:paraId="504D8AA3" w14:textId="77777777" w:rsidR="00AD548A" w:rsidRDefault="00000000">
      <w:r>
        <w:rPr>
          <w:rFonts w:hint="eastAsia"/>
          <w:lang w:val="en-US"/>
        </w:rPr>
        <w:t>In addition</w:t>
      </w:r>
      <w:r>
        <w:t>, p</w:t>
      </w:r>
      <w:r>
        <w:rPr>
          <w:rFonts w:hint="eastAsia"/>
        </w:rPr>
        <w:t>revious studies may have examined power asymmetry in normal situations, they provided limited investigation regarding the power changes in buyer-supplier relationship under volatile circumstance</w:t>
      </w:r>
      <w:r>
        <w:rPr>
          <w:rFonts w:hint="eastAsia"/>
          <w:lang w:val="en-US"/>
        </w:rPr>
        <w:t xml:space="preserve"> (Maleki et al., 2023; Wang etal., 2024)</w:t>
      </w:r>
      <w:r>
        <w:rPr>
          <w:rFonts w:hint="eastAsia"/>
        </w:rPr>
        <w:t xml:space="preserve">. </w:t>
      </w:r>
      <w:r>
        <w:t>O</w:t>
      </w:r>
      <w:r>
        <w:rPr>
          <w:rFonts w:hint="eastAsia"/>
        </w:rPr>
        <w:t xml:space="preserve">bviously, the negative effects of power asymmetry are likely to increase in </w:t>
      </w:r>
      <w:r>
        <w:t>volatile</w:t>
      </w:r>
      <w:r>
        <w:rPr>
          <w:rFonts w:hint="eastAsia"/>
        </w:rPr>
        <w:t xml:space="preserve"> environments</w:t>
      </w:r>
      <w:r>
        <w:t xml:space="preserve"> that many powerful parties in relationships are more likely to manipulate their power advantages </w:t>
      </w:r>
      <w:sdt>
        <w:sdtPr>
          <w:tag w:val="MENDELEY_CITATION_v3_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"/>
          <w:id w:val="-540672949"/>
          <w:placeholder>
            <w:docPart w:val="9F30EA5323C34B1181CBB613094C9A58"/>
          </w:placeholder>
        </w:sdtPr>
        <w:sdtContent>
          <w:r>
            <w:t>(Gruchmann, 2022)</w:t>
          </w:r>
        </w:sdtContent>
      </w:sdt>
      <w:r>
        <w:rPr>
          <w:rFonts w:hint="eastAsia"/>
        </w:rPr>
        <w:t>, acting</w:t>
      </w:r>
      <w:r>
        <w:rPr>
          <w:rFonts w:eastAsia="DengXian"/>
          <w:kern w:val="2"/>
          <w:szCs w:val="24"/>
        </w:rPr>
        <w:t xml:space="preserve"> opportunistically </w:t>
      </w:r>
      <w:r>
        <w:rPr>
          <w:rFonts w:eastAsia="DengXian" w:hint="eastAsia"/>
          <w:kern w:val="2"/>
          <w:szCs w:val="24"/>
        </w:rPr>
        <w:t xml:space="preserve">in </w:t>
      </w:r>
      <w:r>
        <w:rPr>
          <w:rFonts w:eastAsia="DengXian"/>
          <w:kern w:val="2"/>
          <w:szCs w:val="24"/>
        </w:rPr>
        <w:t>control</w:t>
      </w:r>
      <w:r>
        <w:rPr>
          <w:rFonts w:eastAsia="DengXian" w:hint="eastAsia"/>
          <w:kern w:val="2"/>
          <w:szCs w:val="24"/>
        </w:rPr>
        <w:t>ling</w:t>
      </w:r>
      <w:r>
        <w:rPr>
          <w:rFonts w:eastAsia="DengXian"/>
          <w:kern w:val="2"/>
          <w:szCs w:val="24"/>
        </w:rPr>
        <w:t xml:space="preserve"> over their dominant power positions.</w:t>
      </w:r>
      <w:r>
        <w:t xml:space="preserve"> </w:t>
      </w:r>
      <w:sdt>
        <w:sdtPr>
          <w:tag w:val="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"/>
          <w:id w:val="513965298"/>
          <w:placeholder>
            <w:docPart w:val="9F30EA5323C34B1181CBB613094C9A58"/>
          </w:placeholder>
        </w:sdtPr>
        <w:sdtContent>
          <w:r>
            <w:t xml:space="preserve">(Bastl et al., 2013; Brito </w:t>
          </w:r>
          <w:r>
            <w:rPr>
              <w:rFonts w:hint="eastAsia"/>
            </w:rPr>
            <w:t>and</w:t>
          </w:r>
          <w:r>
            <w:t xml:space="preserve"> Miguel, 2017; Handley </w:t>
          </w:r>
          <w:r>
            <w:rPr>
              <w:rFonts w:hint="eastAsia"/>
            </w:rPr>
            <w:t>and</w:t>
          </w:r>
          <w:r>
            <w:t xml:space="preserve"> Benton, 2012)</w:t>
          </w:r>
        </w:sdtContent>
      </w:sdt>
      <w:r>
        <w:t>.</w:t>
      </w:r>
      <w:r>
        <w:rPr>
          <w:rFonts w:hint="eastAsia"/>
        </w:rPr>
        <w:t xml:space="preserve"> </w:t>
      </w:r>
      <w:r>
        <w:t>O</w:t>
      </w:r>
      <w:r>
        <w:rPr>
          <w:rFonts w:hint="eastAsia"/>
        </w:rPr>
        <w:t xml:space="preserve">ur results present the phenomenon of how institutional tactics facilitate and support the SMEs in </w:t>
      </w:r>
      <w:r>
        <w:t>unfavourable</w:t>
      </w:r>
      <w:r>
        <w:rPr>
          <w:rFonts w:hint="eastAsia"/>
        </w:rPr>
        <w:t xml:space="preserve"> power positions during the highly risky period caused by the pandemic. This sheds lights on alternative approaches in achieving balanced buyer-supplier relationship.</w:t>
      </w:r>
    </w:p>
    <w:p w14:paraId="49CC6994" w14:textId="77777777" w:rsidR="00AD548A" w:rsidRDefault="00000000">
      <w:r>
        <w:t xml:space="preserve">This study further contributes to the </w:t>
      </w:r>
      <w:r>
        <w:rPr>
          <w:rFonts w:hint="eastAsia"/>
        </w:rPr>
        <w:t>application of institutional lens</w:t>
      </w:r>
      <w:r>
        <w:t>. M</w:t>
      </w:r>
      <w:r>
        <w:rPr>
          <w:rFonts w:hint="eastAsia"/>
        </w:rPr>
        <w:t xml:space="preserve">ost of previous studies adopting institutional theory primarily focused on pressures resulted from institutional environment </w:t>
      </w:r>
      <w:sdt>
        <w:sdtPr>
          <w:rPr>
            <w:rFonts w:hint="eastAsia"/>
          </w:rPr>
          <w:tag w:val="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"/>
          <w:id w:val="-639035407"/>
          <w:placeholder>
            <w:docPart w:val="DefaultPlaceholder_-1854013440"/>
          </w:placeholder>
        </w:sdtPr>
        <w:sdtContent>
          <w:r>
            <w:t xml:space="preserve">(Huang </w:t>
          </w:r>
          <w:r>
            <w:rPr>
              <w:i/>
              <w:iCs/>
            </w:rPr>
            <w:t>et al.</w:t>
          </w:r>
          <w:r>
            <w:t>, 2016; Kauppi and Hannibal, 2017; Kauppi and Luzzini, 2022)</w:t>
          </w:r>
        </w:sdtContent>
      </w:sdt>
      <w:r>
        <w:t>.</w:t>
      </w:r>
      <w:r>
        <w:rPr>
          <w:rFonts w:hint="eastAsia"/>
        </w:rPr>
        <w:t xml:space="preserve"> </w:t>
      </w:r>
      <w:r>
        <w:t>I</w:t>
      </w:r>
      <w:r>
        <w:rPr>
          <w:rFonts w:hint="eastAsia"/>
        </w:rPr>
        <w:t xml:space="preserve">n other words, organizations, in many cases, are forced by these pressures to perform as expected </w:t>
      </w:r>
      <w:sdt>
        <w:sdtPr>
          <w:rPr>
            <w:rFonts w:hint="eastAsia"/>
          </w:rPr>
          <w:tag w:val="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"/>
          <w:id w:val="1599441070"/>
          <w:placeholder>
            <w:docPart w:val="DefaultPlaceholder_-1854013440"/>
          </w:placeholder>
        </w:sdtPr>
        <w:sdtContent>
          <w:r>
            <w:t xml:space="preserve">(Jazairy and von Haartman, 2020; Wang </w:t>
          </w:r>
          <w:r>
            <w:rPr>
              <w:i/>
              <w:iCs/>
            </w:rPr>
            <w:t>et al.</w:t>
          </w:r>
          <w:r>
            <w:t>, 2018; Zhu and Sarkis, 2007)</w:t>
          </w:r>
        </w:sdtContent>
      </w:sdt>
      <w:r>
        <w:rPr>
          <w:rFonts w:hint="eastAsia"/>
        </w:rPr>
        <w:t xml:space="preserve">. </w:t>
      </w:r>
      <w:r>
        <w:t xml:space="preserve">Such pressure-oriented perspectives often understate the </w:t>
      </w:r>
      <w:r>
        <w:lastRenderedPageBreak/>
        <w:t>enabling role of institutional elements. This study makes a novel contribution by adopting a broader, support-oriented institutional view, recognizing institutions not only as sources of constraint but also as active providers of relief and capability-building. Specifically, the analysis identifies concrete institution-driven tactics that actively assist weaker suppliers and reshape power dynamics in buyer–supplier relationships.</w:t>
      </w:r>
    </w:p>
    <w:p w14:paraId="41FB2EDA" w14:textId="77777777" w:rsidR="00AD548A" w:rsidRDefault="00AD548A">
      <w:pPr>
        <w:ind w:firstLineChars="0" w:firstLine="0"/>
        <w:rPr>
          <w:b/>
          <w:bCs/>
        </w:rPr>
      </w:pPr>
    </w:p>
    <w:p w14:paraId="5C414419" w14:textId="77777777" w:rsidR="00AD548A" w:rsidRDefault="00000000">
      <w:pPr>
        <w:ind w:firstLineChars="0" w:firstLine="0"/>
        <w:rPr>
          <w:b/>
          <w:bCs/>
        </w:rPr>
      </w:pPr>
      <w:r>
        <w:rPr>
          <w:rFonts w:hint="eastAsia"/>
          <w:b/>
          <w:bCs/>
        </w:rPr>
        <w:t xml:space="preserve">6.2 Managerial </w:t>
      </w:r>
      <w:r>
        <w:rPr>
          <w:b/>
          <w:bCs/>
        </w:rPr>
        <w:t xml:space="preserve">Contributions </w:t>
      </w:r>
    </w:p>
    <w:p w14:paraId="4EDE6A4B" w14:textId="77777777" w:rsidR="00AD548A" w:rsidRDefault="00000000">
      <w:pPr>
        <w:ind w:firstLineChars="0" w:firstLine="0"/>
      </w:pPr>
      <w:r>
        <w:t>This paper advances a novel perspective by focusing on abnormal and highly disruptive circumstances in supply chains</w:t>
      </w:r>
      <w:r>
        <w:rPr>
          <w:rFonts w:hint="eastAsia"/>
          <w:lang w:val="en-US"/>
        </w:rPr>
        <w:t>, and</w:t>
      </w:r>
      <w:r>
        <w:rPr>
          <w:rFonts w:hint="eastAsia"/>
        </w:rPr>
        <w:t xml:space="preserve"> yields distinct, actionable implications for SME managers and policymakers</w:t>
      </w:r>
      <w:r>
        <w:t xml:space="preserve">. </w:t>
      </w:r>
      <w:r>
        <w:rPr>
          <w:rFonts w:hint="eastAsia"/>
        </w:rPr>
        <w:t>For SME managers, the study demonstrates that power rebalancing is not solely an internal, resource-dependent struggle. Proactively engaging with the institutional ecosystem can be a critical survival and growth strategy during disruptions.</w:t>
      </w:r>
      <w:r>
        <w:rPr>
          <w:rFonts w:hint="eastAsia"/>
          <w:lang w:val="en-US"/>
        </w:rPr>
        <w:t xml:space="preserve"> </w:t>
      </w:r>
      <w:r>
        <w:rPr>
          <w:rFonts w:hint="eastAsia"/>
        </w:rPr>
        <w:t>Managers must systematically map their institutional landscape, identifying not only regulatory bodies but also potential enabling actors</w:t>
      </w:r>
      <w:r>
        <w:rPr>
          <w:rFonts w:hint="eastAsia"/>
          <w:lang w:val="en-US"/>
        </w:rPr>
        <w:t>,</w:t>
      </w:r>
      <w:r>
        <w:rPr>
          <w:rFonts w:hint="eastAsia"/>
        </w:rPr>
        <w:t xml:space="preserve"> to cultivate institutional legitimacy and proactively leverage acquired support</w:t>
      </w:r>
      <w:r>
        <w:rPr>
          <w:rFonts w:hint="eastAsia"/>
          <w:lang w:val="en-US"/>
        </w:rPr>
        <w:t xml:space="preserve"> </w:t>
      </w:r>
      <w:r>
        <w:rPr>
          <w:rFonts w:hint="eastAsia"/>
        </w:rPr>
        <w:t>as a direct source of bargaining power in negotiations. By framing such support as evidence of enhanced resilience and reduced dependency, SMEs can deliberately alter the buyers</w:t>
      </w:r>
      <w:r>
        <w:rPr>
          <w:lang w:val="en-US"/>
        </w:rPr>
        <w:t>’</w:t>
      </w:r>
      <w:r>
        <w:rPr>
          <w:rFonts w:hint="eastAsia"/>
        </w:rPr>
        <w:t xml:space="preserve"> cost-benefit calculus, thereby mitigating the buyer</w:t>
      </w:r>
      <w:r>
        <w:rPr>
          <w:rFonts w:hint="eastAsia"/>
        </w:rPr>
        <w:t>’</w:t>
      </w:r>
      <w:r>
        <w:rPr>
          <w:rFonts w:hint="eastAsia"/>
        </w:rPr>
        <w:t xml:space="preserve">s ability to leverage structural advantages opportunistically. </w:t>
      </w:r>
    </w:p>
    <w:p w14:paraId="45A098B6" w14:textId="77777777" w:rsidR="00AD548A" w:rsidRDefault="00000000">
      <w:r>
        <w:rPr>
          <w:rFonts w:hint="eastAsia"/>
        </w:rPr>
        <w:t xml:space="preserve">For policymakers and institutional architects, the findings underscore that intervention efficacy hinges on mechanism-aware design rather than isolated policy </w:t>
      </w:r>
      <w:r>
        <w:rPr>
          <w:rFonts w:hint="eastAsia"/>
        </w:rPr>
        <w:lastRenderedPageBreak/>
        <w:t xml:space="preserve">instruments. Effective crisis response requires a dual-pathway approach, combining direct SME empowerment with transparent constraints on dominant-firm opportunism. </w:t>
      </w:r>
      <w:r>
        <w:rPr>
          <w:rFonts w:hint="eastAsia"/>
          <w:lang w:val="en-US"/>
        </w:rPr>
        <w:t>T</w:t>
      </w:r>
      <w:r>
        <w:rPr>
          <w:rFonts w:hint="eastAsia"/>
        </w:rPr>
        <w:t xml:space="preserve">hese efforts </w:t>
      </w:r>
      <w:r>
        <w:rPr>
          <w:rFonts w:hint="eastAsia"/>
          <w:lang w:val="en-US"/>
        </w:rPr>
        <w:t>could</w:t>
      </w:r>
      <w:r>
        <w:rPr>
          <w:rFonts w:hint="eastAsia"/>
        </w:rPr>
        <w:t xml:space="preserve"> be orchestrated for multi-actor synergy, ensuring coordination across </w:t>
      </w:r>
      <w:r>
        <w:rPr>
          <w:rFonts w:hint="eastAsia"/>
          <w:lang w:val="en-US"/>
        </w:rPr>
        <w:t>different</w:t>
      </w:r>
      <w:r>
        <w:rPr>
          <w:rFonts w:hint="eastAsia"/>
        </w:rPr>
        <w:t xml:space="preserve"> entities to deliver coherent support</w:t>
      </w:r>
      <w:r>
        <w:rPr>
          <w:rFonts w:hint="eastAsia"/>
          <w:lang w:val="en-US"/>
        </w:rPr>
        <w:t>s</w:t>
      </w:r>
      <w:r>
        <w:rPr>
          <w:rFonts w:hint="eastAsia"/>
        </w:rPr>
        <w:t xml:space="preserve">. Policymakers should also explicitly consider the temporality of crises, </w:t>
      </w:r>
      <w:r>
        <w:rPr>
          <w:rFonts w:hint="eastAsia"/>
          <w:lang w:val="en-US"/>
        </w:rPr>
        <w:t xml:space="preserve">and </w:t>
      </w:r>
      <w:r>
        <w:rPr>
          <w:rFonts w:hint="eastAsia"/>
        </w:rPr>
        <w:t xml:space="preserve">design clear mechanisms for the temporary suspension of privileges. Finally, by </w:t>
      </w:r>
      <w:r>
        <w:rPr>
          <w:rFonts w:hint="eastAsia"/>
          <w:lang w:val="en-US"/>
        </w:rPr>
        <w:t>developing</w:t>
      </w:r>
      <w:r>
        <w:rPr>
          <w:rFonts w:hint="eastAsia"/>
        </w:rPr>
        <w:t xml:space="preserve"> fair partnership principles and reducing information asymmetries, institutions can actively foster the normative shifts that sustain more resilient and equitable supply chain relationships beyond the immediate crisis</w:t>
      </w:r>
      <w:r>
        <w:rPr>
          <w:rFonts w:hint="eastAsia"/>
          <w:lang w:val="en-US"/>
        </w:rPr>
        <w:t>.</w:t>
      </w:r>
    </w:p>
    <w:p w14:paraId="3D0F5350" w14:textId="77777777" w:rsidR="00AD548A" w:rsidRDefault="00000000">
      <w:pPr>
        <w:pStyle w:val="Heading2"/>
      </w:pPr>
      <w:r>
        <w:rPr>
          <w:rFonts w:hint="eastAsia"/>
          <w:lang w:eastAsia="zh-CN"/>
        </w:rPr>
        <w:t>6.3</w:t>
      </w:r>
      <w:r>
        <w:t xml:space="preserve"> Limitations and future research directions</w:t>
      </w:r>
    </w:p>
    <w:p w14:paraId="0FFBEBB2" w14:textId="77777777" w:rsidR="00AD548A" w:rsidRDefault="00000000">
      <w:pPr>
        <w:ind w:firstLineChars="0" w:firstLine="0"/>
      </w:pPr>
      <w:r>
        <w:t>The findings from this study should be considered in light of its limitations</w:t>
      </w:r>
      <w:r>
        <w:rPr>
          <w:rFonts w:hint="eastAsia"/>
        </w:rPr>
        <w:t xml:space="preserve"> that present opportunities for further inquiry.</w:t>
      </w:r>
      <w:r>
        <w:rPr>
          <w:rFonts w:hint="eastAsia"/>
          <w:lang w:val="en-US"/>
        </w:rPr>
        <w:t xml:space="preserve"> </w:t>
      </w:r>
      <w:r>
        <w:t>Our study was built on a qualitative research design and a theory-building approach to extract analytical generalizations from our findings by building on existing theoretical foundations. Therefore, we avoid to make claims that our research results apply for all companies in all industries, and are generalizable to broader populations.</w:t>
      </w:r>
      <w:r>
        <w:rPr>
          <w:rFonts w:hint="eastAsia"/>
        </w:rPr>
        <w:t xml:space="preserve"> First, as a qualitative case study within China</w:t>
      </w:r>
      <w:r>
        <w:rPr>
          <w:rFonts w:hint="eastAsia"/>
        </w:rPr>
        <w:t>’</w:t>
      </w:r>
      <w:r>
        <w:rPr>
          <w:rFonts w:hint="eastAsia"/>
        </w:rPr>
        <w:t>s distinct institutional ecosystem, the specific actors and tactics we document are context-dependent. While we have focused on extracting the underlying theoretical mechanisms, their manifestation in other economic contexts</w:t>
      </w:r>
      <w:r>
        <w:rPr>
          <w:rFonts w:hint="eastAsia"/>
          <w:lang w:val="en-US"/>
        </w:rPr>
        <w:t xml:space="preserve"> </w:t>
      </w:r>
      <w:r>
        <w:rPr>
          <w:rFonts w:hint="eastAsia"/>
        </w:rPr>
        <w:t xml:space="preserve">will likely differ. Future comparative research is needed to establish the boundary conditions of our model and to explore how varied institutional logics shape the pathways to power rebalancing. Second, our data captures a period of acute crisis. Longitudinal studies are needed to examine </w:t>
      </w:r>
      <w:r>
        <w:rPr>
          <w:rFonts w:hint="eastAsia"/>
        </w:rPr>
        <w:lastRenderedPageBreak/>
        <w:t>whether the rebalancing effects we observed persist, evolve, or revert after the crisis abates. Investigating these questions will further refine our understanding of how institutional environments can be deliberately designed to foster equitable and resilient supply chains globally.</w:t>
      </w:r>
      <w:r>
        <w:rPr>
          <w:rFonts w:hint="eastAsia"/>
          <w:lang w:val="en-US"/>
        </w:rPr>
        <w:t xml:space="preserve"> </w:t>
      </w:r>
    </w:p>
    <w:p w14:paraId="4E8DD804" w14:textId="77777777" w:rsidR="00AD548A" w:rsidRDefault="00AD548A">
      <w:pPr>
        <w:ind w:firstLineChars="0" w:firstLine="0"/>
      </w:pPr>
    </w:p>
    <w:p w14:paraId="32A4EED1" w14:textId="77777777" w:rsidR="00AD548A" w:rsidRDefault="00000000">
      <w:pPr>
        <w:ind w:firstLineChars="0" w:firstLine="0"/>
      </w:pPr>
      <w:r>
        <w:t>Data availability statement: The data that support the findings of this study are available on request from the first author, [Y.H.]. The data are not publicly available due to privacy restrictions.</w:t>
      </w:r>
    </w:p>
    <w:p w14:paraId="7C6A87D6" w14:textId="77777777" w:rsidR="00AD548A" w:rsidRDefault="00000000">
      <w:r>
        <w:br w:type="page"/>
      </w:r>
    </w:p>
    <w:p w14:paraId="1DEA1AA0" w14:textId="77777777" w:rsidR="00AD548A" w:rsidRDefault="00000000">
      <w:pPr>
        <w:pStyle w:val="Heading1"/>
      </w:pPr>
      <w:r>
        <w:lastRenderedPageBreak/>
        <w:t>Reference</w:t>
      </w:r>
    </w:p>
    <w:p w14:paraId="390C2599" w14:textId="77777777" w:rsidR="00AD548A" w:rsidRDefault="00000000">
      <w:pPr>
        <w:spacing w:line="240" w:lineRule="auto"/>
        <w:rPr>
          <w:lang w:val="en-US"/>
        </w:rPr>
      </w:pPr>
      <w:r>
        <w:rPr>
          <w:lang w:val="en-US"/>
        </w:rPr>
        <w:t>Adobor, H. and McMullen, R.S. (2018), “Supply chain resilience: a dynamic and multidimensional approach”, International Journal of Logistics Management, Vol. 29 No. 4, pp. 1451–1471, doi: 10.1108/IJLM-04-2017-0093.</w:t>
      </w:r>
    </w:p>
    <w:p w14:paraId="220B1E46" w14:textId="77777777" w:rsidR="00AD548A" w:rsidRDefault="00000000">
      <w:pPr>
        <w:spacing w:line="240" w:lineRule="auto"/>
        <w:rPr>
          <w:lang w:val="en-US"/>
        </w:rPr>
      </w:pPr>
      <w:r>
        <w:rPr>
          <w:lang w:val="en-US"/>
        </w:rPr>
        <w:t>Amis, J. and Hinings, C.R. (2020), “The Pace, Sequence, and Linearity of Radical Change”, Academy of Management Journal, Vol. 47 No. 1pp. 15-40, doi: 10.2307/20159558.</w:t>
      </w:r>
    </w:p>
    <w:p w14:paraId="1F95260B" w14:textId="77777777" w:rsidR="00AD548A" w:rsidRDefault="00000000">
      <w:pPr>
        <w:spacing w:line="240" w:lineRule="auto"/>
        <w:rPr>
          <w:lang w:val="en-US"/>
        </w:rPr>
      </w:pPr>
      <w:r>
        <w:rPr>
          <w:lang w:val="en-US"/>
        </w:rPr>
        <w:t>Adefeso, H. A., and Mujeeb O. M. (2024), “Government Policy Interventions during COVID-19 Pandemic and Economic Performance.” International Review of Economics and Finance Vol.89 Vol.2024 pp.683–691. doi:10.1016/j.iref.2023.07.079.</w:t>
      </w:r>
    </w:p>
    <w:p w14:paraId="37E139D5" w14:textId="77777777" w:rsidR="00AD548A" w:rsidRDefault="00000000">
      <w:pPr>
        <w:spacing w:line="240" w:lineRule="auto"/>
        <w:rPr>
          <w:lang w:val="en-US"/>
        </w:rPr>
      </w:pPr>
      <w:r>
        <w:rPr>
          <w:lang w:val="en-US"/>
        </w:rPr>
        <w:t>Bag, S., Muhammad S. R., Tsan M. C., Gautam S., Peter K., and Noleen P. (2023), “How COVID-19 Pandemic Has Shaped Buyer-Supplier Relationships in Engineering Companies with Ethical Perception Considerations: A Multi-Methodological Study.” Journal of Business Research Vol.158 No.2023 pp.113598. doi:10.1016/j.jbusres.2022.113598.</w:t>
      </w:r>
    </w:p>
    <w:p w14:paraId="56745EF1" w14:textId="77777777" w:rsidR="00AD548A" w:rsidRDefault="00000000">
      <w:pPr>
        <w:spacing w:line="240" w:lineRule="auto"/>
        <w:rPr>
          <w:lang w:val="en-US"/>
        </w:rPr>
      </w:pPr>
      <w:r>
        <w:rPr>
          <w:lang w:val="en-US"/>
        </w:rPr>
        <w:t>Berlinger, E., Dieter G., Thomas W., and Yunfei Z. (2024), “Governmental Responses and Firm Resilience during the COVID-19 Pandemic: The Role of Culture and Politics.” Economic Systems Vol.48 No.3 pp.101196. doi:10.1016/j.ecosys.2024.101196.</w:t>
      </w:r>
    </w:p>
    <w:p w14:paraId="496B3717" w14:textId="77777777" w:rsidR="00AD548A" w:rsidRDefault="00000000">
      <w:pPr>
        <w:spacing w:line="240" w:lineRule="auto"/>
        <w:rPr>
          <w:lang w:val="en-US"/>
        </w:rPr>
      </w:pPr>
      <w:r>
        <w:rPr>
          <w:lang w:val="en-US"/>
        </w:rPr>
        <w:t>Ben-Slimane, K., Amira L., and Olivier G. (2024), “A Relational Power Perspective on the Positional Shift of Peripheral Players in an Organisational Field: The Case of Mediapart in the French Press Field.” Journal of Business Research Vol.173 No.2024 pp.114466. doi:10.1016/j.jbusres.2023.114466.</w:t>
      </w:r>
    </w:p>
    <w:p w14:paraId="312D4AA4" w14:textId="77777777" w:rsidR="00AD548A" w:rsidRDefault="00000000">
      <w:pPr>
        <w:spacing w:line="240" w:lineRule="auto"/>
        <w:rPr>
          <w:lang w:val="en-US"/>
        </w:rPr>
      </w:pPr>
      <w:r>
        <w:rPr>
          <w:lang w:val="en-US"/>
        </w:rPr>
        <w:t>Bastl, M., Johnson, M. and Choi, T.Y. (2013), “Who’s Seeking Whom? Coalition Behavior of a Weaker Player in Buyer-Supplier Relationships”, Journal of Supply Chain Management, Vol. 49 No. 1, pp. 8–28, doi: 10.1111/j.1745-493x.2012.03274.x.</w:t>
      </w:r>
    </w:p>
    <w:p w14:paraId="319554E3" w14:textId="77777777" w:rsidR="00AD548A" w:rsidRDefault="00000000">
      <w:pPr>
        <w:spacing w:line="240" w:lineRule="auto"/>
        <w:rPr>
          <w:lang w:val="en-US"/>
        </w:rPr>
      </w:pPr>
      <w:r>
        <w:rPr>
          <w:lang w:val="en-US"/>
        </w:rPr>
        <w:t>Benton, W.C. and Maloni, M. (2005), “The influence of power driven buyer/seller relationships on supply chain satisfaction”, Journal of Operations Management, Vol. 23 No. 1, pp. 1–22, doi: 10.1016/j.jom.2004.09.002.</w:t>
      </w:r>
    </w:p>
    <w:p w14:paraId="48E6641A" w14:textId="77777777" w:rsidR="00AD548A" w:rsidRDefault="00000000">
      <w:pPr>
        <w:spacing w:line="240" w:lineRule="auto"/>
        <w:rPr>
          <w:lang w:val="en-US"/>
        </w:rPr>
      </w:pPr>
      <w:r>
        <w:rPr>
          <w:lang w:val="en-US"/>
        </w:rPr>
        <w:t>Brito, R.P. and Miguel, P.L.S. (2017), “Power, Governance, and Value in Collaboration: Differences between Buyer and Supplier Perspectives”, Journal of Supply Chain Management, Vol. 53 No. 2, pp. 61–87, doi: 10.1111/jscm.12134.</w:t>
      </w:r>
    </w:p>
    <w:p w14:paraId="499B18E7" w14:textId="77777777" w:rsidR="00AD548A" w:rsidRDefault="00000000">
      <w:pPr>
        <w:spacing w:line="240" w:lineRule="auto"/>
        <w:rPr>
          <w:lang w:val="en-US"/>
        </w:rPr>
      </w:pPr>
      <w:r>
        <w:rPr>
          <w:lang w:val="en-US"/>
        </w:rPr>
        <w:t>Cai, S., Jun, M. and Yang, Z. (2010), “Implementing supply chain information integration in China: The role of institutional forces and trust”, Journal of Operations Management, Vol. 28 No. 3, pp. 257–268, doi: 10.1016/j.jom.2009.11.005.</w:t>
      </w:r>
    </w:p>
    <w:p w14:paraId="5E173F7E" w14:textId="77777777" w:rsidR="00AD548A" w:rsidRDefault="00000000">
      <w:pPr>
        <w:spacing w:line="240" w:lineRule="auto"/>
        <w:rPr>
          <w:lang w:val="en-US"/>
        </w:rPr>
      </w:pPr>
      <w:r>
        <w:rPr>
          <w:lang w:val="en-US"/>
        </w:rPr>
        <w:t>Caniëls, M.C.J. and Gelderman, C.J. (2005), “Purchasing strategies in the Kraljic matrix - A power and dependence perspective”, Journal of Purchasing and Supply Management, Vol. 11 No. 2–3, pp. 141–155, doi: 10.1016/j.pursup.2005.10.004.</w:t>
      </w:r>
    </w:p>
    <w:p w14:paraId="3CEB9BFE" w14:textId="77777777" w:rsidR="00AD548A" w:rsidRDefault="00000000">
      <w:pPr>
        <w:spacing w:line="240" w:lineRule="auto"/>
        <w:rPr>
          <w:lang w:val="en-US"/>
        </w:rPr>
      </w:pPr>
      <w:r>
        <w:rPr>
          <w:lang w:val="en-US"/>
        </w:rPr>
        <w:t>Caniëls, M.C.J. and Gelderman, C.J. (2007), “Power and interdependence in buyer supplier relationships: A purchasing portfolio approach”, Industrial Marketing Management, Vol. 36 No. 2, pp. 219–229, doi: 10.1016/j.indmarman.2005.08.012.</w:t>
      </w:r>
    </w:p>
    <w:p w14:paraId="35CC233C" w14:textId="77777777" w:rsidR="00AD548A" w:rsidRDefault="00000000">
      <w:pPr>
        <w:spacing w:line="240" w:lineRule="auto"/>
        <w:rPr>
          <w:lang w:val="en-US"/>
        </w:rPr>
      </w:pPr>
      <w:r>
        <w:rPr>
          <w:lang w:val="en-US"/>
        </w:rPr>
        <w:t xml:space="preserve">Caniëls, M.C.J., Vos, F.G.S., Schiele, H. and Pulles, N.J. (2018), “The effects of balanced and asymmetric dependence on supplier satisfaction: Identifying positive </w:t>
      </w:r>
      <w:r>
        <w:rPr>
          <w:lang w:val="en-US"/>
        </w:rPr>
        <w:lastRenderedPageBreak/>
        <w:t>effects of dependency”, Journal of Purchasing and Supply Management, Vol. 24 No. 4, pp. 343</w:t>
      </w:r>
      <w:r>
        <w:rPr>
          <w:rFonts w:hint="eastAsia"/>
          <w:lang w:val="en-US"/>
        </w:rPr>
        <w:t>–</w:t>
      </w:r>
      <w:r>
        <w:rPr>
          <w:lang w:val="en-US"/>
        </w:rPr>
        <w:t>351, doi: 10.1016/j.pursup.2017.11.003.</w:t>
      </w:r>
    </w:p>
    <w:p w14:paraId="737084F8" w14:textId="77777777" w:rsidR="00AD548A" w:rsidRDefault="00000000">
      <w:pPr>
        <w:spacing w:line="240" w:lineRule="auto"/>
        <w:rPr>
          <w:lang w:val="en-US"/>
        </w:rPr>
      </w:pPr>
      <w:r>
        <w:rPr>
          <w:lang w:val="en-US"/>
        </w:rPr>
        <w:t>Chae, S., Choi, T.Y. and Hur, D. (2017), “Buyer Power and Supplier Relationship Commitment: A Cognitive Evaluation Theory Perspective”, Journal of Supply Chain Management, Vol. 53 No. 2, pp. 39–60, doi: 10.1111/jscm.12138.</w:t>
      </w:r>
    </w:p>
    <w:p w14:paraId="3EAA0592" w14:textId="77777777" w:rsidR="00AD548A" w:rsidRDefault="00000000">
      <w:pPr>
        <w:spacing w:line="240" w:lineRule="auto"/>
        <w:rPr>
          <w:lang w:val="en-US"/>
        </w:rPr>
      </w:pPr>
      <w:r>
        <w:rPr>
          <w:lang w:val="en-US"/>
        </w:rPr>
        <w:t>Cowan, K., Paswan, A.K. and Van Steenburg, E. (2015), “When inter-firm relationship benefits mitigate power asymmetry”, Industrial Marketing Management, Vol. 48, pp. 140–148, doi: 10.1016/j.indmarman.2015.03.013.</w:t>
      </w:r>
    </w:p>
    <w:p w14:paraId="1BA48609" w14:textId="77777777" w:rsidR="00AD548A" w:rsidRDefault="00000000">
      <w:pPr>
        <w:spacing w:line="240" w:lineRule="auto"/>
        <w:rPr>
          <w:lang w:val="en-US"/>
        </w:rPr>
      </w:pPr>
      <w:r>
        <w:rPr>
          <w:lang w:val="en-US"/>
        </w:rPr>
        <w:t>Cox, A., Watson, G., Lonsdale, C. and Sanderson, J. (2004), “Managing appropriately in power regimes: Relationship and performance management in 12 supply chain cases”, Supply Chain Management, Vol. 9 No. 5, pp. 357–371, doi: 10.1108/13598540410560748.</w:t>
      </w:r>
    </w:p>
    <w:p w14:paraId="11B6D280" w14:textId="77777777" w:rsidR="00AD548A" w:rsidRDefault="00000000">
      <w:pPr>
        <w:spacing w:line="240" w:lineRule="auto"/>
        <w:rPr>
          <w:lang w:val="en-US"/>
        </w:rPr>
      </w:pPr>
      <w:r>
        <w:rPr>
          <w:lang w:val="en-US"/>
        </w:rPr>
        <w:t>Duong, L.N.K. and Chong, J. (2020), “Supply chain collaboration in the presence of disruptions: a literature review”, International Journal of Production Research, Vol. 58 No. 11, pp. 3488–3507, doi: 10.1080/00207543.2020.1712491.</w:t>
      </w:r>
    </w:p>
    <w:p w14:paraId="2DB63A10" w14:textId="77777777" w:rsidR="00AD548A" w:rsidRDefault="00000000">
      <w:pPr>
        <w:spacing w:line="240" w:lineRule="auto"/>
        <w:rPr>
          <w:lang w:val="en-US"/>
        </w:rPr>
      </w:pPr>
      <w:r>
        <w:rPr>
          <w:lang w:val="en-US"/>
        </w:rPr>
        <w:t>Durugbo, C. M., &amp; Al-Balushi, Z. (2024). “Supply chain management in times of crisis: a multi-case study”. Production Planning &amp; Control, Vol. 36 No.11, pp.1529–1557. https://doi.org/10.1080/09537287.2024.2386431</w:t>
      </w:r>
    </w:p>
    <w:p w14:paraId="42DE4F2E" w14:textId="77777777" w:rsidR="00AD548A" w:rsidRDefault="00000000">
      <w:pPr>
        <w:spacing w:line="240" w:lineRule="auto"/>
        <w:rPr>
          <w:lang w:val="en-US"/>
        </w:rPr>
      </w:pPr>
      <w:r>
        <w:rPr>
          <w:lang w:val="en-US"/>
        </w:rPr>
        <w:t>Eisenhardt, K.M. and Graebner, M.E. (2007), “Theory building from cases: Opportunities and challenges”, Academy of Management Journal, Vol. 50 No. 1, pp. 25–32.</w:t>
      </w:r>
    </w:p>
    <w:p w14:paraId="6590699B" w14:textId="77777777" w:rsidR="00AD548A" w:rsidRDefault="00000000">
      <w:pPr>
        <w:spacing w:line="240" w:lineRule="auto"/>
        <w:rPr>
          <w:lang w:val="en-US"/>
        </w:rPr>
      </w:pPr>
      <w:r>
        <w:rPr>
          <w:lang w:val="en-US"/>
        </w:rPr>
        <w:t>Ellegaard, C., Normann, U. and Lidegaard, N. (2022), “Intuitive global sourcing – a study of supplier selection decisions by apparel SMEs”, International Journal of Operations and Production Management, Vol. 42 No. 2, pp. 151–181, doi: 10.1108/IJOPM-03-2021-0205.</w:t>
      </w:r>
    </w:p>
    <w:p w14:paraId="70304D9A" w14:textId="77777777" w:rsidR="00AD548A" w:rsidRDefault="00000000">
      <w:pPr>
        <w:spacing w:line="240" w:lineRule="auto"/>
        <w:rPr>
          <w:lang w:val="en-US"/>
        </w:rPr>
      </w:pPr>
      <w:r>
        <w:rPr>
          <w:lang w:val="en-US"/>
        </w:rPr>
        <w:t>Ferreira de Araújo Lima, P., Crema, M. and Verbano, C. (2020), “Risk management in SMEs: A systematic literature review and future directions”, European Management Journal, Vol. 38 No. 1, pp. 78–94, doi: 10.1016/j.emj.2019.06.005.</w:t>
      </w:r>
    </w:p>
    <w:p w14:paraId="081DF52D" w14:textId="77777777" w:rsidR="00AD548A" w:rsidRDefault="00000000">
      <w:pPr>
        <w:spacing w:line="240" w:lineRule="auto"/>
        <w:rPr>
          <w:lang w:val="en-US"/>
        </w:rPr>
      </w:pPr>
      <w:r>
        <w:rPr>
          <w:lang w:val="en-US"/>
        </w:rPr>
        <w:t>Gioia, D.A., Corley, K.G. and Hamilton, A.L. (2013), “Seeking Qualitative Rigor in Inductive Research: Notes on the Gioia Methodology”, Organizational Research Methods, Vol. 16 No. 1, pp. 15–31, doi: 10.1177/1094428112452151.</w:t>
      </w:r>
    </w:p>
    <w:p w14:paraId="005365F1" w14:textId="77777777" w:rsidR="00AD548A" w:rsidRDefault="00000000">
      <w:pPr>
        <w:spacing w:line="240" w:lineRule="auto"/>
        <w:rPr>
          <w:lang w:val="en-US"/>
        </w:rPr>
      </w:pPr>
      <w:r>
        <w:rPr>
          <w:lang w:val="en-US"/>
        </w:rPr>
        <w:t>Glavee-Geo, R., Engelseth, P. and Buvik, A. (2021), “Power Imbalance and the Dark Side of the Captive Agri-food Supplier–Buyer Relationship”, Journal of Business Ethics, No. 0123456789, doi: 10.1007/s10551-021-04791-7.</w:t>
      </w:r>
    </w:p>
    <w:p w14:paraId="1A7A7092" w14:textId="77777777" w:rsidR="00AD548A" w:rsidRDefault="00000000">
      <w:pPr>
        <w:spacing w:line="240" w:lineRule="auto"/>
        <w:rPr>
          <w:lang w:val="en-US"/>
        </w:rPr>
      </w:pPr>
      <w:r>
        <w:rPr>
          <w:lang w:val="en-US"/>
        </w:rPr>
        <w:t>Gölgeci, I., Murphy, W.H. and Johnston, D.A. (2018), “Power-based behaviors in supply chains and their effects on relational satisfaction: A fresh perspective and directions for research”, European Management Journal, Vol. 36 No. 2, pp. 278–287, doi: 10.1016/j.emj.2017.03.011.</w:t>
      </w:r>
    </w:p>
    <w:p w14:paraId="663D5659" w14:textId="77777777" w:rsidR="00AD548A" w:rsidRDefault="00000000">
      <w:pPr>
        <w:spacing w:line="240" w:lineRule="auto"/>
        <w:rPr>
          <w:lang w:val="en-US"/>
        </w:rPr>
      </w:pPr>
      <w:r>
        <w:rPr>
          <w:lang w:val="en-US"/>
        </w:rPr>
        <w:t>Gruchmann, T. (2022), “Theorizing the impact of network characteristics on multitier sustainable supply chain governance: a power perspective”, International Journal of Logistics Management, Vol. 33 No. 5, pp. 170–192, doi: 10.1108/IJLM-08-2021-0429.</w:t>
      </w:r>
    </w:p>
    <w:p w14:paraId="5A267D36" w14:textId="77777777" w:rsidR="00AD548A" w:rsidRDefault="00000000">
      <w:pPr>
        <w:spacing w:line="240" w:lineRule="auto"/>
        <w:rPr>
          <w:lang w:val="en-US"/>
        </w:rPr>
      </w:pPr>
      <w:r>
        <w:rPr>
          <w:lang w:val="en-US"/>
        </w:rPr>
        <w:t xml:space="preserve">Han, Y., Tian, A.Y., Chong, W.K., Yee, A., Chong, L. and Paulraj, A. (2024), </w:t>
      </w:r>
      <w:r>
        <w:rPr>
          <w:lang w:val="en-US"/>
        </w:rPr>
        <w:lastRenderedPageBreak/>
        <w:t>“Navigating supply chain disruptions : a purchasing portfolio matrix analysis of Chinese manufacturing SMEs in the context of COVID-19”, International Journal of Operations &amp; Production Management, Vol. 44 No. 7, pp. 1324–1353, doi: 10.1108/IJOPM-03-2023-0190.</w:t>
      </w:r>
    </w:p>
    <w:p w14:paraId="119E6DB7" w14:textId="77777777" w:rsidR="00AD548A" w:rsidRDefault="00000000">
      <w:pPr>
        <w:spacing w:line="240" w:lineRule="auto"/>
        <w:rPr>
          <w:lang w:val="en-US"/>
        </w:rPr>
      </w:pPr>
      <w:r>
        <w:rPr>
          <w:lang w:val="en-US"/>
        </w:rPr>
        <w:t>Handley, S.M. and Benton, W.C. (2012), “The influence of exchange hazards and power on opportunism in outsourcing relationships”, Journal of Operations Management, Vol. 30 No. 1–2, pp. 55–68, doi: 10.1016/j.jom.2011.06.001.</w:t>
      </w:r>
    </w:p>
    <w:p w14:paraId="05E3CAF1" w14:textId="77777777" w:rsidR="00AD548A" w:rsidRDefault="00000000">
      <w:pPr>
        <w:spacing w:line="240" w:lineRule="auto"/>
        <w:rPr>
          <w:lang w:val="en-US"/>
        </w:rPr>
      </w:pPr>
      <w:r>
        <w:rPr>
          <w:lang w:val="en-US"/>
        </w:rPr>
        <w:t>Hawkins, T.G., Wittmann, C.M. and Beyerlein, M.M. (2008), “Antecedents and consequences of opportunism in buyer-supplier relations: Research synthesis and new frontiers”, Industrial Marketing Management, Elsevier Inc., Vol. 37 No. 8, pp. 895–909, doi: 10.1016/j.indmarman.2007.05.005.</w:t>
      </w:r>
    </w:p>
    <w:p w14:paraId="0EED41A4" w14:textId="77777777" w:rsidR="00AD548A" w:rsidRDefault="00000000">
      <w:pPr>
        <w:spacing w:line="240" w:lineRule="auto"/>
        <w:rPr>
          <w:lang w:val="en-US"/>
        </w:rPr>
      </w:pPr>
      <w:r>
        <w:rPr>
          <w:lang w:val="en-US"/>
        </w:rPr>
        <w:t>Hermanowicz, J.C. (2013), “The Longitudinal Qualitative Interview”, Qualitative Sociology, Vol. 36 No. 2, pp. 189–208, doi: 10.1007/s11133-013-9247-7.</w:t>
      </w:r>
    </w:p>
    <w:p w14:paraId="3EFBEBFF" w14:textId="77777777" w:rsidR="00AD548A" w:rsidRDefault="00000000">
      <w:pPr>
        <w:spacing w:line="240" w:lineRule="auto"/>
        <w:rPr>
          <w:lang w:val="en-US"/>
        </w:rPr>
      </w:pPr>
      <w:r>
        <w:rPr>
          <w:lang w:val="en-US"/>
        </w:rPr>
        <w:t>van Hoek, R. and Dobrzykowski, D. (2021), “Towards more balanced sourcing strategies – are supply chain risks caused by the COVID-19 pandemic driving reshoring considerations?”, Supply Chain Management, Vol. 26 No. 6, pp. 689–701, doi: 10.1108/SCM-09-2020-0498.</w:t>
      </w:r>
    </w:p>
    <w:p w14:paraId="6199710C" w14:textId="77777777" w:rsidR="00AD548A" w:rsidRDefault="00000000">
      <w:pPr>
        <w:spacing w:line="240" w:lineRule="auto"/>
        <w:rPr>
          <w:lang w:val="en-US"/>
        </w:rPr>
      </w:pPr>
      <w:r>
        <w:rPr>
          <w:lang w:val="en-US"/>
        </w:rPr>
        <w:t>Hosseini, S., Ivanov, D. and Dolgui, A. (2019), “Review of quantitative methods for supply chain resilience analysis”, Transportation Research Part E: Logistics and Transportation Review, Vol. 125 No. February, pp. 285–307, doi: 10.1016/j.tre.2019.03.001.</w:t>
      </w:r>
    </w:p>
    <w:p w14:paraId="5692CA46" w14:textId="77777777" w:rsidR="00AD548A" w:rsidRDefault="00000000">
      <w:pPr>
        <w:spacing w:line="240" w:lineRule="auto"/>
        <w:rPr>
          <w:lang w:val="en-US"/>
        </w:rPr>
      </w:pPr>
      <w:r>
        <w:rPr>
          <w:lang w:val="en-US"/>
        </w:rPr>
        <w:t>Huang, Y.-C., Yang, M.-L. and Wong, Y.-J. (2016), “Institutional pressures, resources commitment, and returns management”, Supply Chain Management: An International Journal, Vol. 21 No. 3, pp. 398–416, doi: 10.1108/SCM-04-2015-0144.</w:t>
      </w:r>
    </w:p>
    <w:p w14:paraId="5866D55E" w14:textId="77777777" w:rsidR="00AD548A" w:rsidRDefault="00000000">
      <w:pPr>
        <w:spacing w:line="240" w:lineRule="auto"/>
        <w:rPr>
          <w:lang w:val="en-US"/>
        </w:rPr>
      </w:pPr>
      <w:r>
        <w:rPr>
          <w:lang w:val="en-US"/>
        </w:rPr>
        <w:t>Huo, B., Flynn, B.B. and Zhao, X. (2017), “Supply Chain Power Configurations and Their Relationship with Performance”, Journal of Supply Chain Management, Vol. 53 No. 2, pp. 88–111, doi: 10.1111/jscm.12139.</w:t>
      </w:r>
    </w:p>
    <w:p w14:paraId="7C144D3D" w14:textId="77777777" w:rsidR="00AD548A" w:rsidRDefault="00000000">
      <w:pPr>
        <w:spacing w:line="240" w:lineRule="auto"/>
        <w:rPr>
          <w:lang w:val="en-US"/>
        </w:rPr>
      </w:pPr>
      <w:r>
        <w:rPr>
          <w:lang w:val="en-US"/>
        </w:rPr>
        <w:t>Huo, B., Fu, D., Zhao, X. and Zhu, J. (2016), “Curbing opportunism in logistics outsourcing relationships: The role of relational norms and contract”, International Journal of Production Economics, Vol. 182, pp. 293–303, doi: 10.1016/j.ijpe.2016.07.005.</w:t>
      </w:r>
    </w:p>
    <w:p w14:paraId="31E4120D" w14:textId="77777777" w:rsidR="00AD548A" w:rsidRDefault="00000000">
      <w:pPr>
        <w:spacing w:line="240" w:lineRule="auto"/>
        <w:rPr>
          <w:lang w:val="en-US"/>
        </w:rPr>
      </w:pPr>
      <w:r>
        <w:rPr>
          <w:lang w:val="en-US"/>
        </w:rPr>
        <w:t>Huo, B., Wang, Q., Zhao, X. and Schuh, S. (2016), “Threats and benefits of power discrepancies between organisations : a supply chain perspective”, International Journal of Production Research, Vol. 54 No. 13, pp. 3870–3884, doi: 10.1080/00207543.2016.1159744.</w:t>
      </w:r>
    </w:p>
    <w:p w14:paraId="15953DFD" w14:textId="77777777" w:rsidR="00AD548A" w:rsidRDefault="00000000">
      <w:pPr>
        <w:spacing w:line="240" w:lineRule="auto"/>
        <w:rPr>
          <w:lang w:val="en-US"/>
        </w:rPr>
      </w:pPr>
      <w:r>
        <w:rPr>
          <w:lang w:val="en-US"/>
        </w:rPr>
        <w:t>Isabel, M., Bravo, R., Ruiz, A. and Francisco, L.-M. (2016), “Supply network-enabled innovations . An analysis based on dependence and complementarity of capabilities”, Supply Chain Management: An International Journal, Vol. 21 No. 5, pp. 627–641, doi: 10.1108/SCM-02-2016-0062.</w:t>
      </w:r>
    </w:p>
    <w:p w14:paraId="1977CE68" w14:textId="77777777" w:rsidR="00AD548A" w:rsidRDefault="00000000">
      <w:pPr>
        <w:spacing w:line="240" w:lineRule="auto"/>
        <w:rPr>
          <w:lang w:val="en-US"/>
        </w:rPr>
      </w:pPr>
      <w:r>
        <w:rPr>
          <w:lang w:val="en-US"/>
        </w:rPr>
        <w:t>Ismail, H.S., Poolton, J. and Sharifi, H. (2011), “The role of agile strategic capabilities in achieving resilience in manufacturing-based small companies”, International Journal of Production Research, Vol. 49 No. 18, pp. 5469–5487, doi: 10.1080/00207543.2011.563833.</w:t>
      </w:r>
    </w:p>
    <w:p w14:paraId="243627CD" w14:textId="77777777" w:rsidR="00AD548A" w:rsidRDefault="00000000">
      <w:pPr>
        <w:spacing w:line="240" w:lineRule="auto"/>
        <w:rPr>
          <w:lang w:val="en-US"/>
        </w:rPr>
      </w:pPr>
      <w:r>
        <w:rPr>
          <w:lang w:val="en-US"/>
        </w:rPr>
        <w:t xml:space="preserve">Ivanov, D., &amp; Dolgui, A. (2020). A digital supply chain twin for managing the </w:t>
      </w:r>
      <w:r>
        <w:rPr>
          <w:lang w:val="en-US"/>
        </w:rPr>
        <w:lastRenderedPageBreak/>
        <w:t>disruption risks and resilience in the era of Industry 4.0. Production Planning &amp; Control, Vol. 32 No. 9, pp. 775–788. https://doi.org/10.1080/09537287.2020.1768450</w:t>
      </w:r>
    </w:p>
    <w:p w14:paraId="4CA1A9E8" w14:textId="77777777" w:rsidR="00AD548A" w:rsidRDefault="00000000">
      <w:pPr>
        <w:spacing w:line="240" w:lineRule="auto"/>
        <w:rPr>
          <w:lang w:val="en-US"/>
        </w:rPr>
      </w:pPr>
      <w:r>
        <w:rPr>
          <w:lang w:val="en-US"/>
        </w:rPr>
        <w:t>Jazairy, A. and von Haartman, R. (2020), “Analysing the institutional pressures on shippers and logistics service providers to implement green supply chain management practices”, International Journal of Logistics Research and Applications, Vol. 23 No. 1, pp. 44–84, doi: 10.1080/13675567.2019.1584163.</w:t>
      </w:r>
    </w:p>
    <w:p w14:paraId="70FFF93A" w14:textId="77777777" w:rsidR="00AD548A" w:rsidRDefault="00000000">
      <w:pPr>
        <w:spacing w:line="240" w:lineRule="auto"/>
        <w:rPr>
          <w:lang w:val="en-US"/>
        </w:rPr>
      </w:pPr>
      <w:r>
        <w:rPr>
          <w:lang w:val="en-US"/>
        </w:rPr>
        <w:t>Jünge, G., Alfnes, E., Nujen, B., Emblemsvag, J., &amp; Kjersem, K. (2021). Understanding and eliminating waste in Engineer-To-Order (ETO) projects: a multiple case study. Production Planning &amp; Control, Vol.34 No.3, pp.225–241. https://doi.org/10.1080/09537287.2021.1903279</w:t>
      </w:r>
    </w:p>
    <w:p w14:paraId="27091F02" w14:textId="77777777" w:rsidR="00AD548A" w:rsidRDefault="00000000">
      <w:pPr>
        <w:spacing w:line="240" w:lineRule="auto"/>
        <w:rPr>
          <w:lang w:val="en-US"/>
        </w:rPr>
      </w:pPr>
      <w:r>
        <w:rPr>
          <w:lang w:val="en-US"/>
        </w:rPr>
        <w:t>Jia, Y., Wang, T., Xiao, K. and Guo, C. (2020), “How to reduce opportunism through contractual governance in the cross-cultural supply chain context: Evidence from Chinese exporters”, Industrial Marketing Management, Vol. 91 No. 2020, pp. 323–337, doi: 10.1016/j.indmarman.2020.09.014.</w:t>
      </w:r>
    </w:p>
    <w:p w14:paraId="23F749CC" w14:textId="77777777" w:rsidR="00AD548A" w:rsidRDefault="00000000">
      <w:pPr>
        <w:spacing w:line="240" w:lineRule="auto"/>
        <w:rPr>
          <w:lang w:val="en-US"/>
        </w:rPr>
      </w:pPr>
      <w:r>
        <w:rPr>
          <w:lang w:val="en-US"/>
        </w:rPr>
        <w:t>Kauppi, K. (2013), “Extending the use of institutional theory in operations and supply chain management research: Review and research suggestions”, International Journal of Operations and Production Management, Vol. 33 No. 10, pp. 1318–1345, doi: 10.1108/IJOPM-10-2011-0364.</w:t>
      </w:r>
    </w:p>
    <w:p w14:paraId="60D6E82E" w14:textId="77777777" w:rsidR="00AD548A" w:rsidRDefault="00000000">
      <w:pPr>
        <w:spacing w:line="240" w:lineRule="auto"/>
        <w:rPr>
          <w:lang w:val="en-US"/>
        </w:rPr>
      </w:pPr>
      <w:r>
        <w:rPr>
          <w:lang w:val="en-US"/>
        </w:rPr>
        <w:t>Kauppi, K. and Hannibal, C. (2017), “Institutional pressures and sustainability assessment in supply chains”, Supply Chain Management, Vol. 22 No. 5, pp. 458–472, doi: 10.1108/SCM-01-2017-0004.</w:t>
      </w:r>
    </w:p>
    <w:p w14:paraId="2F961B15" w14:textId="77777777" w:rsidR="00AD548A" w:rsidRDefault="00000000">
      <w:pPr>
        <w:spacing w:line="240" w:lineRule="auto"/>
        <w:rPr>
          <w:lang w:val="en-US"/>
        </w:rPr>
      </w:pPr>
      <w:r>
        <w:rPr>
          <w:lang w:val="en-US"/>
        </w:rPr>
        <w:t>Kauppi, K. and Luzzini, D. (2022), “Measuring institutional pressures in a supply chain context: scale development and testing”, Supply Chain Management, Vol. 27 No. 7, pp. 79–107, doi: 10.1108/SCM-04-2021-0169.</w:t>
      </w:r>
    </w:p>
    <w:p w14:paraId="2C99BD76" w14:textId="77777777" w:rsidR="00AD548A" w:rsidRDefault="00000000">
      <w:pPr>
        <w:spacing w:line="240" w:lineRule="auto"/>
        <w:rPr>
          <w:lang w:val="en-US"/>
        </w:rPr>
      </w:pPr>
      <w:r>
        <w:rPr>
          <w:lang w:val="en-US"/>
        </w:rPr>
        <w:t>Ketokivi, M. and Choi, T. (2014), “Renaissance of case research as a scientific method”, Journal of Operations Management, Vol. 32 No. 5, pp. 232–240, doi: 10.1016/j.jom.2014.03.004.</w:t>
      </w:r>
    </w:p>
    <w:p w14:paraId="210620A0" w14:textId="77777777" w:rsidR="00AD548A" w:rsidRDefault="00000000">
      <w:pPr>
        <w:spacing w:line="240" w:lineRule="auto"/>
        <w:rPr>
          <w:lang w:val="en-US"/>
        </w:rPr>
      </w:pPr>
      <w:r>
        <w:rPr>
          <w:lang w:val="en-US"/>
        </w:rPr>
        <w:t>Kinra, A. and Kotzab, H. (2008), “A macro-institutional perspective on supply chain environmental complexity”, International Journal of Production Economics, Vol. 115 No. 2, pp. 283–295, doi: 10.1016/j.ijpe.2008.05.010.</w:t>
      </w:r>
    </w:p>
    <w:p w14:paraId="031E5BEB" w14:textId="77777777" w:rsidR="00AD548A" w:rsidRDefault="00000000">
      <w:pPr>
        <w:spacing w:line="240" w:lineRule="auto"/>
        <w:rPr>
          <w:lang w:val="en-US"/>
        </w:rPr>
      </w:pPr>
      <w:r>
        <w:rPr>
          <w:lang w:val="en-US"/>
        </w:rPr>
        <w:t>Lacoste, S. and Johnsen, R.E. (2015), “Supplier-customer relationships: A case study of power dynamics”, Journal of Purchasing and Supply Management, Vol. 21 No. 4, pp. 229–240, doi: 10.1016/j.pursup.2014.12.006.</w:t>
      </w:r>
    </w:p>
    <w:p w14:paraId="3EB8E5EB" w14:textId="77777777" w:rsidR="00AD548A" w:rsidRDefault="00000000">
      <w:pPr>
        <w:spacing w:line="240" w:lineRule="auto"/>
        <w:rPr>
          <w:lang w:val="en-US"/>
        </w:rPr>
      </w:pPr>
      <w:r>
        <w:rPr>
          <w:lang w:val="en-US"/>
        </w:rPr>
        <w:t>Lumineau, F. and Oliveira, N. (2020), “Reinvigorating the Study of Opportunism in Supply Chain Management”, Journal of Supply Chain Management, Vol. 56 No. 1, pp. 73–87, doi: 10.1111/jscm.12215.</w:t>
      </w:r>
    </w:p>
    <w:p w14:paraId="56592DE8" w14:textId="77777777" w:rsidR="00AD548A" w:rsidRDefault="00000000">
      <w:pPr>
        <w:spacing w:line="240" w:lineRule="auto"/>
        <w:rPr>
          <w:lang w:val="en-US"/>
        </w:rPr>
      </w:pPr>
      <w:r>
        <w:rPr>
          <w:lang w:val="en-US"/>
        </w:rPr>
        <w:t>Loi, K. I., Weng S. L., and Fernando L. (2021), “Understanding the Reactions of Government and Gaming Concessionaires on COVID-19 through the Neo-Institutional Theory – The Case of Macao.” International Journal of Hospitality Management Vol.94 No2021 pp.102755. doi:10.1016/j.ijhm.2020.102755.</w:t>
      </w:r>
    </w:p>
    <w:p w14:paraId="3642FD57" w14:textId="77777777" w:rsidR="00AD548A" w:rsidRDefault="00000000">
      <w:pPr>
        <w:spacing w:line="240" w:lineRule="auto"/>
        <w:rPr>
          <w:lang w:val="en-US"/>
        </w:rPr>
      </w:pPr>
      <w:r>
        <w:rPr>
          <w:lang w:val="en-US"/>
        </w:rPr>
        <w:t>Mani V, Durach CF, Wiengarten F. (2025), "Relationships in buyer-supplier-supplier triads: implications for supplier performance". International Journal of Operations &amp; Production Management, Vol. 45 No. 10 pp. 1753–1777, doi: https://doi.org/10.1108/IJOPM-02-2024-0161</w:t>
      </w:r>
    </w:p>
    <w:p w14:paraId="42FDC733" w14:textId="77777777" w:rsidR="00AD548A" w:rsidRDefault="00000000">
      <w:pPr>
        <w:spacing w:line="240" w:lineRule="auto"/>
        <w:rPr>
          <w:lang w:val="en-US"/>
        </w:rPr>
      </w:pPr>
      <w:r>
        <w:rPr>
          <w:lang w:val="en-US"/>
        </w:rPr>
        <w:lastRenderedPageBreak/>
        <w:t>Wellalage, N., Krishna R., and Damien W. (2023), “Environmental Performance and the Role of Government Support: Evidence from the Recent COVID-19 Pandemic.” Finance Research Letters Vol.58 No.2023 pp.104318. doi:10.1016/j.frl.2023.104318.</w:t>
      </w:r>
    </w:p>
    <w:p w14:paraId="1CCFCC24" w14:textId="77777777" w:rsidR="00AD548A" w:rsidRDefault="00000000">
      <w:pPr>
        <w:spacing w:line="240" w:lineRule="auto"/>
        <w:rPr>
          <w:lang w:val="en-US"/>
        </w:rPr>
      </w:pPr>
      <w:r>
        <w:rPr>
          <w:lang w:val="en-US"/>
        </w:rPr>
        <w:t>Maleki, H., Hashem A., Hannan A. M., Demetris V., and Elaheh M. (2023), “Disentangling Sustainability and Resiliency Factors in Buyer-Supplier Relationships: A State-of-the-Art Review.” Journal of Business Research Vol.164 No.2023 pp.114037. doi:10.1016/j.jbusres.2023.114037.</w:t>
      </w:r>
    </w:p>
    <w:p w14:paraId="6AD74808" w14:textId="77777777" w:rsidR="00AD548A" w:rsidRDefault="00000000">
      <w:pPr>
        <w:spacing w:line="240" w:lineRule="auto"/>
        <w:rPr>
          <w:lang w:val="en-US"/>
        </w:rPr>
      </w:pPr>
      <w:r>
        <w:rPr>
          <w:lang w:val="en-US"/>
        </w:rPr>
        <w:t>Ma, K., Pal, R. and Gustafsson, E. (2019), “What modelling research on supply chain collaboration informs us? Identifying key themes and future directions through a literature review”, International Journal of Production Research, Vol. 57 No. 7, pp. 2203–2225, doi: 10.1080/00207543.2018.1535204.</w:t>
      </w:r>
    </w:p>
    <w:p w14:paraId="5FF35BA2" w14:textId="77777777" w:rsidR="00AD548A" w:rsidRDefault="00000000">
      <w:pPr>
        <w:spacing w:line="240" w:lineRule="auto"/>
        <w:rPr>
          <w:lang w:val="en-US"/>
        </w:rPr>
      </w:pPr>
      <w:r>
        <w:rPr>
          <w:lang w:val="en-US"/>
        </w:rPr>
        <w:t>Maglaras, G., Bourlakis, M. and Fotopoulos, C. (2015), “Power-imbalanced relationships in the dyadic food chain: An empirical investigation of retailers’ commercial practices with suppliers”, Industrial Marketing Management, Vol. 48, No. 2015, pp. 187–201, doi: 10.1016/j.indmarman.2015.03.014.</w:t>
      </w:r>
    </w:p>
    <w:p w14:paraId="160F3217" w14:textId="77777777" w:rsidR="00AD548A" w:rsidRDefault="00000000">
      <w:pPr>
        <w:spacing w:line="240" w:lineRule="auto"/>
        <w:rPr>
          <w:lang w:val="en-US"/>
        </w:rPr>
      </w:pPr>
      <w:r>
        <w:rPr>
          <w:lang w:val="en-US"/>
        </w:rPr>
        <w:t>Meehan, J. and Wright, G.H. (2012), “The origins of power in buyer-seller relationships”, Industrial Marketing Management, Vol. 41 No. 4, pp. 669–679, doi: 10.1016/j.indmarman.2011.09.015.</w:t>
      </w:r>
    </w:p>
    <w:p w14:paraId="600166D5" w14:textId="77777777" w:rsidR="00AD548A" w:rsidRDefault="00000000">
      <w:pPr>
        <w:spacing w:line="240" w:lineRule="auto"/>
        <w:rPr>
          <w:lang w:val="en-US"/>
        </w:rPr>
      </w:pPr>
      <w:r>
        <w:rPr>
          <w:lang w:val="en-US"/>
        </w:rPr>
        <w:t>Mitręga, M. (2023), “SME networking capabilities in export markets and contingencies related to power asymmetry and brand assets”, Industrial Marketing Management, Vol. 110 No. 2023, pp. 129–146, doi: 10.1016/j.indmarman.2023.03.001.</w:t>
      </w:r>
    </w:p>
    <w:p w14:paraId="30D2E859" w14:textId="77777777" w:rsidR="00AD548A" w:rsidRDefault="00000000">
      <w:pPr>
        <w:spacing w:line="240" w:lineRule="auto"/>
        <w:rPr>
          <w:lang w:val="en-US"/>
        </w:rPr>
      </w:pPr>
      <w:r>
        <w:rPr>
          <w:lang w:val="en-US"/>
        </w:rPr>
        <w:t>Mitręga, M. and Choi, T.M. (2021), “How small-and-medium transportation companies handle asymmetric customer relationships under COVID-19 pandemic: A multi-method study”, Transportation Research Part E: Logistics and Transportation Review, Vol. 148 No. 2021, doi: 10.1016/j.tre.2021.102249.</w:t>
      </w:r>
    </w:p>
    <w:p w14:paraId="2628788C" w14:textId="77777777" w:rsidR="00AD548A" w:rsidRDefault="00000000">
      <w:pPr>
        <w:spacing w:line="240" w:lineRule="auto"/>
        <w:rPr>
          <w:lang w:val="en-US"/>
        </w:rPr>
      </w:pPr>
      <w:r>
        <w:rPr>
          <w:lang w:val="en-US"/>
        </w:rPr>
        <w:t>Morsy, H.M. (2017), “Buyer-Supplier Relationships and Power Position: Interchanging”, International Journal of Supply and Operations Management, Vol. 4 No. 1, pp. 33–52, doi: 10.22034/2017.1.03.</w:t>
      </w:r>
    </w:p>
    <w:p w14:paraId="79A56102" w14:textId="77777777" w:rsidR="00AD548A" w:rsidRDefault="00000000">
      <w:pPr>
        <w:spacing w:line="240" w:lineRule="auto"/>
        <w:rPr>
          <w:lang w:val="en-US"/>
        </w:rPr>
      </w:pPr>
      <w:r>
        <w:rPr>
          <w:lang w:val="en-US"/>
        </w:rPr>
        <w:t>Nguyen, H., Anh V. P., Man D. P., and Mia H. P. (2023), “Business Resilience: Lessons from Government Responses to the Global COVID-19 Crisis.” International Business Review Vol.32 No.2023 pp.102166. doi:10.1016/j.ibusrev.2023.102166.</w:t>
      </w:r>
    </w:p>
    <w:p w14:paraId="588774DF" w14:textId="77777777" w:rsidR="00AD548A" w:rsidRDefault="00000000">
      <w:pPr>
        <w:spacing w:line="240" w:lineRule="auto"/>
        <w:rPr>
          <w:lang w:val="en-US"/>
        </w:rPr>
      </w:pPr>
      <w:r>
        <w:rPr>
          <w:lang w:val="en-US"/>
        </w:rPr>
        <w:t>Nyaga, G.N., Lynch, D.F., Marshall, D. and Ambrose, E. (2013), “Power asymmetry, adaptation and collaboration in dyadic relationships involving a powerful partner”, Journal of Supply Chain Management, Vol. 49 No. 3, pp. 42–65, doi: 10.1111/jscm.12011.</w:t>
      </w:r>
    </w:p>
    <w:p w14:paraId="5F9B859F" w14:textId="77777777" w:rsidR="00AD548A" w:rsidRDefault="00000000">
      <w:pPr>
        <w:spacing w:line="240" w:lineRule="auto"/>
        <w:rPr>
          <w:lang w:val="en-US"/>
        </w:rPr>
      </w:pPr>
      <w:r>
        <w:rPr>
          <w:lang w:val="en-US"/>
        </w:rPr>
        <w:t>Onjewu, A. K. E., Femi O., Richard B. be isan N., Salima P., and Ha T. T. N. (2023). “The Effect of Government Support on Bureaucracy, COVID-19 Resilience and Export Intensity: Evidence from North Africa.” Journal of Business Research Vol.156 No.2023 pp.113468. doi:10.1016/j.jbusres.2022.113468.</w:t>
      </w:r>
    </w:p>
    <w:p w14:paraId="6C621334" w14:textId="77777777" w:rsidR="00AD548A" w:rsidRDefault="00000000">
      <w:pPr>
        <w:spacing w:line="240" w:lineRule="auto"/>
        <w:rPr>
          <w:lang w:val="en-US"/>
        </w:rPr>
      </w:pPr>
      <w:r>
        <w:rPr>
          <w:lang w:val="en-US"/>
        </w:rPr>
        <w:t>Piekkari, R., Plakoyiannaki, E. and Welch, C. (2010), “‘Good’ case research in industrial marketing: Insights from research practice”, Industrial Marketing Management, Vol. 39 No. 1, pp. 109–117, doi: 10.1016/J.INDMARMAN.2008.04.017.</w:t>
      </w:r>
    </w:p>
    <w:p w14:paraId="0987A80E" w14:textId="77777777" w:rsidR="00AD548A" w:rsidRDefault="00000000">
      <w:pPr>
        <w:spacing w:line="240" w:lineRule="auto"/>
        <w:rPr>
          <w:lang w:val="en-US"/>
        </w:rPr>
      </w:pPr>
      <w:r>
        <w:rPr>
          <w:lang w:val="en-US"/>
        </w:rPr>
        <w:t xml:space="preserve">Prosman, E.-J., Scholten, K. and Power, D. (2016), “Dealing with defaulting suppliers using behavioral based governance methods: an agency theory perspective”, </w:t>
      </w:r>
      <w:r>
        <w:rPr>
          <w:lang w:val="en-US"/>
        </w:rPr>
        <w:lastRenderedPageBreak/>
        <w:t>Supply Chain Management: An International Journal, Vol. 21 No. 4, pp. 499–511, doi: 10.1108/SCM-08-2015-0299.</w:t>
      </w:r>
    </w:p>
    <w:p w14:paraId="3446E5CC" w14:textId="77777777" w:rsidR="00AD548A" w:rsidRDefault="00000000">
      <w:pPr>
        <w:spacing w:line="240" w:lineRule="auto"/>
        <w:rPr>
          <w:lang w:val="en-US"/>
        </w:rPr>
      </w:pPr>
      <w:r>
        <w:rPr>
          <w:lang w:val="en-US"/>
        </w:rPr>
        <w:t>Randall, W.S. and Mello, J.E. (2012), “Grounded theory: An inductive method for supply chain research”, International Journal of Physical Distribution and Logistics Management, Vol. 42 No. 8, pp. 863–880, doi: 10.1108/09600031211269794.</w:t>
      </w:r>
    </w:p>
    <w:p w14:paraId="1EEA8C3E" w14:textId="77777777" w:rsidR="00AD548A" w:rsidRDefault="00000000">
      <w:pPr>
        <w:spacing w:line="240" w:lineRule="auto"/>
        <w:rPr>
          <w:lang w:val="en-US"/>
        </w:rPr>
      </w:pPr>
      <w:r>
        <w:rPr>
          <w:lang w:val="en-US"/>
        </w:rPr>
        <w:t>Rehme, J., Nordigården, D., Ellström, D. and Chicksand, D. (2016), “Power in distribution channels - Supplier assortment strategy for balancing power”, Industrial Marketing Management, Vol. 54, No. 2016, pp. 176–187, doi: 10.1016/j.indmarman.2015.07.007.</w:t>
      </w:r>
    </w:p>
    <w:p w14:paraId="2712E4CA" w14:textId="77777777" w:rsidR="00AD548A" w:rsidRDefault="00000000">
      <w:pPr>
        <w:spacing w:line="240" w:lineRule="auto"/>
        <w:rPr>
          <w:lang w:val="en-US"/>
        </w:rPr>
      </w:pPr>
      <w:r>
        <w:rPr>
          <w:lang w:val="en-US"/>
        </w:rPr>
        <w:t>Reimann, F. and Ketchen, D.J. (2017), “Power in Supply Chain Management”, Journal of Supply Chain Management, Vol. 53 No. 2, pp. 3–9, doi: 10.1111/jscm.12140.</w:t>
      </w:r>
    </w:p>
    <w:p w14:paraId="1ADFF10D" w14:textId="77777777" w:rsidR="00AD548A" w:rsidRDefault="00000000">
      <w:pPr>
        <w:spacing w:line="240" w:lineRule="auto"/>
        <w:rPr>
          <w:lang w:val="en-US"/>
        </w:rPr>
      </w:pPr>
      <w:r>
        <w:rPr>
          <w:lang w:val="en-US"/>
        </w:rPr>
        <w:t>Remko, van H. (2020), “Research opportunities for a more resilient post-COVID-19 supply chain – closing the gap between research findings and industry practice”, International Journal of Operations and Production Management, Vol. 40 No. 4, pp. 341–355, doi: 10.1108/IJOPM-03-2020-0165.</w:t>
      </w:r>
    </w:p>
    <w:p w14:paraId="1C2F4722" w14:textId="77777777" w:rsidR="00AD548A" w:rsidRDefault="00000000">
      <w:pPr>
        <w:spacing w:line="240" w:lineRule="auto"/>
        <w:rPr>
          <w:lang w:val="en-US"/>
        </w:rPr>
      </w:pPr>
      <w:r>
        <w:rPr>
          <w:lang w:val="en-US"/>
        </w:rPr>
        <w:t>Roscoe, S., Aktas, E., Petersen, K.J., Skipworth, H.D., Handfield, R.B. and Habib, F. (2022), “Redesigning global supply chains during compounding geopolitical disruptions: the role of supply chain logics”, International Journal of Operations and Production Management, Vol. 42 No. 9, pp. 1407–1434, doi: 10.1108/IJOPM-12-2021-0777.</w:t>
      </w:r>
    </w:p>
    <w:p w14:paraId="5CC89ACC" w14:textId="77777777" w:rsidR="00AD548A" w:rsidRDefault="00000000">
      <w:pPr>
        <w:spacing w:line="240" w:lineRule="auto"/>
        <w:rPr>
          <w:lang w:val="en-US"/>
        </w:rPr>
      </w:pPr>
      <w:r>
        <w:rPr>
          <w:lang w:val="en-US"/>
        </w:rPr>
        <w:t>Sahin, K. and Mert, K. (2023), “Institutional theory in international business studies: the period of period of 1990–2018”, International Journal of Organizational Analysis, Vol. 31 No. 5, pp. 1957–1986, doi: 10.1108/IJOA-09-2021-2945.</w:t>
      </w:r>
    </w:p>
    <w:p w14:paraId="16E76DD6" w14:textId="77777777" w:rsidR="00AD548A" w:rsidRDefault="00000000">
      <w:pPr>
        <w:spacing w:line="240" w:lineRule="auto"/>
        <w:rPr>
          <w:lang w:val="en-US"/>
        </w:rPr>
      </w:pPr>
      <w:r>
        <w:rPr>
          <w:lang w:val="en-US"/>
        </w:rPr>
        <w:t>Sahu, A.K., M, P. and Rao, K.T.V. (2022), “Post-COVID-19 strategic sourcing decisions for escorting stakeholders’ expectations and supplier performance in construction project works”, Journal of Global Operations and Strategic Sourcing, Vol. 16 No.2, pp. 224-257. doi: 10.1108/JGOSS-02-2022-0011.</w:t>
      </w:r>
    </w:p>
    <w:p w14:paraId="476D6988" w14:textId="77777777" w:rsidR="00AD548A" w:rsidRDefault="00000000">
      <w:pPr>
        <w:spacing w:line="240" w:lineRule="auto"/>
        <w:rPr>
          <w:lang w:val="en-US"/>
        </w:rPr>
      </w:pPr>
      <w:r>
        <w:rPr>
          <w:lang w:val="en-US"/>
        </w:rPr>
        <w:t>Scholten, K. and Schilder, S. (2015), “The role of collaboration in supply chain resilience”, Supply Chain Management, Vol. 20 No. 4, pp. 471–484, doi: 10.1108/SCM-11-2014-0386.</w:t>
      </w:r>
    </w:p>
    <w:p w14:paraId="4B76687D" w14:textId="77777777" w:rsidR="00AD548A" w:rsidRDefault="00000000">
      <w:pPr>
        <w:spacing w:line="240" w:lineRule="auto"/>
        <w:rPr>
          <w:lang w:val="en-US"/>
        </w:rPr>
      </w:pPr>
      <w:r>
        <w:rPr>
          <w:lang w:val="en-US"/>
        </w:rPr>
        <w:t>Siemieniako, D., Hannu M., and Maciej M. (2023), “Buying Center-Selling Center Interaction as a Driver for Power Dynamics in Buyer-Supplier Relationships.” Industrial Marketing Management Vol.114 No.2023 pp.94–109. doi:10.1016/j.indmarman.2023.08.007.</w:t>
      </w:r>
    </w:p>
    <w:p w14:paraId="18935456" w14:textId="77777777" w:rsidR="00AD548A" w:rsidRDefault="00000000">
      <w:pPr>
        <w:spacing w:line="240" w:lineRule="auto"/>
        <w:rPr>
          <w:lang w:val="en-US"/>
        </w:rPr>
      </w:pPr>
      <w:r>
        <w:rPr>
          <w:lang w:val="en-US"/>
        </w:rPr>
        <w:t>Siemieniako, D., Hannu M., Piotr K., and Heikki K. (2025), “Empowering Value Co-Creation: Product and Technology Development in Power Asymmetric Buyer-Supplier Relationships from the Perspective of a Weaker Supplier.” Industrial Marketing Management Vol.124 No.2025 pp.128–149. doi:10.1016/j.indmarman.2024.11.008.</w:t>
      </w:r>
    </w:p>
    <w:p w14:paraId="6717214F" w14:textId="77777777" w:rsidR="00AD548A" w:rsidRDefault="00000000">
      <w:pPr>
        <w:spacing w:line="240" w:lineRule="auto"/>
        <w:rPr>
          <w:lang w:val="en-US"/>
        </w:rPr>
      </w:pPr>
      <w:r>
        <w:rPr>
          <w:lang w:val="en-US"/>
        </w:rPr>
        <w:t>Siemieniako, D. and Mitręga, M. (2018), “Improving power position with regard to non-mediated power sources – The supplier’s perspective”, Industrial Marketing Management, Vol. 70 No. 2018, pp. 90–100, doi: 10.1016/j.indmarman.2017.08.013.</w:t>
      </w:r>
    </w:p>
    <w:p w14:paraId="7D65CB22" w14:textId="77777777" w:rsidR="00AD548A" w:rsidRDefault="00000000">
      <w:pPr>
        <w:spacing w:line="240" w:lineRule="auto"/>
        <w:rPr>
          <w:lang w:val="en-US"/>
        </w:rPr>
      </w:pPr>
      <w:r>
        <w:rPr>
          <w:lang w:val="en-US"/>
        </w:rPr>
        <w:t xml:space="preserve">Singh, P.J., Bhattacharya, A. and Nand, A.A. (2024), “Impact of relational norms on performance: interaction between solidarity, power and flexibility in buyer-supplier </w:t>
      </w:r>
      <w:r>
        <w:rPr>
          <w:lang w:val="en-US"/>
        </w:rPr>
        <w:lastRenderedPageBreak/>
        <w:t>relationships”, Production Planning and Control, Vol.36 No.12, pp.1623-1636, , doi: 10.1080/09537287.2024.2389894.</w:t>
      </w:r>
    </w:p>
    <w:p w14:paraId="452EC5B9" w14:textId="77777777" w:rsidR="00AD548A" w:rsidRDefault="00000000">
      <w:pPr>
        <w:spacing w:line="240" w:lineRule="auto"/>
        <w:rPr>
          <w:lang w:val="en-US"/>
        </w:rPr>
      </w:pPr>
      <w:r>
        <w:rPr>
          <w:lang w:val="en-US"/>
        </w:rPr>
        <w:t>Sinha, R. and Stothard, C. (2020), “Power asymmetry, egalitarianism and team learning – part II: empirical examination of the moderating role of environmental hardship”, Learning Organization, Vol. 28 No. 1, pp. 46–58, doi: 10.1108/TLO-06-2020-0115.</w:t>
      </w:r>
    </w:p>
    <w:p w14:paraId="2E64131D" w14:textId="77777777" w:rsidR="00AD548A" w:rsidRDefault="00000000">
      <w:pPr>
        <w:spacing w:line="240" w:lineRule="auto"/>
        <w:rPr>
          <w:lang w:val="en-US"/>
        </w:rPr>
      </w:pPr>
      <w:r>
        <w:rPr>
          <w:lang w:val="en-US"/>
        </w:rPr>
        <w:t>Su, F., Khan, Z., Kyu Lew, Y., Il Park, B. and Shafi Choksy, U. (2020), “Internationalization of Chinese SMEs: The role of networks and global value chains”, BRQ Business Research Quarterly, Vol. 23 No. 2, pp. 141–158, doi: 10.1177/2340944420916339.</w:t>
      </w:r>
    </w:p>
    <w:p w14:paraId="503E0F42" w14:textId="77777777" w:rsidR="00AD548A" w:rsidRDefault="00000000">
      <w:pPr>
        <w:spacing w:line="240" w:lineRule="auto"/>
        <w:rPr>
          <w:lang w:val="en-US"/>
        </w:rPr>
      </w:pPr>
      <w:r>
        <w:rPr>
          <w:lang w:val="en-US"/>
        </w:rPr>
        <w:t>Taylor, P., Wang, Z., Huo, B. and Tian, Y. (2015), “Effects of external uncertainties and power on opportunism in supply chains: evidence from China”, International Journal of Production Research, Vol. 53 No. 20, pp. 6294–6307, doi: 10.1080/00207543.2015.1053578.</w:t>
      </w:r>
    </w:p>
    <w:p w14:paraId="77DC3B01" w14:textId="77777777" w:rsidR="00AD548A" w:rsidRDefault="00000000">
      <w:pPr>
        <w:spacing w:line="240" w:lineRule="auto"/>
        <w:rPr>
          <w:lang w:val="en-US"/>
        </w:rPr>
      </w:pPr>
      <w:r>
        <w:rPr>
          <w:lang w:val="en-US"/>
        </w:rPr>
        <w:t>Terpend, R. and Ashenbaum, B. (2012), “The Intersection of Power, Trust and Supplier Network Size: Implications for Supplier Performance”, Journal of Supply Chain Management, Vol. 48 No. 3, pp. 52–77, doi: 10.1111/j.1745-493X.2011.03261.x.</w:t>
      </w:r>
    </w:p>
    <w:p w14:paraId="56D08202" w14:textId="77777777" w:rsidR="00AD548A" w:rsidRDefault="00000000">
      <w:pPr>
        <w:spacing w:line="240" w:lineRule="auto"/>
        <w:rPr>
          <w:lang w:val="en-US"/>
        </w:rPr>
      </w:pPr>
      <w:r>
        <w:rPr>
          <w:lang w:val="en-US"/>
        </w:rPr>
        <w:t>Thoradeniya, P., Lee, J. and Tan, R. (2022), “From intention to action on sustainability reporting : The role of individual , organisational and institutional factors during war and post-war periods”, Vol. 51 No.1 , pp. 1–20, doi: 10.1016/j.bar.2021.101021.</w:t>
      </w:r>
    </w:p>
    <w:p w14:paraId="18186F41" w14:textId="77777777" w:rsidR="00AD548A" w:rsidRDefault="00000000">
      <w:pPr>
        <w:spacing w:line="240" w:lineRule="auto"/>
        <w:rPr>
          <w:lang w:val="en-US"/>
        </w:rPr>
      </w:pPr>
      <w:r>
        <w:rPr>
          <w:lang w:val="en-US"/>
        </w:rPr>
        <w:t>Wang, S., Li, J., Song, J., Li, Y. and Sherk, M. (2018), “Institutional pressures and product modularity: do supply chain coordination and functional coordination matter?”, International Journal of Production Research, Vol. 56 No. 20, pp. 6644–6657, doi: 10.1080/00207543.2018.1444807.</w:t>
      </w:r>
    </w:p>
    <w:p w14:paraId="7C70D2FF" w14:textId="77777777" w:rsidR="00AD548A" w:rsidRDefault="00000000">
      <w:pPr>
        <w:spacing w:line="240" w:lineRule="auto"/>
        <w:rPr>
          <w:lang w:val="en-US"/>
        </w:rPr>
      </w:pPr>
      <w:r>
        <w:rPr>
          <w:lang w:val="en-US"/>
        </w:rPr>
        <w:t>Wang, T., Xiaoyang D., Shibin S., and Yu J. (2024), “Mitigating the Damage of a Global Pandemic on the International Buyer-Supplier Relationship: Evidence from Chinese Suppliers.” Journal of Business Research Vol.172 No.2024 pp.114446. doi:10.1016/j.jbusres.2023.114446.</w:t>
      </w:r>
    </w:p>
    <w:p w14:paraId="0F5B7E4B" w14:textId="77777777" w:rsidR="00AD548A" w:rsidRDefault="00000000">
      <w:pPr>
        <w:spacing w:line="240" w:lineRule="auto"/>
        <w:rPr>
          <w:lang w:val="en-US"/>
        </w:rPr>
      </w:pPr>
      <w:r>
        <w:rPr>
          <w:lang w:val="en-US"/>
        </w:rPr>
        <w:t>Wang, X. Yi, B. C., Na H., and Zhi P. C. (2024), “Evolution of Structural Properties of the Global Strategic Emerging Industries’ Trade Network and Its Determinants: An TERGM Analysis.” Industrial Marketing Management. Vol.118 No.(August 2023), pp.78–92. doi:10.1016/j.indmarman.2024.02.008.</w:t>
      </w:r>
    </w:p>
    <w:p w14:paraId="4408CE40" w14:textId="77777777" w:rsidR="00AD548A" w:rsidRDefault="00000000">
      <w:pPr>
        <w:spacing w:line="240" w:lineRule="auto"/>
        <w:rPr>
          <w:lang w:val="en-US"/>
        </w:rPr>
      </w:pPr>
      <w:r>
        <w:rPr>
          <w:lang w:val="en-US"/>
        </w:rPr>
        <w:t>Wellalage, N., Krishna R., and Damien W. (2023), “Environmental Performance and the Role of Government Support: Evidence from the Recent COVID-19 Pandemic.” Finance Research Letters Vol.58 No.2023 pp.104318. doi:10.1016/j.frl.2023.104318.</w:t>
      </w:r>
    </w:p>
    <w:p w14:paraId="20DD4046" w14:textId="77777777" w:rsidR="00AD548A" w:rsidRDefault="00000000">
      <w:pPr>
        <w:spacing w:line="240" w:lineRule="auto"/>
        <w:rPr>
          <w:lang w:val="en-US"/>
        </w:rPr>
      </w:pPr>
      <w:r>
        <w:rPr>
          <w:lang w:val="en-US"/>
        </w:rPr>
        <w:t>Wiegel, W. and Bamford, D. (2014), “The role of guanxi in buyer-supplier relationships in Chinese small- and medium-sized enterprises - A resource-based perspective”, Production Planning and Control, Vol. 26 No. 4, pp. 308–327, doi: 10.1080/09537287.2014.899405.</w:t>
      </w:r>
    </w:p>
    <w:p w14:paraId="62F77ACB" w14:textId="77777777" w:rsidR="00AD548A" w:rsidRDefault="00000000">
      <w:pPr>
        <w:spacing w:line="240" w:lineRule="auto"/>
        <w:rPr>
          <w:lang w:val="en-US"/>
        </w:rPr>
      </w:pPr>
      <w:r>
        <w:rPr>
          <w:lang w:val="en-US"/>
        </w:rPr>
        <w:t xml:space="preserve">Xu, Kai, Michael A. Hitt, David Brock, Vincenzo Pisano, and Lulu S.R. Huang. (2021), “Country Institutional Environments and International Strategy: A Review and Analysis of the Research.” Journal of International Management </w:t>
      </w:r>
      <w:r>
        <w:rPr>
          <w:rFonts w:hint="eastAsia"/>
          <w:lang w:val="en-US"/>
        </w:rPr>
        <w:t>Vol.</w:t>
      </w:r>
      <w:r>
        <w:rPr>
          <w:lang w:val="en-US"/>
        </w:rPr>
        <w:t xml:space="preserve">27 </w:t>
      </w:r>
      <w:r>
        <w:rPr>
          <w:rFonts w:hint="eastAsia"/>
          <w:lang w:val="en-US"/>
        </w:rPr>
        <w:t>No.</w:t>
      </w:r>
      <w:r>
        <w:rPr>
          <w:lang w:val="en-US"/>
        </w:rPr>
        <w:t>1. pp.100811. doi:10.1016/j.intman.2020.100811</w:t>
      </w:r>
      <w:r>
        <w:rPr>
          <w:rFonts w:hint="eastAsia"/>
          <w:lang w:val="en-US"/>
        </w:rPr>
        <w:t>.</w:t>
      </w:r>
    </w:p>
    <w:p w14:paraId="4B2EB4E2" w14:textId="77777777" w:rsidR="00AD548A" w:rsidRDefault="00000000">
      <w:pPr>
        <w:spacing w:line="240" w:lineRule="auto"/>
        <w:rPr>
          <w:lang w:val="en-US"/>
        </w:rPr>
      </w:pPr>
      <w:r>
        <w:rPr>
          <w:lang w:val="en-US"/>
        </w:rPr>
        <w:lastRenderedPageBreak/>
        <w:t>Zhao, X., Huo, B., Flynn, B.B. and Yeung, J.H.Y. (2008), “The impact of power and relationship commitment on the integration between manufacturers and customers in a supply chain”, Journal of Operations Management, Vol. 26 No. 3, pp. 368–388, doi: 10.1016/j.jom.2007.08.002.</w:t>
      </w:r>
    </w:p>
    <w:p w14:paraId="59DE1499" w14:textId="77777777" w:rsidR="00AD548A" w:rsidRDefault="00000000">
      <w:pPr>
        <w:spacing w:line="240" w:lineRule="auto"/>
        <w:rPr>
          <w:lang w:val="en-US"/>
        </w:rPr>
      </w:pPr>
      <w:r>
        <w:rPr>
          <w:lang w:val="en-US"/>
        </w:rPr>
        <w:t>Zhu, Q. and Sarkis, J. (2007), “The moderating effects of institutional pressures on emergent green supply chain practices and performance”, International Journal of Production Research, Vol. 45 No. 18–19, pp. 4333–4355, doi: 10.1080/00207540701440345.</w:t>
      </w:r>
    </w:p>
    <w:p w14:paraId="37C90AE6" w14:textId="77777777" w:rsidR="00AD548A" w:rsidRDefault="00000000">
      <w:pPr>
        <w:spacing w:line="240" w:lineRule="auto"/>
        <w:rPr>
          <w:lang w:val="en-US"/>
        </w:rPr>
      </w:pPr>
      <w:r>
        <w:rPr>
          <w:lang w:val="en-US"/>
        </w:rPr>
        <w:t>Zanini, M. T. F., Carmen P. M., Cinara G., and Jaison S. (2023), “Barriers to Local Community Participation in Mining Projects: The Eroding Role of Power Imbalance and Information Asymmetry.” Resources Policy Vol.86 No.2023 pp.104283. doi:10.1016/j.resourpol.2023.104283.</w:t>
      </w:r>
    </w:p>
    <w:bookmarkEnd w:id="1"/>
    <w:bookmarkEnd w:id="2"/>
    <w:bookmarkEnd w:id="3"/>
    <w:p w14:paraId="36B3E0D0" w14:textId="77777777" w:rsidR="00AD548A" w:rsidRDefault="00000000">
      <w:pPr>
        <w:widowControl/>
        <w:spacing w:line="240" w:lineRule="auto"/>
        <w:ind w:firstLineChars="0" w:firstLine="0"/>
        <w:jc w:val="left"/>
        <w:sectPr w:rsidR="00AD548A">
          <w:headerReference w:type="even" r:id="rId12"/>
          <w:footerReference w:type="even" r:id="rId13"/>
          <w:footerReference w:type="default" r:id="rId14"/>
          <w:headerReference w:type="first" r:id="rId15"/>
          <w:footerReference w:type="first" r:id="rId16"/>
          <w:pgSz w:w="11906" w:h="16838"/>
          <w:pgMar w:top="1440" w:right="1800" w:bottom="1440" w:left="1800" w:header="851" w:footer="992" w:gutter="0"/>
          <w:pgNumType w:start="1"/>
          <w:cols w:space="425"/>
          <w:docGrid w:type="lines" w:linePitch="312"/>
        </w:sectPr>
      </w:pPr>
      <w:r>
        <w:br w:type="page"/>
      </w:r>
    </w:p>
    <w:p w14:paraId="2DC45B70" w14:textId="77777777" w:rsidR="00AD548A" w:rsidRDefault="00000000">
      <w:pPr>
        <w:spacing w:line="276" w:lineRule="auto"/>
        <w:ind w:leftChars="-300" w:left="-720"/>
        <w:jc w:val="center"/>
        <w:rPr>
          <w:b/>
          <w:bCs/>
        </w:rPr>
      </w:pPr>
      <w:r>
        <w:rPr>
          <w:rFonts w:hint="eastAsia"/>
          <w:b/>
          <w:bCs/>
        </w:rPr>
        <w:lastRenderedPageBreak/>
        <w:t>Appendix</w:t>
      </w:r>
      <w:r>
        <w:rPr>
          <w:b/>
          <w:bCs/>
        </w:rPr>
        <w:t>es</w:t>
      </w:r>
    </w:p>
    <w:p w14:paraId="60F4A34A" w14:textId="77777777" w:rsidR="00AD548A" w:rsidRDefault="00AD548A">
      <w:pPr>
        <w:spacing w:line="276" w:lineRule="auto"/>
        <w:ind w:leftChars="-300" w:left="-720"/>
        <w:jc w:val="center"/>
        <w:rPr>
          <w:b/>
          <w:bCs/>
        </w:rPr>
      </w:pPr>
    </w:p>
    <w:p w14:paraId="2429324A" w14:textId="77777777" w:rsidR="00AD548A" w:rsidRDefault="00000000">
      <w:pPr>
        <w:spacing w:line="276" w:lineRule="auto"/>
        <w:ind w:leftChars="-300" w:left="-720"/>
        <w:jc w:val="center"/>
        <w:rPr>
          <w:b/>
          <w:bCs/>
        </w:rPr>
      </w:pPr>
      <w:r>
        <w:rPr>
          <w:b/>
          <w:bCs/>
          <w:lang w:val="en-US"/>
        </w:rPr>
        <w:t>Appendi</w:t>
      </w:r>
      <w:r>
        <w:rPr>
          <w:rFonts w:hint="eastAsia"/>
          <w:b/>
          <w:bCs/>
          <w:lang w:val="en-US"/>
        </w:rPr>
        <w:t>x 1</w:t>
      </w:r>
      <w:r>
        <w:rPr>
          <w:b/>
          <w:bCs/>
          <w:lang w:val="en-US"/>
        </w:rPr>
        <w:t>: Interviewee information</w:t>
      </w:r>
    </w:p>
    <w:tbl>
      <w:tblPr>
        <w:tblStyle w:val="210"/>
        <w:tblW w:w="14168"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4583"/>
        <w:gridCol w:w="6975"/>
      </w:tblGrid>
      <w:tr w:rsidR="00AD548A" w14:paraId="071FCAC4" w14:textId="77777777">
        <w:trPr>
          <w:trHeight w:val="312"/>
          <w:tblHeader/>
          <w:jc w:val="center"/>
        </w:trPr>
        <w:tc>
          <w:tcPr>
            <w:tcW w:w="2610" w:type="dxa"/>
            <w:vMerge w:val="restart"/>
            <w:tcBorders>
              <w:top w:val="single" w:sz="4" w:space="0" w:color="auto"/>
              <w:bottom w:val="single" w:sz="4" w:space="0" w:color="auto"/>
            </w:tcBorders>
            <w:shd w:val="clear" w:color="auto" w:fill="EDEDED" w:themeFill="accent3" w:themeFillTint="33"/>
            <w:vAlign w:val="center"/>
          </w:tcPr>
          <w:p w14:paraId="5B7B03A4" w14:textId="77777777" w:rsidR="00AD548A" w:rsidRDefault="00000000">
            <w:pPr>
              <w:snapToGrid w:val="0"/>
              <w:spacing w:line="240" w:lineRule="auto"/>
              <w:ind w:firstLineChars="0" w:firstLine="0"/>
              <w:jc w:val="center"/>
              <w:rPr>
                <w:rFonts w:eastAsiaTheme="minorEastAsia"/>
                <w:b/>
                <w:bCs/>
                <w:kern w:val="2"/>
                <w:szCs w:val="24"/>
                <w:lang w:val="en-US"/>
              </w:rPr>
            </w:pPr>
            <w:bookmarkStart w:id="8" w:name="_Hlk192255459"/>
            <w:r>
              <w:rPr>
                <w:rFonts w:eastAsiaTheme="minorEastAsia"/>
                <w:b/>
                <w:bCs/>
                <w:kern w:val="2"/>
                <w:szCs w:val="24"/>
              </w:rPr>
              <w:t xml:space="preserve">Suppliers </w:t>
            </w:r>
            <w:r>
              <w:rPr>
                <w:rFonts w:eastAsiaTheme="minorEastAsia" w:hint="eastAsia"/>
                <w:b/>
                <w:bCs/>
                <w:kern w:val="2"/>
                <w:szCs w:val="24"/>
                <w:lang w:val="en-US"/>
              </w:rPr>
              <w:t>(SMEs)</w:t>
            </w:r>
          </w:p>
        </w:tc>
        <w:tc>
          <w:tcPr>
            <w:tcW w:w="4583" w:type="dxa"/>
            <w:vMerge w:val="restart"/>
            <w:tcBorders>
              <w:top w:val="single" w:sz="4" w:space="0" w:color="auto"/>
              <w:bottom w:val="single" w:sz="4" w:space="0" w:color="auto"/>
            </w:tcBorders>
            <w:shd w:val="clear" w:color="auto" w:fill="EDEDED" w:themeFill="accent3" w:themeFillTint="33"/>
            <w:vAlign w:val="center"/>
          </w:tcPr>
          <w:p w14:paraId="1947A4B7" w14:textId="77777777" w:rsidR="00AD548A" w:rsidRDefault="00000000">
            <w:pPr>
              <w:snapToGrid w:val="0"/>
              <w:spacing w:line="240" w:lineRule="auto"/>
              <w:ind w:firstLineChars="0" w:firstLine="0"/>
              <w:jc w:val="center"/>
              <w:rPr>
                <w:rFonts w:eastAsiaTheme="minorEastAsia"/>
                <w:b/>
                <w:bCs/>
                <w:kern w:val="2"/>
                <w:szCs w:val="24"/>
              </w:rPr>
            </w:pPr>
            <w:r>
              <w:rPr>
                <w:rFonts w:eastAsiaTheme="minorEastAsia"/>
                <w:b/>
                <w:bCs/>
                <w:kern w:val="2"/>
                <w:szCs w:val="24"/>
              </w:rPr>
              <w:t xml:space="preserve">Main Businesses </w:t>
            </w:r>
          </w:p>
        </w:tc>
        <w:tc>
          <w:tcPr>
            <w:tcW w:w="6975" w:type="dxa"/>
            <w:vMerge w:val="restart"/>
            <w:tcBorders>
              <w:top w:val="single" w:sz="4" w:space="0" w:color="auto"/>
              <w:bottom w:val="single" w:sz="4" w:space="0" w:color="auto"/>
            </w:tcBorders>
            <w:shd w:val="clear" w:color="auto" w:fill="EDEDED" w:themeFill="accent3" w:themeFillTint="33"/>
            <w:vAlign w:val="center"/>
          </w:tcPr>
          <w:p w14:paraId="6C86B6CD" w14:textId="77777777" w:rsidR="00AD548A" w:rsidRDefault="00000000">
            <w:pPr>
              <w:snapToGrid w:val="0"/>
              <w:spacing w:line="240" w:lineRule="auto"/>
              <w:ind w:firstLineChars="0" w:firstLine="0"/>
              <w:jc w:val="center"/>
              <w:rPr>
                <w:rFonts w:eastAsiaTheme="minorEastAsia"/>
                <w:b/>
                <w:bCs/>
                <w:kern w:val="2"/>
                <w:szCs w:val="24"/>
              </w:rPr>
            </w:pPr>
            <w:r>
              <w:rPr>
                <w:rFonts w:eastAsiaTheme="minorEastAsia"/>
                <w:b/>
                <w:bCs/>
                <w:kern w:val="2"/>
                <w:szCs w:val="24"/>
              </w:rPr>
              <w:t xml:space="preserve">Informant details </w:t>
            </w:r>
          </w:p>
        </w:tc>
      </w:tr>
      <w:tr w:rsidR="00AD548A" w14:paraId="06EC6958" w14:textId="77777777">
        <w:trPr>
          <w:trHeight w:val="312"/>
          <w:tblHeader/>
          <w:jc w:val="center"/>
        </w:trPr>
        <w:tc>
          <w:tcPr>
            <w:tcW w:w="2610" w:type="dxa"/>
            <w:vMerge/>
            <w:tcBorders>
              <w:top w:val="nil"/>
              <w:bottom w:val="single" w:sz="4" w:space="0" w:color="auto"/>
            </w:tcBorders>
            <w:shd w:val="clear" w:color="auto" w:fill="EDEDED" w:themeFill="accent3" w:themeFillTint="33"/>
            <w:vAlign w:val="center"/>
          </w:tcPr>
          <w:p w14:paraId="69B27115" w14:textId="77777777" w:rsidR="00AD548A" w:rsidRDefault="00AD548A">
            <w:pPr>
              <w:snapToGrid w:val="0"/>
              <w:spacing w:line="240" w:lineRule="auto"/>
              <w:ind w:firstLineChars="0" w:firstLine="0"/>
              <w:jc w:val="center"/>
              <w:rPr>
                <w:rFonts w:eastAsiaTheme="minorEastAsia"/>
                <w:b/>
                <w:bCs/>
                <w:kern w:val="2"/>
                <w:szCs w:val="24"/>
              </w:rPr>
            </w:pPr>
          </w:p>
        </w:tc>
        <w:tc>
          <w:tcPr>
            <w:tcW w:w="4583" w:type="dxa"/>
            <w:vMerge/>
            <w:tcBorders>
              <w:top w:val="nil"/>
              <w:bottom w:val="single" w:sz="4" w:space="0" w:color="auto"/>
            </w:tcBorders>
            <w:shd w:val="clear" w:color="auto" w:fill="EDEDED" w:themeFill="accent3" w:themeFillTint="33"/>
            <w:vAlign w:val="center"/>
          </w:tcPr>
          <w:p w14:paraId="7DA90F16" w14:textId="77777777" w:rsidR="00AD548A" w:rsidRDefault="00AD548A">
            <w:pPr>
              <w:snapToGrid w:val="0"/>
              <w:spacing w:line="240" w:lineRule="auto"/>
              <w:ind w:firstLineChars="0" w:firstLine="0"/>
              <w:jc w:val="left"/>
              <w:rPr>
                <w:rFonts w:eastAsiaTheme="minorEastAsia"/>
                <w:b/>
                <w:bCs/>
                <w:kern w:val="2"/>
                <w:szCs w:val="24"/>
              </w:rPr>
            </w:pPr>
          </w:p>
        </w:tc>
        <w:tc>
          <w:tcPr>
            <w:tcW w:w="6975" w:type="dxa"/>
            <w:vMerge/>
            <w:tcBorders>
              <w:top w:val="nil"/>
              <w:bottom w:val="single" w:sz="4" w:space="0" w:color="auto"/>
            </w:tcBorders>
            <w:shd w:val="clear" w:color="auto" w:fill="EDEDED" w:themeFill="accent3" w:themeFillTint="33"/>
            <w:vAlign w:val="center"/>
          </w:tcPr>
          <w:p w14:paraId="59B4C4BD" w14:textId="77777777" w:rsidR="00AD548A" w:rsidRDefault="00AD548A">
            <w:pPr>
              <w:snapToGrid w:val="0"/>
              <w:spacing w:line="240" w:lineRule="auto"/>
              <w:ind w:firstLineChars="0" w:firstLine="0"/>
              <w:jc w:val="left"/>
              <w:rPr>
                <w:rFonts w:eastAsiaTheme="minorEastAsia"/>
                <w:b/>
                <w:bCs/>
                <w:kern w:val="2"/>
                <w:szCs w:val="24"/>
              </w:rPr>
            </w:pPr>
          </w:p>
        </w:tc>
      </w:tr>
      <w:tr w:rsidR="00AD548A" w14:paraId="4045DCBD" w14:textId="77777777">
        <w:trPr>
          <w:jc w:val="center"/>
        </w:trPr>
        <w:tc>
          <w:tcPr>
            <w:tcW w:w="2610" w:type="dxa"/>
            <w:vMerge w:val="restart"/>
            <w:tcBorders>
              <w:top w:val="single" w:sz="4" w:space="0" w:color="auto"/>
            </w:tcBorders>
            <w:vAlign w:val="center"/>
          </w:tcPr>
          <w:p w14:paraId="369210EA"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kern w:val="2"/>
                <w:szCs w:val="24"/>
              </w:rPr>
              <w:t>SME 1</w:t>
            </w:r>
          </w:p>
        </w:tc>
        <w:tc>
          <w:tcPr>
            <w:tcW w:w="4583" w:type="dxa"/>
            <w:vMerge w:val="restart"/>
            <w:tcBorders>
              <w:top w:val="single" w:sz="4" w:space="0" w:color="auto"/>
            </w:tcBorders>
            <w:vAlign w:val="center"/>
          </w:tcPr>
          <w:p w14:paraId="1C9FA079"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Mechanical Components</w:t>
            </w:r>
          </w:p>
        </w:tc>
        <w:tc>
          <w:tcPr>
            <w:tcW w:w="6975" w:type="dxa"/>
            <w:tcBorders>
              <w:top w:val="single" w:sz="4" w:space="0" w:color="auto"/>
            </w:tcBorders>
            <w:vAlign w:val="center"/>
          </w:tcPr>
          <w:p w14:paraId="32DC1607"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Business owner</w:t>
            </w:r>
          </w:p>
        </w:tc>
      </w:tr>
      <w:tr w:rsidR="00AD548A" w14:paraId="01716112" w14:textId="77777777">
        <w:trPr>
          <w:jc w:val="center"/>
        </w:trPr>
        <w:tc>
          <w:tcPr>
            <w:tcW w:w="2610" w:type="dxa"/>
            <w:vMerge/>
            <w:vAlign w:val="center"/>
          </w:tcPr>
          <w:p w14:paraId="53322277" w14:textId="77777777" w:rsidR="00AD548A" w:rsidRDefault="00AD548A">
            <w:pPr>
              <w:snapToGrid w:val="0"/>
              <w:spacing w:line="240" w:lineRule="auto"/>
              <w:ind w:firstLineChars="0" w:firstLine="0"/>
              <w:jc w:val="center"/>
              <w:rPr>
                <w:rFonts w:eastAsiaTheme="minorEastAsia"/>
                <w:kern w:val="2"/>
                <w:szCs w:val="24"/>
              </w:rPr>
            </w:pPr>
          </w:p>
        </w:tc>
        <w:tc>
          <w:tcPr>
            <w:tcW w:w="4583" w:type="dxa"/>
            <w:vMerge/>
            <w:vAlign w:val="center"/>
          </w:tcPr>
          <w:p w14:paraId="456106F9" w14:textId="77777777" w:rsidR="00AD548A" w:rsidRDefault="00AD548A">
            <w:pPr>
              <w:snapToGrid w:val="0"/>
              <w:spacing w:line="240" w:lineRule="auto"/>
              <w:ind w:firstLineChars="0" w:firstLine="0"/>
              <w:jc w:val="left"/>
              <w:rPr>
                <w:rFonts w:eastAsiaTheme="minorEastAsia"/>
                <w:kern w:val="2"/>
                <w:szCs w:val="24"/>
              </w:rPr>
            </w:pPr>
          </w:p>
        </w:tc>
        <w:tc>
          <w:tcPr>
            <w:tcW w:w="6975" w:type="dxa"/>
            <w:vAlign w:val="center"/>
          </w:tcPr>
          <w:p w14:paraId="36554CD5"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Senior manager </w:t>
            </w:r>
            <w:r>
              <w:rPr>
                <w:rFonts w:eastAsiaTheme="minorEastAsia" w:hint="eastAsia"/>
                <w:kern w:val="2"/>
                <w:szCs w:val="24"/>
              </w:rPr>
              <w:t>of</w:t>
            </w:r>
            <w:r>
              <w:rPr>
                <w:rFonts w:eastAsiaTheme="minorEastAsia"/>
                <w:kern w:val="2"/>
                <w:szCs w:val="24"/>
              </w:rPr>
              <w:t xml:space="preserve"> marketing</w:t>
            </w:r>
          </w:p>
        </w:tc>
      </w:tr>
      <w:tr w:rsidR="00AD548A" w14:paraId="637E12B5" w14:textId="77777777">
        <w:trPr>
          <w:jc w:val="center"/>
        </w:trPr>
        <w:tc>
          <w:tcPr>
            <w:tcW w:w="2610" w:type="dxa"/>
            <w:vMerge w:val="restart"/>
            <w:vAlign w:val="center"/>
          </w:tcPr>
          <w:p w14:paraId="75A5B345"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kern w:val="2"/>
                <w:szCs w:val="24"/>
              </w:rPr>
              <w:t>SME 2</w:t>
            </w:r>
          </w:p>
        </w:tc>
        <w:tc>
          <w:tcPr>
            <w:tcW w:w="4583" w:type="dxa"/>
            <w:vMerge w:val="restart"/>
            <w:vAlign w:val="center"/>
          </w:tcPr>
          <w:p w14:paraId="70DB660F"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Mechanical Components</w:t>
            </w:r>
          </w:p>
        </w:tc>
        <w:tc>
          <w:tcPr>
            <w:tcW w:w="6975" w:type="dxa"/>
            <w:vAlign w:val="center"/>
          </w:tcPr>
          <w:p w14:paraId="2BE74CE7"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Business owner</w:t>
            </w:r>
          </w:p>
        </w:tc>
      </w:tr>
      <w:tr w:rsidR="00AD548A" w14:paraId="40AC96C9" w14:textId="77777777">
        <w:trPr>
          <w:jc w:val="center"/>
        </w:trPr>
        <w:tc>
          <w:tcPr>
            <w:tcW w:w="2610" w:type="dxa"/>
            <w:vMerge/>
            <w:vAlign w:val="center"/>
          </w:tcPr>
          <w:p w14:paraId="76A08CF5" w14:textId="77777777" w:rsidR="00AD548A" w:rsidRDefault="00AD548A">
            <w:pPr>
              <w:snapToGrid w:val="0"/>
              <w:spacing w:line="240" w:lineRule="auto"/>
              <w:ind w:firstLineChars="0" w:firstLine="0"/>
              <w:jc w:val="center"/>
              <w:rPr>
                <w:rFonts w:eastAsiaTheme="minorEastAsia"/>
                <w:kern w:val="2"/>
                <w:szCs w:val="24"/>
              </w:rPr>
            </w:pPr>
          </w:p>
        </w:tc>
        <w:tc>
          <w:tcPr>
            <w:tcW w:w="4583" w:type="dxa"/>
            <w:vMerge/>
            <w:vAlign w:val="center"/>
          </w:tcPr>
          <w:p w14:paraId="084C7FBB" w14:textId="77777777" w:rsidR="00AD548A" w:rsidRDefault="00AD548A">
            <w:pPr>
              <w:snapToGrid w:val="0"/>
              <w:spacing w:line="240" w:lineRule="auto"/>
              <w:ind w:firstLineChars="0" w:firstLine="0"/>
              <w:jc w:val="left"/>
              <w:rPr>
                <w:rFonts w:eastAsiaTheme="minorEastAsia"/>
                <w:kern w:val="2"/>
                <w:szCs w:val="24"/>
              </w:rPr>
            </w:pPr>
          </w:p>
        </w:tc>
        <w:tc>
          <w:tcPr>
            <w:tcW w:w="6975" w:type="dxa"/>
            <w:vAlign w:val="center"/>
          </w:tcPr>
          <w:p w14:paraId="79CCCB9F"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Senior manager </w:t>
            </w:r>
            <w:r>
              <w:rPr>
                <w:rFonts w:eastAsiaTheme="minorEastAsia" w:hint="eastAsia"/>
                <w:kern w:val="2"/>
                <w:szCs w:val="24"/>
              </w:rPr>
              <w:t>of customer relationship management</w:t>
            </w:r>
          </w:p>
        </w:tc>
      </w:tr>
      <w:tr w:rsidR="00AD548A" w14:paraId="375D33A6" w14:textId="77777777">
        <w:trPr>
          <w:jc w:val="center"/>
        </w:trPr>
        <w:tc>
          <w:tcPr>
            <w:tcW w:w="2610" w:type="dxa"/>
            <w:vMerge w:val="restart"/>
            <w:vAlign w:val="center"/>
          </w:tcPr>
          <w:p w14:paraId="382178F5"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kern w:val="2"/>
                <w:szCs w:val="24"/>
              </w:rPr>
              <w:t>SME 3</w:t>
            </w:r>
          </w:p>
        </w:tc>
        <w:tc>
          <w:tcPr>
            <w:tcW w:w="4583" w:type="dxa"/>
            <w:vMerge w:val="restart"/>
            <w:vAlign w:val="center"/>
          </w:tcPr>
          <w:p w14:paraId="772A23F8"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Material Components</w:t>
            </w:r>
          </w:p>
        </w:tc>
        <w:tc>
          <w:tcPr>
            <w:tcW w:w="6975" w:type="dxa"/>
            <w:vAlign w:val="center"/>
          </w:tcPr>
          <w:p w14:paraId="26B2E08C"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Business owner</w:t>
            </w:r>
          </w:p>
        </w:tc>
      </w:tr>
      <w:tr w:rsidR="00AD548A" w14:paraId="2EB492AC" w14:textId="77777777">
        <w:trPr>
          <w:jc w:val="center"/>
        </w:trPr>
        <w:tc>
          <w:tcPr>
            <w:tcW w:w="2610" w:type="dxa"/>
            <w:vMerge/>
            <w:vAlign w:val="center"/>
          </w:tcPr>
          <w:p w14:paraId="0D934A83" w14:textId="77777777" w:rsidR="00AD548A" w:rsidRDefault="00AD548A">
            <w:pPr>
              <w:snapToGrid w:val="0"/>
              <w:spacing w:line="240" w:lineRule="auto"/>
              <w:ind w:firstLineChars="0" w:firstLine="0"/>
              <w:jc w:val="center"/>
              <w:rPr>
                <w:rFonts w:eastAsiaTheme="minorEastAsia"/>
                <w:kern w:val="2"/>
                <w:szCs w:val="24"/>
              </w:rPr>
            </w:pPr>
          </w:p>
        </w:tc>
        <w:tc>
          <w:tcPr>
            <w:tcW w:w="4583" w:type="dxa"/>
            <w:vMerge/>
            <w:vAlign w:val="center"/>
          </w:tcPr>
          <w:p w14:paraId="669E49F2" w14:textId="77777777" w:rsidR="00AD548A" w:rsidRDefault="00AD548A">
            <w:pPr>
              <w:snapToGrid w:val="0"/>
              <w:spacing w:line="240" w:lineRule="auto"/>
              <w:ind w:firstLineChars="0" w:firstLine="0"/>
              <w:jc w:val="left"/>
              <w:rPr>
                <w:rFonts w:eastAsiaTheme="minorEastAsia"/>
                <w:kern w:val="2"/>
                <w:szCs w:val="24"/>
              </w:rPr>
            </w:pPr>
          </w:p>
        </w:tc>
        <w:tc>
          <w:tcPr>
            <w:tcW w:w="6975" w:type="dxa"/>
            <w:vAlign w:val="center"/>
          </w:tcPr>
          <w:p w14:paraId="6187B841"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Director </w:t>
            </w:r>
            <w:r>
              <w:rPr>
                <w:rFonts w:eastAsiaTheme="minorEastAsia" w:hint="eastAsia"/>
                <w:kern w:val="2"/>
                <w:szCs w:val="24"/>
              </w:rPr>
              <w:t>of</w:t>
            </w:r>
            <w:r>
              <w:rPr>
                <w:rFonts w:eastAsiaTheme="minorEastAsia"/>
                <w:kern w:val="2"/>
                <w:szCs w:val="24"/>
              </w:rPr>
              <w:t xml:space="preserve"> customer management</w:t>
            </w:r>
          </w:p>
        </w:tc>
      </w:tr>
      <w:tr w:rsidR="00AD548A" w14:paraId="0E465FD5" w14:textId="77777777">
        <w:trPr>
          <w:jc w:val="center"/>
        </w:trPr>
        <w:tc>
          <w:tcPr>
            <w:tcW w:w="2610" w:type="dxa"/>
            <w:vMerge w:val="restart"/>
            <w:vAlign w:val="center"/>
          </w:tcPr>
          <w:p w14:paraId="606B8A07"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kern w:val="2"/>
                <w:szCs w:val="24"/>
              </w:rPr>
              <w:t>SME 4</w:t>
            </w:r>
          </w:p>
        </w:tc>
        <w:tc>
          <w:tcPr>
            <w:tcW w:w="4583" w:type="dxa"/>
            <w:vMerge w:val="restart"/>
            <w:vAlign w:val="center"/>
          </w:tcPr>
          <w:p w14:paraId="189B1B91"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Material Components</w:t>
            </w:r>
          </w:p>
        </w:tc>
        <w:tc>
          <w:tcPr>
            <w:tcW w:w="6975" w:type="dxa"/>
            <w:vAlign w:val="center"/>
          </w:tcPr>
          <w:p w14:paraId="117D482B"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Business owner</w:t>
            </w:r>
          </w:p>
        </w:tc>
      </w:tr>
      <w:tr w:rsidR="00AD548A" w14:paraId="1170A15C" w14:textId="77777777">
        <w:trPr>
          <w:jc w:val="center"/>
        </w:trPr>
        <w:tc>
          <w:tcPr>
            <w:tcW w:w="2610" w:type="dxa"/>
            <w:vMerge/>
            <w:vAlign w:val="center"/>
          </w:tcPr>
          <w:p w14:paraId="3CD7296C" w14:textId="77777777" w:rsidR="00AD548A" w:rsidRDefault="00AD548A">
            <w:pPr>
              <w:snapToGrid w:val="0"/>
              <w:spacing w:line="240" w:lineRule="auto"/>
              <w:ind w:firstLineChars="0" w:firstLine="0"/>
              <w:jc w:val="center"/>
              <w:rPr>
                <w:rFonts w:eastAsiaTheme="minorEastAsia"/>
                <w:kern w:val="2"/>
                <w:szCs w:val="24"/>
              </w:rPr>
            </w:pPr>
          </w:p>
        </w:tc>
        <w:tc>
          <w:tcPr>
            <w:tcW w:w="4583" w:type="dxa"/>
            <w:vMerge/>
            <w:vAlign w:val="center"/>
          </w:tcPr>
          <w:p w14:paraId="255CF32C" w14:textId="77777777" w:rsidR="00AD548A" w:rsidRDefault="00AD548A">
            <w:pPr>
              <w:snapToGrid w:val="0"/>
              <w:spacing w:line="240" w:lineRule="auto"/>
              <w:ind w:firstLineChars="0" w:firstLine="0"/>
              <w:jc w:val="left"/>
              <w:rPr>
                <w:rFonts w:eastAsiaTheme="minorEastAsia"/>
                <w:kern w:val="2"/>
                <w:szCs w:val="24"/>
              </w:rPr>
            </w:pPr>
          </w:p>
        </w:tc>
        <w:tc>
          <w:tcPr>
            <w:tcW w:w="6975" w:type="dxa"/>
            <w:vAlign w:val="center"/>
          </w:tcPr>
          <w:p w14:paraId="79E997C7"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Director </w:t>
            </w:r>
            <w:r>
              <w:rPr>
                <w:rFonts w:eastAsiaTheme="minorEastAsia" w:hint="eastAsia"/>
                <w:kern w:val="2"/>
                <w:szCs w:val="24"/>
              </w:rPr>
              <w:t>of</w:t>
            </w:r>
            <w:r>
              <w:rPr>
                <w:rFonts w:eastAsiaTheme="minorEastAsia"/>
                <w:kern w:val="2"/>
                <w:szCs w:val="24"/>
              </w:rPr>
              <w:t xml:space="preserve"> operations </w:t>
            </w:r>
            <w:r>
              <w:rPr>
                <w:rFonts w:eastAsiaTheme="minorEastAsia" w:hint="eastAsia"/>
                <w:kern w:val="2"/>
                <w:szCs w:val="24"/>
              </w:rPr>
              <w:t>management</w:t>
            </w:r>
          </w:p>
        </w:tc>
      </w:tr>
      <w:tr w:rsidR="00AD548A" w14:paraId="5C0412CE" w14:textId="77777777">
        <w:trPr>
          <w:jc w:val="center"/>
        </w:trPr>
        <w:tc>
          <w:tcPr>
            <w:tcW w:w="2610" w:type="dxa"/>
            <w:vMerge w:val="restart"/>
            <w:vAlign w:val="center"/>
          </w:tcPr>
          <w:p w14:paraId="28EB07D6"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kern w:val="2"/>
                <w:szCs w:val="24"/>
              </w:rPr>
              <w:t>SME 5</w:t>
            </w:r>
          </w:p>
        </w:tc>
        <w:tc>
          <w:tcPr>
            <w:tcW w:w="4583" w:type="dxa"/>
            <w:vMerge w:val="restart"/>
            <w:vAlign w:val="center"/>
          </w:tcPr>
          <w:p w14:paraId="5B98662C"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Microcontrollers and Processors</w:t>
            </w:r>
          </w:p>
        </w:tc>
        <w:tc>
          <w:tcPr>
            <w:tcW w:w="6975" w:type="dxa"/>
            <w:vAlign w:val="center"/>
          </w:tcPr>
          <w:p w14:paraId="00948021"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Senior manager </w:t>
            </w:r>
            <w:r>
              <w:rPr>
                <w:rFonts w:eastAsiaTheme="minorEastAsia" w:hint="eastAsia"/>
                <w:kern w:val="2"/>
                <w:szCs w:val="24"/>
              </w:rPr>
              <w:t>of</w:t>
            </w:r>
            <w:r>
              <w:rPr>
                <w:rFonts w:eastAsiaTheme="minorEastAsia"/>
                <w:kern w:val="2"/>
                <w:szCs w:val="24"/>
              </w:rPr>
              <w:t xml:space="preserve"> supply chain </w:t>
            </w:r>
            <w:r>
              <w:rPr>
                <w:rFonts w:eastAsiaTheme="minorEastAsia" w:hint="eastAsia"/>
                <w:kern w:val="2"/>
                <w:szCs w:val="24"/>
              </w:rPr>
              <w:t>management</w:t>
            </w:r>
          </w:p>
        </w:tc>
      </w:tr>
      <w:tr w:rsidR="00AD548A" w14:paraId="72CD943D" w14:textId="77777777">
        <w:trPr>
          <w:jc w:val="center"/>
        </w:trPr>
        <w:tc>
          <w:tcPr>
            <w:tcW w:w="2610" w:type="dxa"/>
            <w:vMerge/>
            <w:vAlign w:val="center"/>
          </w:tcPr>
          <w:p w14:paraId="2352581C" w14:textId="77777777" w:rsidR="00AD548A" w:rsidRDefault="00AD548A">
            <w:pPr>
              <w:snapToGrid w:val="0"/>
              <w:spacing w:line="240" w:lineRule="auto"/>
              <w:ind w:firstLineChars="0" w:firstLine="0"/>
              <w:jc w:val="center"/>
              <w:rPr>
                <w:rFonts w:eastAsiaTheme="minorEastAsia"/>
                <w:kern w:val="2"/>
                <w:szCs w:val="24"/>
              </w:rPr>
            </w:pPr>
          </w:p>
        </w:tc>
        <w:tc>
          <w:tcPr>
            <w:tcW w:w="4583" w:type="dxa"/>
            <w:vMerge/>
            <w:vAlign w:val="center"/>
          </w:tcPr>
          <w:p w14:paraId="290ADF00" w14:textId="77777777" w:rsidR="00AD548A" w:rsidRDefault="00AD548A">
            <w:pPr>
              <w:snapToGrid w:val="0"/>
              <w:spacing w:line="240" w:lineRule="auto"/>
              <w:ind w:firstLineChars="0" w:firstLine="0"/>
              <w:jc w:val="left"/>
              <w:rPr>
                <w:rFonts w:eastAsiaTheme="minorEastAsia"/>
                <w:kern w:val="2"/>
                <w:szCs w:val="24"/>
              </w:rPr>
            </w:pPr>
          </w:p>
        </w:tc>
        <w:tc>
          <w:tcPr>
            <w:tcW w:w="6975" w:type="dxa"/>
            <w:vAlign w:val="center"/>
          </w:tcPr>
          <w:p w14:paraId="2119B8A7"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Director </w:t>
            </w:r>
            <w:r>
              <w:rPr>
                <w:rFonts w:eastAsiaTheme="minorEastAsia" w:hint="eastAsia"/>
                <w:kern w:val="2"/>
                <w:szCs w:val="24"/>
              </w:rPr>
              <w:t>of</w:t>
            </w:r>
            <w:r>
              <w:rPr>
                <w:rFonts w:eastAsiaTheme="minorEastAsia"/>
                <w:kern w:val="2"/>
                <w:szCs w:val="24"/>
              </w:rPr>
              <w:t xml:space="preserve"> sales </w:t>
            </w:r>
            <w:r>
              <w:rPr>
                <w:rFonts w:eastAsiaTheme="minorEastAsia" w:hint="eastAsia"/>
                <w:kern w:val="2"/>
                <w:szCs w:val="24"/>
              </w:rPr>
              <w:t>management</w:t>
            </w:r>
          </w:p>
        </w:tc>
      </w:tr>
      <w:tr w:rsidR="00AD548A" w14:paraId="7539E404" w14:textId="77777777">
        <w:trPr>
          <w:jc w:val="center"/>
        </w:trPr>
        <w:tc>
          <w:tcPr>
            <w:tcW w:w="2610" w:type="dxa"/>
            <w:vMerge w:val="restart"/>
            <w:vAlign w:val="center"/>
          </w:tcPr>
          <w:p w14:paraId="53BCE37E"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kern w:val="2"/>
                <w:szCs w:val="24"/>
              </w:rPr>
              <w:t>SME 6</w:t>
            </w:r>
          </w:p>
        </w:tc>
        <w:tc>
          <w:tcPr>
            <w:tcW w:w="4583" w:type="dxa"/>
            <w:vMerge w:val="restart"/>
            <w:vAlign w:val="center"/>
          </w:tcPr>
          <w:p w14:paraId="10703204"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Microcontrollers and Processors</w:t>
            </w:r>
          </w:p>
        </w:tc>
        <w:tc>
          <w:tcPr>
            <w:tcW w:w="6975" w:type="dxa"/>
            <w:vAlign w:val="center"/>
          </w:tcPr>
          <w:p w14:paraId="3B3B83BE"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Business owner</w:t>
            </w:r>
          </w:p>
        </w:tc>
      </w:tr>
      <w:tr w:rsidR="00AD548A" w14:paraId="7ED28857" w14:textId="77777777">
        <w:trPr>
          <w:jc w:val="center"/>
        </w:trPr>
        <w:tc>
          <w:tcPr>
            <w:tcW w:w="2610" w:type="dxa"/>
            <w:vMerge/>
            <w:vAlign w:val="center"/>
          </w:tcPr>
          <w:p w14:paraId="48ED5F0B" w14:textId="77777777" w:rsidR="00AD548A" w:rsidRDefault="00AD548A">
            <w:pPr>
              <w:snapToGrid w:val="0"/>
              <w:spacing w:line="240" w:lineRule="auto"/>
              <w:ind w:firstLineChars="0" w:firstLine="0"/>
              <w:jc w:val="center"/>
              <w:rPr>
                <w:rFonts w:eastAsiaTheme="minorEastAsia"/>
                <w:kern w:val="2"/>
                <w:szCs w:val="24"/>
              </w:rPr>
            </w:pPr>
          </w:p>
        </w:tc>
        <w:tc>
          <w:tcPr>
            <w:tcW w:w="4583" w:type="dxa"/>
            <w:vMerge/>
            <w:vAlign w:val="center"/>
          </w:tcPr>
          <w:p w14:paraId="556410EC" w14:textId="77777777" w:rsidR="00AD548A" w:rsidRDefault="00AD548A">
            <w:pPr>
              <w:snapToGrid w:val="0"/>
              <w:spacing w:line="240" w:lineRule="auto"/>
              <w:ind w:firstLineChars="0" w:firstLine="0"/>
              <w:jc w:val="left"/>
              <w:rPr>
                <w:rFonts w:eastAsiaTheme="minorEastAsia"/>
                <w:kern w:val="2"/>
                <w:szCs w:val="24"/>
              </w:rPr>
            </w:pPr>
          </w:p>
        </w:tc>
        <w:tc>
          <w:tcPr>
            <w:tcW w:w="6975" w:type="dxa"/>
            <w:vAlign w:val="center"/>
          </w:tcPr>
          <w:p w14:paraId="7AEA0519"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Senior manager </w:t>
            </w:r>
            <w:r>
              <w:rPr>
                <w:rFonts w:eastAsiaTheme="minorEastAsia" w:hint="eastAsia"/>
                <w:kern w:val="2"/>
                <w:szCs w:val="24"/>
              </w:rPr>
              <w:t xml:space="preserve">of </w:t>
            </w:r>
            <w:r>
              <w:rPr>
                <w:rFonts w:eastAsiaTheme="minorEastAsia"/>
                <w:kern w:val="2"/>
                <w:szCs w:val="24"/>
              </w:rPr>
              <w:t xml:space="preserve">supply chain </w:t>
            </w:r>
            <w:r>
              <w:rPr>
                <w:rFonts w:eastAsiaTheme="minorEastAsia" w:hint="eastAsia"/>
                <w:kern w:val="2"/>
                <w:szCs w:val="24"/>
              </w:rPr>
              <w:t>management</w:t>
            </w:r>
          </w:p>
        </w:tc>
      </w:tr>
      <w:tr w:rsidR="00AD548A" w14:paraId="1AE5E626" w14:textId="77777777">
        <w:trPr>
          <w:jc w:val="center"/>
        </w:trPr>
        <w:tc>
          <w:tcPr>
            <w:tcW w:w="2610" w:type="dxa"/>
            <w:vMerge w:val="restart"/>
            <w:vAlign w:val="center"/>
          </w:tcPr>
          <w:p w14:paraId="6DC55FF9"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kern w:val="2"/>
                <w:szCs w:val="24"/>
              </w:rPr>
              <w:t>SME 7</w:t>
            </w:r>
          </w:p>
        </w:tc>
        <w:tc>
          <w:tcPr>
            <w:tcW w:w="4583" w:type="dxa"/>
            <w:vMerge w:val="restart"/>
            <w:vAlign w:val="center"/>
          </w:tcPr>
          <w:p w14:paraId="47FFC2BA"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Safety devices</w:t>
            </w:r>
          </w:p>
        </w:tc>
        <w:tc>
          <w:tcPr>
            <w:tcW w:w="6975" w:type="dxa"/>
            <w:vAlign w:val="center"/>
          </w:tcPr>
          <w:p w14:paraId="39DE295F"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Business owner</w:t>
            </w:r>
          </w:p>
        </w:tc>
      </w:tr>
      <w:tr w:rsidR="00AD548A" w14:paraId="52A9AF40" w14:textId="77777777">
        <w:trPr>
          <w:jc w:val="center"/>
        </w:trPr>
        <w:tc>
          <w:tcPr>
            <w:tcW w:w="2610" w:type="dxa"/>
            <w:vMerge/>
            <w:vAlign w:val="center"/>
          </w:tcPr>
          <w:p w14:paraId="00BB01F8" w14:textId="77777777" w:rsidR="00AD548A" w:rsidRDefault="00AD548A">
            <w:pPr>
              <w:snapToGrid w:val="0"/>
              <w:spacing w:line="240" w:lineRule="auto"/>
              <w:ind w:firstLineChars="0" w:firstLine="0"/>
              <w:jc w:val="center"/>
              <w:rPr>
                <w:rFonts w:eastAsiaTheme="minorEastAsia"/>
                <w:kern w:val="2"/>
                <w:szCs w:val="24"/>
              </w:rPr>
            </w:pPr>
          </w:p>
        </w:tc>
        <w:tc>
          <w:tcPr>
            <w:tcW w:w="4583" w:type="dxa"/>
            <w:vMerge/>
            <w:vAlign w:val="center"/>
          </w:tcPr>
          <w:p w14:paraId="2147497B" w14:textId="77777777" w:rsidR="00AD548A" w:rsidRDefault="00AD548A">
            <w:pPr>
              <w:snapToGrid w:val="0"/>
              <w:spacing w:line="240" w:lineRule="auto"/>
              <w:ind w:firstLineChars="0" w:firstLine="0"/>
              <w:jc w:val="left"/>
              <w:rPr>
                <w:rFonts w:eastAsiaTheme="minorEastAsia"/>
                <w:kern w:val="2"/>
                <w:szCs w:val="24"/>
              </w:rPr>
            </w:pPr>
          </w:p>
        </w:tc>
        <w:tc>
          <w:tcPr>
            <w:tcW w:w="6975" w:type="dxa"/>
            <w:vAlign w:val="center"/>
          </w:tcPr>
          <w:p w14:paraId="46DACAFA"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Manager </w:t>
            </w:r>
            <w:r>
              <w:rPr>
                <w:rFonts w:eastAsiaTheme="minorEastAsia" w:hint="eastAsia"/>
                <w:kern w:val="2"/>
                <w:szCs w:val="24"/>
              </w:rPr>
              <w:t>of</w:t>
            </w:r>
            <w:r>
              <w:rPr>
                <w:rFonts w:eastAsiaTheme="minorEastAsia"/>
                <w:kern w:val="2"/>
                <w:szCs w:val="24"/>
              </w:rPr>
              <w:t xml:space="preserve"> product development </w:t>
            </w:r>
          </w:p>
        </w:tc>
      </w:tr>
      <w:tr w:rsidR="00AD548A" w14:paraId="7624BA47" w14:textId="77777777">
        <w:trPr>
          <w:jc w:val="center"/>
        </w:trPr>
        <w:tc>
          <w:tcPr>
            <w:tcW w:w="2610" w:type="dxa"/>
            <w:vMerge w:val="restart"/>
            <w:vAlign w:val="center"/>
          </w:tcPr>
          <w:p w14:paraId="52B504EA"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kern w:val="2"/>
                <w:szCs w:val="24"/>
              </w:rPr>
              <w:t>SME 8</w:t>
            </w:r>
          </w:p>
        </w:tc>
        <w:tc>
          <w:tcPr>
            <w:tcW w:w="4583" w:type="dxa"/>
            <w:vMerge w:val="restart"/>
            <w:vAlign w:val="center"/>
          </w:tcPr>
          <w:p w14:paraId="058A569C"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Sensing devices</w:t>
            </w:r>
          </w:p>
        </w:tc>
        <w:tc>
          <w:tcPr>
            <w:tcW w:w="6975" w:type="dxa"/>
            <w:vAlign w:val="center"/>
          </w:tcPr>
          <w:p w14:paraId="27294ABB"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Director </w:t>
            </w:r>
            <w:r>
              <w:rPr>
                <w:rFonts w:eastAsiaTheme="minorEastAsia" w:hint="eastAsia"/>
                <w:kern w:val="2"/>
                <w:szCs w:val="24"/>
              </w:rPr>
              <w:t>of customer management</w:t>
            </w:r>
          </w:p>
        </w:tc>
      </w:tr>
      <w:tr w:rsidR="00AD548A" w14:paraId="4FC8BE19" w14:textId="77777777">
        <w:trPr>
          <w:jc w:val="center"/>
        </w:trPr>
        <w:tc>
          <w:tcPr>
            <w:tcW w:w="2610" w:type="dxa"/>
            <w:vMerge/>
            <w:vAlign w:val="center"/>
          </w:tcPr>
          <w:p w14:paraId="7A0B2788" w14:textId="77777777" w:rsidR="00AD548A" w:rsidRDefault="00AD548A">
            <w:pPr>
              <w:snapToGrid w:val="0"/>
              <w:spacing w:line="240" w:lineRule="auto"/>
              <w:ind w:firstLineChars="0" w:firstLine="0"/>
              <w:jc w:val="center"/>
              <w:rPr>
                <w:rFonts w:eastAsiaTheme="minorEastAsia"/>
                <w:kern w:val="2"/>
                <w:szCs w:val="24"/>
              </w:rPr>
            </w:pPr>
          </w:p>
        </w:tc>
        <w:tc>
          <w:tcPr>
            <w:tcW w:w="4583" w:type="dxa"/>
            <w:vMerge/>
            <w:vAlign w:val="center"/>
          </w:tcPr>
          <w:p w14:paraId="18F8826C" w14:textId="77777777" w:rsidR="00AD548A" w:rsidRDefault="00AD548A">
            <w:pPr>
              <w:snapToGrid w:val="0"/>
              <w:spacing w:line="240" w:lineRule="auto"/>
              <w:ind w:firstLineChars="0" w:firstLine="0"/>
              <w:jc w:val="left"/>
              <w:rPr>
                <w:rFonts w:eastAsiaTheme="minorEastAsia"/>
                <w:kern w:val="2"/>
                <w:szCs w:val="24"/>
              </w:rPr>
            </w:pPr>
          </w:p>
        </w:tc>
        <w:tc>
          <w:tcPr>
            <w:tcW w:w="6975" w:type="dxa"/>
            <w:vAlign w:val="center"/>
          </w:tcPr>
          <w:p w14:paraId="10B02003"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Director of product development </w:t>
            </w:r>
          </w:p>
        </w:tc>
      </w:tr>
      <w:tr w:rsidR="00AD548A" w14:paraId="50C3B162" w14:textId="77777777">
        <w:trPr>
          <w:jc w:val="center"/>
        </w:trPr>
        <w:tc>
          <w:tcPr>
            <w:tcW w:w="2610" w:type="dxa"/>
            <w:vMerge w:val="restart"/>
            <w:vAlign w:val="center"/>
          </w:tcPr>
          <w:p w14:paraId="6331A8F6"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kern w:val="2"/>
                <w:szCs w:val="24"/>
              </w:rPr>
              <w:t>SME 9</w:t>
            </w:r>
          </w:p>
        </w:tc>
        <w:tc>
          <w:tcPr>
            <w:tcW w:w="4583" w:type="dxa"/>
            <w:vMerge w:val="restart"/>
            <w:vAlign w:val="center"/>
          </w:tcPr>
          <w:p w14:paraId="032BC415"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Testing and Simulation Equipment</w:t>
            </w:r>
          </w:p>
        </w:tc>
        <w:tc>
          <w:tcPr>
            <w:tcW w:w="6975" w:type="dxa"/>
            <w:vAlign w:val="center"/>
          </w:tcPr>
          <w:p w14:paraId="410DFD85"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Senior manager </w:t>
            </w:r>
            <w:r>
              <w:rPr>
                <w:rFonts w:eastAsiaTheme="minorEastAsia" w:hint="eastAsia"/>
                <w:kern w:val="2"/>
                <w:szCs w:val="24"/>
              </w:rPr>
              <w:t>of operation management</w:t>
            </w:r>
          </w:p>
        </w:tc>
      </w:tr>
      <w:tr w:rsidR="00AD548A" w14:paraId="4DC89CA8" w14:textId="77777777">
        <w:trPr>
          <w:jc w:val="center"/>
        </w:trPr>
        <w:tc>
          <w:tcPr>
            <w:tcW w:w="2610" w:type="dxa"/>
            <w:vMerge/>
            <w:vAlign w:val="center"/>
          </w:tcPr>
          <w:p w14:paraId="7E78D3D1" w14:textId="77777777" w:rsidR="00AD548A" w:rsidRDefault="00AD548A">
            <w:pPr>
              <w:snapToGrid w:val="0"/>
              <w:spacing w:line="240" w:lineRule="auto"/>
              <w:ind w:firstLineChars="0" w:firstLine="0"/>
              <w:jc w:val="center"/>
              <w:rPr>
                <w:rFonts w:eastAsiaTheme="minorEastAsia"/>
                <w:kern w:val="2"/>
                <w:szCs w:val="24"/>
              </w:rPr>
            </w:pPr>
          </w:p>
        </w:tc>
        <w:tc>
          <w:tcPr>
            <w:tcW w:w="4583" w:type="dxa"/>
            <w:vMerge/>
            <w:vAlign w:val="center"/>
          </w:tcPr>
          <w:p w14:paraId="7C62E33F" w14:textId="77777777" w:rsidR="00AD548A" w:rsidRDefault="00AD548A">
            <w:pPr>
              <w:snapToGrid w:val="0"/>
              <w:spacing w:line="240" w:lineRule="auto"/>
              <w:ind w:firstLineChars="0" w:firstLine="0"/>
              <w:jc w:val="left"/>
              <w:rPr>
                <w:rFonts w:eastAsiaTheme="minorEastAsia"/>
                <w:kern w:val="2"/>
                <w:szCs w:val="24"/>
              </w:rPr>
            </w:pPr>
          </w:p>
        </w:tc>
        <w:tc>
          <w:tcPr>
            <w:tcW w:w="6975" w:type="dxa"/>
            <w:vAlign w:val="center"/>
          </w:tcPr>
          <w:p w14:paraId="78B4DE7F"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Director </w:t>
            </w:r>
            <w:r>
              <w:rPr>
                <w:rFonts w:eastAsiaTheme="minorEastAsia" w:hint="eastAsia"/>
                <w:kern w:val="2"/>
                <w:szCs w:val="24"/>
              </w:rPr>
              <w:t>of</w:t>
            </w:r>
            <w:r>
              <w:rPr>
                <w:rFonts w:eastAsiaTheme="minorEastAsia"/>
                <w:kern w:val="2"/>
                <w:szCs w:val="24"/>
              </w:rPr>
              <w:t xml:space="preserve"> production </w:t>
            </w:r>
            <w:r>
              <w:rPr>
                <w:rFonts w:eastAsiaTheme="minorEastAsia" w:hint="eastAsia"/>
                <w:kern w:val="2"/>
                <w:szCs w:val="24"/>
              </w:rPr>
              <w:t>management</w:t>
            </w:r>
          </w:p>
        </w:tc>
      </w:tr>
      <w:tr w:rsidR="00AD548A" w14:paraId="64B569D8" w14:textId="77777777">
        <w:trPr>
          <w:jc w:val="center"/>
        </w:trPr>
        <w:tc>
          <w:tcPr>
            <w:tcW w:w="2610" w:type="dxa"/>
            <w:vMerge w:val="restart"/>
            <w:vAlign w:val="center"/>
          </w:tcPr>
          <w:p w14:paraId="242EAFE0"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kern w:val="2"/>
                <w:szCs w:val="24"/>
              </w:rPr>
              <w:t>SME 10</w:t>
            </w:r>
          </w:p>
        </w:tc>
        <w:tc>
          <w:tcPr>
            <w:tcW w:w="4583" w:type="dxa"/>
            <w:vMerge w:val="restart"/>
            <w:vAlign w:val="center"/>
          </w:tcPr>
          <w:p w14:paraId="2E1DEBDC"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Communication Interfaces</w:t>
            </w:r>
          </w:p>
        </w:tc>
        <w:tc>
          <w:tcPr>
            <w:tcW w:w="6975" w:type="dxa"/>
            <w:vAlign w:val="center"/>
          </w:tcPr>
          <w:p w14:paraId="4CEE1556"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Manager </w:t>
            </w:r>
            <w:r>
              <w:rPr>
                <w:rFonts w:eastAsiaTheme="minorEastAsia" w:hint="eastAsia"/>
                <w:kern w:val="2"/>
                <w:szCs w:val="24"/>
              </w:rPr>
              <w:t>of</w:t>
            </w:r>
            <w:r>
              <w:rPr>
                <w:rFonts w:eastAsiaTheme="minorEastAsia"/>
                <w:kern w:val="2"/>
                <w:szCs w:val="24"/>
              </w:rPr>
              <w:t xml:space="preserve"> production </w:t>
            </w:r>
            <w:r>
              <w:rPr>
                <w:rFonts w:eastAsiaTheme="minorEastAsia" w:hint="eastAsia"/>
                <w:kern w:val="2"/>
                <w:szCs w:val="24"/>
              </w:rPr>
              <w:t>management</w:t>
            </w:r>
          </w:p>
        </w:tc>
      </w:tr>
      <w:tr w:rsidR="00AD548A" w14:paraId="2704A5C7" w14:textId="77777777">
        <w:trPr>
          <w:jc w:val="center"/>
        </w:trPr>
        <w:tc>
          <w:tcPr>
            <w:tcW w:w="2610" w:type="dxa"/>
            <w:vMerge/>
            <w:tcBorders>
              <w:bottom w:val="single" w:sz="4" w:space="0" w:color="auto"/>
            </w:tcBorders>
            <w:vAlign w:val="center"/>
          </w:tcPr>
          <w:p w14:paraId="1EAA6900" w14:textId="77777777" w:rsidR="00AD548A" w:rsidRDefault="00AD548A">
            <w:pPr>
              <w:snapToGrid w:val="0"/>
              <w:spacing w:line="240" w:lineRule="auto"/>
              <w:ind w:firstLineChars="0" w:firstLine="0"/>
              <w:jc w:val="center"/>
              <w:rPr>
                <w:rFonts w:eastAsiaTheme="minorEastAsia"/>
                <w:kern w:val="2"/>
                <w:szCs w:val="24"/>
              </w:rPr>
            </w:pPr>
          </w:p>
        </w:tc>
        <w:tc>
          <w:tcPr>
            <w:tcW w:w="4583" w:type="dxa"/>
            <w:vMerge/>
            <w:tcBorders>
              <w:bottom w:val="single" w:sz="4" w:space="0" w:color="auto"/>
            </w:tcBorders>
            <w:vAlign w:val="center"/>
          </w:tcPr>
          <w:p w14:paraId="0A8ADD33" w14:textId="77777777" w:rsidR="00AD548A" w:rsidRDefault="00AD548A">
            <w:pPr>
              <w:snapToGrid w:val="0"/>
              <w:spacing w:line="240" w:lineRule="auto"/>
              <w:ind w:firstLineChars="0" w:firstLine="0"/>
              <w:jc w:val="left"/>
              <w:rPr>
                <w:rFonts w:eastAsiaTheme="minorEastAsia"/>
                <w:kern w:val="2"/>
                <w:szCs w:val="24"/>
              </w:rPr>
            </w:pPr>
          </w:p>
        </w:tc>
        <w:tc>
          <w:tcPr>
            <w:tcW w:w="6975" w:type="dxa"/>
            <w:tcBorders>
              <w:bottom w:val="single" w:sz="4" w:space="0" w:color="auto"/>
            </w:tcBorders>
            <w:vAlign w:val="center"/>
          </w:tcPr>
          <w:p w14:paraId="0C54A9D9"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Senior manager </w:t>
            </w:r>
            <w:r>
              <w:rPr>
                <w:rFonts w:eastAsiaTheme="minorEastAsia" w:hint="eastAsia"/>
                <w:kern w:val="2"/>
                <w:szCs w:val="24"/>
              </w:rPr>
              <w:t>pf</w:t>
            </w:r>
            <w:r>
              <w:rPr>
                <w:rFonts w:eastAsiaTheme="minorEastAsia"/>
                <w:kern w:val="2"/>
                <w:szCs w:val="24"/>
              </w:rPr>
              <w:t xml:space="preserve"> marketing </w:t>
            </w:r>
            <w:r>
              <w:rPr>
                <w:rFonts w:eastAsiaTheme="minorEastAsia" w:hint="eastAsia"/>
                <w:kern w:val="2"/>
                <w:szCs w:val="24"/>
              </w:rPr>
              <w:t>management</w:t>
            </w:r>
          </w:p>
        </w:tc>
      </w:tr>
      <w:tr w:rsidR="00AD548A" w14:paraId="7CC855B4" w14:textId="77777777">
        <w:trPr>
          <w:jc w:val="center"/>
        </w:trPr>
        <w:tc>
          <w:tcPr>
            <w:tcW w:w="2610" w:type="dxa"/>
            <w:tcBorders>
              <w:top w:val="single" w:sz="4" w:space="0" w:color="auto"/>
              <w:bottom w:val="single" w:sz="4" w:space="0" w:color="auto"/>
            </w:tcBorders>
            <w:shd w:val="clear" w:color="auto" w:fill="EDEDED" w:themeFill="accent3" w:themeFillTint="33"/>
            <w:vAlign w:val="center"/>
          </w:tcPr>
          <w:p w14:paraId="785882C1" w14:textId="77777777" w:rsidR="00AD548A" w:rsidRDefault="00000000">
            <w:pPr>
              <w:snapToGrid w:val="0"/>
              <w:spacing w:line="240" w:lineRule="auto"/>
              <w:ind w:firstLineChars="0" w:firstLine="0"/>
              <w:jc w:val="center"/>
              <w:rPr>
                <w:rFonts w:eastAsiaTheme="minorEastAsia"/>
                <w:b/>
                <w:bCs/>
                <w:kern w:val="2"/>
                <w:szCs w:val="24"/>
              </w:rPr>
            </w:pPr>
            <w:r>
              <w:rPr>
                <w:rFonts w:eastAsiaTheme="minorEastAsia" w:hint="eastAsia"/>
                <w:b/>
                <w:bCs/>
                <w:kern w:val="2"/>
                <w:szCs w:val="24"/>
              </w:rPr>
              <w:t>Buyer</w:t>
            </w:r>
            <w:r>
              <w:rPr>
                <w:rFonts w:eastAsiaTheme="minorEastAsia"/>
                <w:b/>
                <w:bCs/>
                <w:kern w:val="2"/>
                <w:szCs w:val="24"/>
              </w:rPr>
              <w:t>s</w:t>
            </w:r>
          </w:p>
        </w:tc>
        <w:tc>
          <w:tcPr>
            <w:tcW w:w="4583" w:type="dxa"/>
            <w:tcBorders>
              <w:top w:val="single" w:sz="4" w:space="0" w:color="auto"/>
              <w:bottom w:val="single" w:sz="4" w:space="0" w:color="auto"/>
            </w:tcBorders>
            <w:shd w:val="clear" w:color="auto" w:fill="EDEDED" w:themeFill="accent3" w:themeFillTint="33"/>
            <w:vAlign w:val="center"/>
          </w:tcPr>
          <w:p w14:paraId="769D208B" w14:textId="77777777" w:rsidR="00AD548A" w:rsidRDefault="00000000">
            <w:pPr>
              <w:snapToGrid w:val="0"/>
              <w:spacing w:line="240" w:lineRule="auto"/>
              <w:ind w:firstLineChars="0" w:firstLine="0"/>
              <w:jc w:val="center"/>
              <w:rPr>
                <w:rFonts w:eastAsiaTheme="minorEastAsia"/>
                <w:b/>
                <w:bCs/>
                <w:kern w:val="2"/>
                <w:szCs w:val="24"/>
              </w:rPr>
            </w:pPr>
            <w:r>
              <w:rPr>
                <w:rFonts w:eastAsiaTheme="minorEastAsia"/>
                <w:b/>
                <w:bCs/>
                <w:kern w:val="2"/>
                <w:szCs w:val="24"/>
              </w:rPr>
              <w:t>Main Business</w:t>
            </w:r>
          </w:p>
        </w:tc>
        <w:tc>
          <w:tcPr>
            <w:tcW w:w="6975" w:type="dxa"/>
            <w:tcBorders>
              <w:top w:val="single" w:sz="4" w:space="0" w:color="auto"/>
              <w:bottom w:val="single" w:sz="4" w:space="0" w:color="auto"/>
            </w:tcBorders>
            <w:shd w:val="clear" w:color="auto" w:fill="EDEDED" w:themeFill="accent3" w:themeFillTint="33"/>
            <w:vAlign w:val="center"/>
          </w:tcPr>
          <w:p w14:paraId="04F66D36" w14:textId="77777777" w:rsidR="00AD548A" w:rsidRDefault="00000000">
            <w:pPr>
              <w:snapToGrid w:val="0"/>
              <w:spacing w:line="240" w:lineRule="auto"/>
              <w:ind w:firstLineChars="0" w:firstLine="0"/>
              <w:jc w:val="center"/>
              <w:rPr>
                <w:rFonts w:eastAsiaTheme="minorEastAsia"/>
                <w:b/>
                <w:bCs/>
                <w:kern w:val="2"/>
                <w:szCs w:val="24"/>
              </w:rPr>
            </w:pPr>
            <w:r>
              <w:rPr>
                <w:rFonts w:eastAsiaTheme="minorEastAsia"/>
                <w:b/>
                <w:bCs/>
                <w:kern w:val="2"/>
                <w:szCs w:val="24"/>
              </w:rPr>
              <w:t>Informant details</w:t>
            </w:r>
          </w:p>
        </w:tc>
      </w:tr>
      <w:tr w:rsidR="00AD548A" w14:paraId="531EFB3A" w14:textId="77777777">
        <w:trPr>
          <w:jc w:val="center"/>
        </w:trPr>
        <w:tc>
          <w:tcPr>
            <w:tcW w:w="2610" w:type="dxa"/>
            <w:tcBorders>
              <w:top w:val="single" w:sz="4" w:space="0" w:color="auto"/>
            </w:tcBorders>
            <w:vAlign w:val="center"/>
          </w:tcPr>
          <w:p w14:paraId="2C8CD739"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hint="eastAsia"/>
                <w:kern w:val="2"/>
                <w:szCs w:val="24"/>
              </w:rPr>
              <w:t>Buyer</w:t>
            </w:r>
            <w:r>
              <w:rPr>
                <w:rFonts w:eastAsiaTheme="minorEastAsia"/>
                <w:kern w:val="2"/>
                <w:szCs w:val="24"/>
              </w:rPr>
              <w:t xml:space="preserve"> 1</w:t>
            </w:r>
          </w:p>
        </w:tc>
        <w:tc>
          <w:tcPr>
            <w:tcW w:w="4583" w:type="dxa"/>
            <w:tcBorders>
              <w:top w:val="single" w:sz="4" w:space="0" w:color="auto"/>
            </w:tcBorders>
            <w:vAlign w:val="center"/>
          </w:tcPr>
          <w:p w14:paraId="322970DC"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Energy machinery</w:t>
            </w:r>
          </w:p>
        </w:tc>
        <w:tc>
          <w:tcPr>
            <w:tcW w:w="6975" w:type="dxa"/>
            <w:tcBorders>
              <w:top w:val="single" w:sz="4" w:space="0" w:color="auto"/>
            </w:tcBorders>
            <w:vAlign w:val="center"/>
          </w:tcPr>
          <w:p w14:paraId="7ADB88E0"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Manager in supplier management</w:t>
            </w:r>
          </w:p>
        </w:tc>
      </w:tr>
      <w:tr w:rsidR="00AD548A" w14:paraId="64A76ED8" w14:textId="77777777">
        <w:trPr>
          <w:jc w:val="center"/>
        </w:trPr>
        <w:tc>
          <w:tcPr>
            <w:tcW w:w="2610" w:type="dxa"/>
            <w:vAlign w:val="center"/>
          </w:tcPr>
          <w:p w14:paraId="6698B1AA" w14:textId="77777777" w:rsidR="00AD548A" w:rsidRDefault="00AD548A">
            <w:pPr>
              <w:snapToGrid w:val="0"/>
              <w:spacing w:line="240" w:lineRule="auto"/>
              <w:ind w:firstLineChars="0" w:firstLine="0"/>
              <w:jc w:val="center"/>
              <w:rPr>
                <w:rFonts w:eastAsiaTheme="minorEastAsia"/>
                <w:kern w:val="2"/>
                <w:szCs w:val="24"/>
              </w:rPr>
            </w:pPr>
          </w:p>
        </w:tc>
        <w:tc>
          <w:tcPr>
            <w:tcW w:w="4583" w:type="dxa"/>
            <w:vAlign w:val="center"/>
          </w:tcPr>
          <w:p w14:paraId="0AE4BF8C" w14:textId="77777777" w:rsidR="00AD548A" w:rsidRDefault="00AD548A">
            <w:pPr>
              <w:snapToGrid w:val="0"/>
              <w:spacing w:line="240" w:lineRule="auto"/>
              <w:ind w:firstLineChars="0" w:firstLine="0"/>
              <w:jc w:val="left"/>
              <w:rPr>
                <w:rFonts w:eastAsiaTheme="minorEastAsia"/>
                <w:kern w:val="2"/>
                <w:szCs w:val="24"/>
              </w:rPr>
            </w:pPr>
          </w:p>
        </w:tc>
        <w:tc>
          <w:tcPr>
            <w:tcW w:w="6975" w:type="dxa"/>
            <w:vAlign w:val="center"/>
          </w:tcPr>
          <w:p w14:paraId="049509D9"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Manager in business relationship</w:t>
            </w:r>
          </w:p>
        </w:tc>
      </w:tr>
      <w:tr w:rsidR="00AD548A" w14:paraId="6A9A06FA" w14:textId="77777777">
        <w:trPr>
          <w:jc w:val="center"/>
        </w:trPr>
        <w:tc>
          <w:tcPr>
            <w:tcW w:w="2610" w:type="dxa"/>
            <w:vAlign w:val="center"/>
          </w:tcPr>
          <w:p w14:paraId="06544A56"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hint="eastAsia"/>
                <w:kern w:val="2"/>
                <w:szCs w:val="24"/>
              </w:rPr>
              <w:lastRenderedPageBreak/>
              <w:t>Buyer</w:t>
            </w:r>
            <w:r>
              <w:rPr>
                <w:rFonts w:eastAsiaTheme="minorEastAsia"/>
                <w:kern w:val="2"/>
                <w:szCs w:val="24"/>
              </w:rPr>
              <w:t xml:space="preserve"> 2</w:t>
            </w:r>
          </w:p>
        </w:tc>
        <w:tc>
          <w:tcPr>
            <w:tcW w:w="4583" w:type="dxa"/>
            <w:vAlign w:val="center"/>
          </w:tcPr>
          <w:p w14:paraId="6AB46E00"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 xml:space="preserve">Automotive </w:t>
            </w:r>
          </w:p>
        </w:tc>
        <w:tc>
          <w:tcPr>
            <w:tcW w:w="6975" w:type="dxa"/>
            <w:vAlign w:val="center"/>
          </w:tcPr>
          <w:p w14:paraId="26ECEF03"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Director in operation management</w:t>
            </w:r>
          </w:p>
        </w:tc>
      </w:tr>
      <w:tr w:rsidR="00AD548A" w14:paraId="5088FC20" w14:textId="77777777">
        <w:trPr>
          <w:jc w:val="center"/>
        </w:trPr>
        <w:tc>
          <w:tcPr>
            <w:tcW w:w="2610" w:type="dxa"/>
            <w:vAlign w:val="center"/>
          </w:tcPr>
          <w:p w14:paraId="320A8A33" w14:textId="77777777" w:rsidR="00AD548A" w:rsidRDefault="00AD548A">
            <w:pPr>
              <w:snapToGrid w:val="0"/>
              <w:spacing w:line="240" w:lineRule="auto"/>
              <w:ind w:firstLineChars="0" w:firstLine="0"/>
              <w:jc w:val="center"/>
              <w:rPr>
                <w:rFonts w:eastAsiaTheme="minorEastAsia"/>
                <w:kern w:val="2"/>
                <w:szCs w:val="24"/>
              </w:rPr>
            </w:pPr>
          </w:p>
        </w:tc>
        <w:tc>
          <w:tcPr>
            <w:tcW w:w="4583" w:type="dxa"/>
            <w:vAlign w:val="center"/>
          </w:tcPr>
          <w:p w14:paraId="59649726" w14:textId="77777777" w:rsidR="00AD548A" w:rsidRDefault="00AD548A">
            <w:pPr>
              <w:snapToGrid w:val="0"/>
              <w:spacing w:line="240" w:lineRule="auto"/>
              <w:ind w:firstLineChars="0" w:firstLine="0"/>
              <w:jc w:val="left"/>
              <w:rPr>
                <w:rFonts w:eastAsiaTheme="minorEastAsia"/>
                <w:kern w:val="2"/>
                <w:szCs w:val="24"/>
              </w:rPr>
            </w:pPr>
          </w:p>
        </w:tc>
        <w:tc>
          <w:tcPr>
            <w:tcW w:w="6975" w:type="dxa"/>
            <w:vAlign w:val="center"/>
          </w:tcPr>
          <w:p w14:paraId="030777BB"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Manager in procurement</w:t>
            </w:r>
          </w:p>
        </w:tc>
      </w:tr>
      <w:tr w:rsidR="00AD548A" w14:paraId="7D41BB02" w14:textId="77777777">
        <w:trPr>
          <w:jc w:val="center"/>
        </w:trPr>
        <w:tc>
          <w:tcPr>
            <w:tcW w:w="2610" w:type="dxa"/>
            <w:vAlign w:val="center"/>
          </w:tcPr>
          <w:p w14:paraId="323D4480"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hint="eastAsia"/>
                <w:kern w:val="2"/>
                <w:szCs w:val="24"/>
              </w:rPr>
              <w:t>Buyer</w:t>
            </w:r>
            <w:r>
              <w:rPr>
                <w:rFonts w:eastAsiaTheme="minorEastAsia"/>
                <w:kern w:val="2"/>
                <w:szCs w:val="24"/>
              </w:rPr>
              <w:t xml:space="preserve"> 3</w:t>
            </w:r>
          </w:p>
        </w:tc>
        <w:tc>
          <w:tcPr>
            <w:tcW w:w="4583" w:type="dxa"/>
            <w:vAlign w:val="center"/>
          </w:tcPr>
          <w:p w14:paraId="7379AA0E"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Electronics</w:t>
            </w:r>
          </w:p>
        </w:tc>
        <w:tc>
          <w:tcPr>
            <w:tcW w:w="6975" w:type="dxa"/>
            <w:vAlign w:val="center"/>
          </w:tcPr>
          <w:p w14:paraId="1D7DC6D6"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Director in operation management</w:t>
            </w:r>
          </w:p>
        </w:tc>
      </w:tr>
      <w:tr w:rsidR="00AD548A" w14:paraId="22F77993" w14:textId="77777777">
        <w:trPr>
          <w:jc w:val="center"/>
        </w:trPr>
        <w:tc>
          <w:tcPr>
            <w:tcW w:w="2610" w:type="dxa"/>
            <w:vAlign w:val="center"/>
          </w:tcPr>
          <w:p w14:paraId="5DB02F90" w14:textId="77777777" w:rsidR="00AD548A" w:rsidRDefault="00AD548A">
            <w:pPr>
              <w:snapToGrid w:val="0"/>
              <w:spacing w:line="240" w:lineRule="auto"/>
              <w:ind w:firstLineChars="0" w:firstLine="0"/>
              <w:jc w:val="center"/>
              <w:rPr>
                <w:rFonts w:eastAsiaTheme="minorEastAsia"/>
                <w:kern w:val="2"/>
                <w:szCs w:val="24"/>
              </w:rPr>
            </w:pPr>
          </w:p>
        </w:tc>
        <w:tc>
          <w:tcPr>
            <w:tcW w:w="4583" w:type="dxa"/>
            <w:vAlign w:val="center"/>
          </w:tcPr>
          <w:p w14:paraId="4B1DA09F" w14:textId="77777777" w:rsidR="00AD548A" w:rsidRDefault="00AD548A">
            <w:pPr>
              <w:snapToGrid w:val="0"/>
              <w:spacing w:line="240" w:lineRule="auto"/>
              <w:ind w:firstLineChars="0" w:firstLine="0"/>
              <w:jc w:val="left"/>
              <w:rPr>
                <w:rFonts w:eastAsiaTheme="minorEastAsia"/>
                <w:kern w:val="2"/>
                <w:szCs w:val="24"/>
              </w:rPr>
            </w:pPr>
          </w:p>
        </w:tc>
        <w:tc>
          <w:tcPr>
            <w:tcW w:w="6975" w:type="dxa"/>
            <w:vAlign w:val="center"/>
          </w:tcPr>
          <w:p w14:paraId="4AA7D086"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Director in supplier management</w:t>
            </w:r>
          </w:p>
        </w:tc>
      </w:tr>
      <w:tr w:rsidR="00AD548A" w14:paraId="15F295EE" w14:textId="77777777">
        <w:trPr>
          <w:jc w:val="center"/>
        </w:trPr>
        <w:tc>
          <w:tcPr>
            <w:tcW w:w="2610" w:type="dxa"/>
            <w:vAlign w:val="center"/>
          </w:tcPr>
          <w:p w14:paraId="0AFFCE87"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hint="eastAsia"/>
                <w:kern w:val="2"/>
                <w:szCs w:val="24"/>
              </w:rPr>
              <w:t>Buyer</w:t>
            </w:r>
            <w:r>
              <w:rPr>
                <w:rFonts w:eastAsiaTheme="minorEastAsia"/>
                <w:kern w:val="2"/>
                <w:szCs w:val="24"/>
              </w:rPr>
              <w:t xml:space="preserve"> 4</w:t>
            </w:r>
          </w:p>
        </w:tc>
        <w:tc>
          <w:tcPr>
            <w:tcW w:w="4583" w:type="dxa"/>
            <w:vAlign w:val="center"/>
          </w:tcPr>
          <w:p w14:paraId="12A2C785"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Scientific equipment</w:t>
            </w:r>
          </w:p>
        </w:tc>
        <w:tc>
          <w:tcPr>
            <w:tcW w:w="6975" w:type="dxa"/>
            <w:vAlign w:val="center"/>
          </w:tcPr>
          <w:p w14:paraId="09CCEED2"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Manager in procurement</w:t>
            </w:r>
          </w:p>
        </w:tc>
      </w:tr>
      <w:tr w:rsidR="00AD548A" w14:paraId="0DBB4F6A" w14:textId="77777777">
        <w:trPr>
          <w:jc w:val="center"/>
        </w:trPr>
        <w:tc>
          <w:tcPr>
            <w:tcW w:w="2610" w:type="dxa"/>
            <w:vAlign w:val="center"/>
          </w:tcPr>
          <w:p w14:paraId="166E8250" w14:textId="77777777" w:rsidR="00AD548A" w:rsidRDefault="00AD548A">
            <w:pPr>
              <w:snapToGrid w:val="0"/>
              <w:spacing w:line="240" w:lineRule="auto"/>
              <w:ind w:firstLineChars="0" w:firstLine="0"/>
              <w:jc w:val="center"/>
              <w:rPr>
                <w:rFonts w:eastAsiaTheme="minorEastAsia"/>
                <w:kern w:val="2"/>
                <w:szCs w:val="24"/>
              </w:rPr>
            </w:pPr>
          </w:p>
        </w:tc>
        <w:tc>
          <w:tcPr>
            <w:tcW w:w="4583" w:type="dxa"/>
            <w:vAlign w:val="center"/>
          </w:tcPr>
          <w:p w14:paraId="2889E90B" w14:textId="77777777" w:rsidR="00AD548A" w:rsidRDefault="00AD548A">
            <w:pPr>
              <w:snapToGrid w:val="0"/>
              <w:spacing w:line="240" w:lineRule="auto"/>
              <w:ind w:firstLineChars="0" w:firstLine="0"/>
              <w:jc w:val="left"/>
              <w:rPr>
                <w:rFonts w:eastAsiaTheme="minorEastAsia"/>
                <w:kern w:val="2"/>
                <w:szCs w:val="24"/>
              </w:rPr>
            </w:pPr>
          </w:p>
        </w:tc>
        <w:tc>
          <w:tcPr>
            <w:tcW w:w="6975" w:type="dxa"/>
            <w:vAlign w:val="center"/>
          </w:tcPr>
          <w:p w14:paraId="4DBE0464" w14:textId="77777777" w:rsidR="00AD548A" w:rsidRDefault="00000000">
            <w:pPr>
              <w:snapToGrid w:val="0"/>
              <w:spacing w:line="240" w:lineRule="auto"/>
              <w:ind w:firstLineChars="0" w:firstLine="0"/>
              <w:jc w:val="left"/>
              <w:rPr>
                <w:rFonts w:eastAsiaTheme="minorEastAsia"/>
                <w:kern w:val="2"/>
                <w:szCs w:val="24"/>
              </w:rPr>
            </w:pPr>
            <w:r>
              <w:rPr>
                <w:rFonts w:eastAsiaTheme="minorEastAsia"/>
                <w:kern w:val="2"/>
                <w:szCs w:val="24"/>
              </w:rPr>
              <w:t>Manager in production</w:t>
            </w:r>
          </w:p>
        </w:tc>
      </w:tr>
      <w:tr w:rsidR="00AD548A" w14:paraId="63EE0CA2" w14:textId="77777777">
        <w:trPr>
          <w:jc w:val="center"/>
        </w:trPr>
        <w:tc>
          <w:tcPr>
            <w:tcW w:w="2610" w:type="dxa"/>
            <w:tcBorders>
              <w:top w:val="single" w:sz="4" w:space="0" w:color="auto"/>
              <w:bottom w:val="single" w:sz="4" w:space="0" w:color="auto"/>
            </w:tcBorders>
            <w:shd w:val="clear" w:color="auto" w:fill="EDEDED" w:themeFill="accent3" w:themeFillTint="33"/>
            <w:vAlign w:val="center"/>
          </w:tcPr>
          <w:p w14:paraId="65E25C3D"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hint="eastAsia"/>
                <w:b/>
                <w:bCs/>
                <w:kern w:val="2"/>
                <w:szCs w:val="24"/>
                <w:lang w:val="en-US"/>
              </w:rPr>
              <w:t>Buyers</w:t>
            </w:r>
          </w:p>
        </w:tc>
        <w:tc>
          <w:tcPr>
            <w:tcW w:w="4583" w:type="dxa"/>
            <w:tcBorders>
              <w:top w:val="single" w:sz="4" w:space="0" w:color="auto"/>
              <w:bottom w:val="single" w:sz="4" w:space="0" w:color="auto"/>
            </w:tcBorders>
            <w:shd w:val="clear" w:color="auto" w:fill="EDEDED" w:themeFill="accent3" w:themeFillTint="33"/>
            <w:vAlign w:val="center"/>
          </w:tcPr>
          <w:p w14:paraId="37F97BFC" w14:textId="77777777" w:rsidR="00AD548A" w:rsidRDefault="00000000">
            <w:pPr>
              <w:snapToGrid w:val="0"/>
              <w:spacing w:line="240" w:lineRule="auto"/>
              <w:ind w:firstLineChars="0" w:firstLine="0"/>
              <w:jc w:val="left"/>
              <w:rPr>
                <w:rFonts w:eastAsiaTheme="minorEastAsia"/>
                <w:kern w:val="2"/>
                <w:szCs w:val="24"/>
              </w:rPr>
            </w:pPr>
            <w:r>
              <w:rPr>
                <w:rFonts w:eastAsiaTheme="minorEastAsia" w:hint="eastAsia"/>
                <w:b/>
                <w:bCs/>
                <w:kern w:val="2"/>
                <w:szCs w:val="24"/>
                <w:lang w:val="en-US"/>
              </w:rPr>
              <w:t>SMEs</w:t>
            </w:r>
          </w:p>
        </w:tc>
        <w:tc>
          <w:tcPr>
            <w:tcW w:w="6975" w:type="dxa"/>
            <w:tcBorders>
              <w:top w:val="single" w:sz="4" w:space="0" w:color="auto"/>
              <w:bottom w:val="single" w:sz="4" w:space="0" w:color="auto"/>
            </w:tcBorders>
            <w:shd w:val="clear" w:color="auto" w:fill="EDEDED" w:themeFill="accent3" w:themeFillTint="33"/>
            <w:vAlign w:val="center"/>
          </w:tcPr>
          <w:p w14:paraId="791634A1" w14:textId="77777777" w:rsidR="00AD548A" w:rsidRDefault="00000000">
            <w:pPr>
              <w:snapToGrid w:val="0"/>
              <w:spacing w:line="240" w:lineRule="auto"/>
              <w:ind w:firstLineChars="0" w:firstLine="0"/>
              <w:jc w:val="left"/>
              <w:rPr>
                <w:rFonts w:eastAsiaTheme="minorEastAsia"/>
                <w:kern w:val="2"/>
                <w:szCs w:val="24"/>
              </w:rPr>
            </w:pPr>
            <w:r>
              <w:rPr>
                <w:rFonts w:eastAsiaTheme="minorEastAsia" w:hint="eastAsia"/>
                <w:b/>
                <w:bCs/>
                <w:kern w:val="2"/>
                <w:szCs w:val="24"/>
                <w:lang w:val="en-US"/>
              </w:rPr>
              <w:t>Length of relationship (Year)</w:t>
            </w:r>
          </w:p>
        </w:tc>
      </w:tr>
      <w:tr w:rsidR="00AD548A" w14:paraId="0CC0E33D" w14:textId="77777777">
        <w:trPr>
          <w:jc w:val="center"/>
        </w:trPr>
        <w:tc>
          <w:tcPr>
            <w:tcW w:w="2610" w:type="dxa"/>
            <w:tcBorders>
              <w:top w:val="single" w:sz="4" w:space="0" w:color="auto"/>
            </w:tcBorders>
            <w:vAlign w:val="center"/>
          </w:tcPr>
          <w:p w14:paraId="3E677E57"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hint="eastAsia"/>
                <w:kern w:val="2"/>
                <w:szCs w:val="24"/>
              </w:rPr>
              <w:t>Buyer</w:t>
            </w:r>
            <w:r>
              <w:rPr>
                <w:rFonts w:eastAsiaTheme="minorEastAsia"/>
                <w:kern w:val="2"/>
                <w:szCs w:val="24"/>
              </w:rPr>
              <w:t xml:space="preserve"> 1</w:t>
            </w:r>
          </w:p>
        </w:tc>
        <w:tc>
          <w:tcPr>
            <w:tcW w:w="4583" w:type="dxa"/>
            <w:tcBorders>
              <w:top w:val="single" w:sz="4" w:space="0" w:color="auto"/>
            </w:tcBorders>
            <w:vAlign w:val="center"/>
          </w:tcPr>
          <w:p w14:paraId="2366A121"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SME1</w:t>
            </w:r>
          </w:p>
          <w:p w14:paraId="33403A71"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SME3</w:t>
            </w:r>
          </w:p>
          <w:p w14:paraId="420ED785"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SME6</w:t>
            </w:r>
          </w:p>
        </w:tc>
        <w:tc>
          <w:tcPr>
            <w:tcW w:w="6975" w:type="dxa"/>
            <w:tcBorders>
              <w:top w:val="single" w:sz="4" w:space="0" w:color="auto"/>
            </w:tcBorders>
            <w:vAlign w:val="center"/>
          </w:tcPr>
          <w:p w14:paraId="4E6ED452"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3</w:t>
            </w:r>
          </w:p>
          <w:p w14:paraId="0CD420D0"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5</w:t>
            </w:r>
          </w:p>
          <w:p w14:paraId="40FB88EE"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4</w:t>
            </w:r>
          </w:p>
        </w:tc>
      </w:tr>
      <w:tr w:rsidR="00AD548A" w14:paraId="11DD8A71" w14:textId="77777777">
        <w:trPr>
          <w:jc w:val="center"/>
        </w:trPr>
        <w:tc>
          <w:tcPr>
            <w:tcW w:w="2610" w:type="dxa"/>
            <w:vAlign w:val="center"/>
          </w:tcPr>
          <w:p w14:paraId="5EDA474B"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hint="eastAsia"/>
                <w:kern w:val="2"/>
                <w:szCs w:val="24"/>
              </w:rPr>
              <w:t>Buyer</w:t>
            </w:r>
            <w:r>
              <w:rPr>
                <w:rFonts w:eastAsiaTheme="minorEastAsia"/>
                <w:kern w:val="2"/>
                <w:szCs w:val="24"/>
              </w:rPr>
              <w:t xml:space="preserve"> 2</w:t>
            </w:r>
          </w:p>
        </w:tc>
        <w:tc>
          <w:tcPr>
            <w:tcW w:w="4583" w:type="dxa"/>
            <w:vAlign w:val="center"/>
          </w:tcPr>
          <w:p w14:paraId="76EDE18F"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SME1</w:t>
            </w:r>
          </w:p>
          <w:p w14:paraId="1EF31892"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SME2</w:t>
            </w:r>
          </w:p>
          <w:p w14:paraId="6F0268FC"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SME4</w:t>
            </w:r>
          </w:p>
          <w:p w14:paraId="4A82847B"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SME5</w:t>
            </w:r>
          </w:p>
        </w:tc>
        <w:tc>
          <w:tcPr>
            <w:tcW w:w="6975" w:type="dxa"/>
            <w:vAlign w:val="center"/>
          </w:tcPr>
          <w:p w14:paraId="0C21431F"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4</w:t>
            </w:r>
          </w:p>
          <w:p w14:paraId="7318A6F8"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3</w:t>
            </w:r>
          </w:p>
          <w:p w14:paraId="13CA6677"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3</w:t>
            </w:r>
          </w:p>
          <w:p w14:paraId="56C9AC22"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3</w:t>
            </w:r>
          </w:p>
        </w:tc>
      </w:tr>
      <w:tr w:rsidR="00AD548A" w14:paraId="24E36D19" w14:textId="77777777">
        <w:trPr>
          <w:jc w:val="center"/>
        </w:trPr>
        <w:tc>
          <w:tcPr>
            <w:tcW w:w="2610" w:type="dxa"/>
            <w:vAlign w:val="center"/>
          </w:tcPr>
          <w:p w14:paraId="7B14CEB7"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hint="eastAsia"/>
                <w:kern w:val="2"/>
                <w:szCs w:val="24"/>
              </w:rPr>
              <w:t>Buyer</w:t>
            </w:r>
            <w:r>
              <w:rPr>
                <w:rFonts w:eastAsiaTheme="minorEastAsia"/>
                <w:kern w:val="2"/>
                <w:szCs w:val="24"/>
              </w:rPr>
              <w:t xml:space="preserve"> 3</w:t>
            </w:r>
          </w:p>
        </w:tc>
        <w:tc>
          <w:tcPr>
            <w:tcW w:w="4583" w:type="dxa"/>
            <w:vAlign w:val="center"/>
          </w:tcPr>
          <w:p w14:paraId="684B2F20"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SME5</w:t>
            </w:r>
          </w:p>
          <w:p w14:paraId="275BC727"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SME6</w:t>
            </w:r>
          </w:p>
          <w:p w14:paraId="06F3E58F"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SME7</w:t>
            </w:r>
          </w:p>
          <w:p w14:paraId="55BA4FE0"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SME10</w:t>
            </w:r>
          </w:p>
        </w:tc>
        <w:tc>
          <w:tcPr>
            <w:tcW w:w="6975" w:type="dxa"/>
            <w:vAlign w:val="center"/>
          </w:tcPr>
          <w:p w14:paraId="679735AA"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5</w:t>
            </w:r>
          </w:p>
          <w:p w14:paraId="2EF2AD2D"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5</w:t>
            </w:r>
          </w:p>
          <w:p w14:paraId="2EEA58D6"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3</w:t>
            </w:r>
          </w:p>
          <w:p w14:paraId="6F5EDA23"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6</w:t>
            </w:r>
          </w:p>
        </w:tc>
      </w:tr>
      <w:tr w:rsidR="00AD548A" w14:paraId="648C489A" w14:textId="77777777">
        <w:trPr>
          <w:jc w:val="center"/>
        </w:trPr>
        <w:tc>
          <w:tcPr>
            <w:tcW w:w="2610" w:type="dxa"/>
            <w:vAlign w:val="center"/>
          </w:tcPr>
          <w:p w14:paraId="43DD1FA3" w14:textId="77777777" w:rsidR="00AD548A" w:rsidRDefault="00000000">
            <w:pPr>
              <w:snapToGrid w:val="0"/>
              <w:spacing w:line="240" w:lineRule="auto"/>
              <w:ind w:firstLineChars="0" w:firstLine="0"/>
              <w:jc w:val="center"/>
              <w:rPr>
                <w:rFonts w:eastAsiaTheme="minorEastAsia"/>
                <w:kern w:val="2"/>
                <w:szCs w:val="24"/>
              </w:rPr>
            </w:pPr>
            <w:r>
              <w:rPr>
                <w:rFonts w:eastAsiaTheme="minorEastAsia" w:hint="eastAsia"/>
                <w:kern w:val="2"/>
                <w:szCs w:val="24"/>
              </w:rPr>
              <w:t>Buyer</w:t>
            </w:r>
            <w:r>
              <w:rPr>
                <w:rFonts w:eastAsiaTheme="minorEastAsia"/>
                <w:kern w:val="2"/>
                <w:szCs w:val="24"/>
              </w:rPr>
              <w:t xml:space="preserve"> 4</w:t>
            </w:r>
          </w:p>
        </w:tc>
        <w:tc>
          <w:tcPr>
            <w:tcW w:w="4583" w:type="dxa"/>
            <w:vAlign w:val="center"/>
          </w:tcPr>
          <w:p w14:paraId="15139BF7"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SME8</w:t>
            </w:r>
          </w:p>
          <w:p w14:paraId="2C530DDA"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SME9</w:t>
            </w:r>
          </w:p>
          <w:p w14:paraId="094723BD"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SME10</w:t>
            </w:r>
          </w:p>
        </w:tc>
        <w:tc>
          <w:tcPr>
            <w:tcW w:w="6975" w:type="dxa"/>
            <w:vAlign w:val="center"/>
          </w:tcPr>
          <w:p w14:paraId="0932BE57"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4</w:t>
            </w:r>
          </w:p>
          <w:p w14:paraId="7ABCB750"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6</w:t>
            </w:r>
          </w:p>
          <w:p w14:paraId="34D1829B" w14:textId="77777777" w:rsidR="00AD548A" w:rsidRDefault="00000000">
            <w:pPr>
              <w:snapToGrid w:val="0"/>
              <w:spacing w:line="240" w:lineRule="auto"/>
              <w:ind w:firstLineChars="0" w:firstLine="0"/>
              <w:jc w:val="left"/>
              <w:rPr>
                <w:rFonts w:eastAsiaTheme="minorEastAsia"/>
                <w:kern w:val="2"/>
                <w:szCs w:val="24"/>
                <w:lang w:val="en-US"/>
              </w:rPr>
            </w:pPr>
            <w:r>
              <w:rPr>
                <w:rFonts w:eastAsiaTheme="minorEastAsia" w:hint="eastAsia"/>
                <w:kern w:val="2"/>
                <w:szCs w:val="24"/>
                <w:lang w:val="en-US"/>
              </w:rPr>
              <w:t>5</w:t>
            </w:r>
          </w:p>
        </w:tc>
      </w:tr>
      <w:bookmarkEnd w:id="8"/>
    </w:tbl>
    <w:p w14:paraId="74CA230B" w14:textId="77777777" w:rsidR="00AD548A" w:rsidRDefault="00AD548A">
      <w:pPr>
        <w:spacing w:line="276" w:lineRule="auto"/>
        <w:ind w:leftChars="-300" w:left="-720"/>
        <w:jc w:val="center"/>
        <w:rPr>
          <w:b/>
          <w:bCs/>
          <w:i/>
          <w:iCs/>
          <w:lang w:val="en-US"/>
        </w:rPr>
      </w:pPr>
    </w:p>
    <w:p w14:paraId="09AF5ACE" w14:textId="77777777" w:rsidR="00AD548A" w:rsidRDefault="00000000">
      <w:pPr>
        <w:ind w:firstLine="400"/>
        <w:jc w:val="left"/>
        <w:rPr>
          <w:sz w:val="20"/>
          <w:szCs w:val="20"/>
        </w:rPr>
      </w:pPr>
      <w:r>
        <w:rPr>
          <w:sz w:val="20"/>
          <w:szCs w:val="20"/>
        </w:rPr>
        <w:br w:type="page"/>
      </w:r>
    </w:p>
    <w:p w14:paraId="273B436A" w14:textId="77777777" w:rsidR="00AD548A" w:rsidRDefault="00000000">
      <w:pPr>
        <w:ind w:firstLine="482"/>
        <w:jc w:val="center"/>
        <w:rPr>
          <w:rFonts w:eastAsia="SimSun"/>
          <w:b/>
          <w:bCs/>
          <w:lang w:val="en-US"/>
        </w:rPr>
      </w:pPr>
      <w:r>
        <w:rPr>
          <w:rFonts w:eastAsia="SimSun" w:hint="eastAsia"/>
          <w:b/>
          <w:bCs/>
          <w:lang w:val="en-US"/>
        </w:rPr>
        <w:lastRenderedPageBreak/>
        <w:t>Appendix 2 Summary of interview protocol</w:t>
      </w:r>
    </w:p>
    <w:tbl>
      <w:tblPr>
        <w:tblW w:w="14174" w:type="dxa"/>
        <w:jc w:val="center"/>
        <w:tblCellSpacing w:w="15" w:type="dxa"/>
        <w:tblCellMar>
          <w:top w:w="15" w:type="dxa"/>
          <w:left w:w="15" w:type="dxa"/>
          <w:bottom w:w="15" w:type="dxa"/>
          <w:right w:w="15" w:type="dxa"/>
        </w:tblCellMar>
        <w:tblLook w:val="04A0" w:firstRow="1" w:lastRow="0" w:firstColumn="1" w:lastColumn="0" w:noHBand="0" w:noVBand="1"/>
      </w:tblPr>
      <w:tblGrid>
        <w:gridCol w:w="1953"/>
        <w:gridCol w:w="4337"/>
        <w:gridCol w:w="3606"/>
        <w:gridCol w:w="4278"/>
      </w:tblGrid>
      <w:tr w:rsidR="00AD548A" w14:paraId="0EF9D031" w14:textId="77777777">
        <w:trPr>
          <w:tblHeader/>
          <w:tblCellSpacing w:w="15" w:type="dxa"/>
          <w:jc w:val="center"/>
        </w:trPr>
        <w:tc>
          <w:tcPr>
            <w:tcW w:w="1908" w:type="dxa"/>
            <w:tcBorders>
              <w:top w:val="single" w:sz="12" w:space="0" w:color="auto"/>
              <w:left w:val="nil"/>
              <w:bottom w:val="single" w:sz="4" w:space="0" w:color="auto"/>
            </w:tcBorders>
            <w:vAlign w:val="center"/>
          </w:tcPr>
          <w:p w14:paraId="2796044A" w14:textId="77777777" w:rsidR="00AD548A" w:rsidRDefault="00000000">
            <w:pPr>
              <w:widowControl/>
              <w:snapToGrid w:val="0"/>
              <w:spacing w:line="240" w:lineRule="auto"/>
              <w:ind w:firstLineChars="0" w:firstLine="0"/>
              <w:jc w:val="center"/>
              <w:rPr>
                <w:rFonts w:eastAsia="SimSun"/>
                <w:b/>
                <w:bCs/>
                <w:lang w:val="en-US"/>
              </w:rPr>
            </w:pPr>
            <w:r>
              <w:rPr>
                <w:rStyle w:val="Strong"/>
                <w:rFonts w:eastAsia="SimSun"/>
                <w:szCs w:val="24"/>
                <w:lang w:val="en-US" w:bidi="ar"/>
              </w:rPr>
              <w:t>Them</w:t>
            </w:r>
            <w:r>
              <w:rPr>
                <w:rStyle w:val="Strong"/>
                <w:rFonts w:eastAsia="SimSun" w:hint="eastAsia"/>
                <w:szCs w:val="24"/>
                <w:lang w:val="en-US" w:bidi="ar"/>
              </w:rPr>
              <w:t>es</w:t>
            </w:r>
          </w:p>
        </w:tc>
        <w:tc>
          <w:tcPr>
            <w:tcW w:w="4307" w:type="dxa"/>
            <w:tcBorders>
              <w:top w:val="single" w:sz="12" w:space="0" w:color="auto"/>
              <w:bottom w:val="single" w:sz="4" w:space="0" w:color="auto"/>
            </w:tcBorders>
            <w:vAlign w:val="center"/>
          </w:tcPr>
          <w:p w14:paraId="412F4900" w14:textId="77777777" w:rsidR="00AD548A" w:rsidRDefault="00000000">
            <w:pPr>
              <w:widowControl/>
              <w:snapToGrid w:val="0"/>
              <w:spacing w:line="240" w:lineRule="auto"/>
              <w:ind w:firstLineChars="0" w:firstLine="0"/>
              <w:jc w:val="center"/>
              <w:rPr>
                <w:rFonts w:eastAsia="SimSun"/>
                <w:b/>
                <w:bCs/>
              </w:rPr>
            </w:pPr>
            <w:r>
              <w:rPr>
                <w:rStyle w:val="Strong"/>
                <w:rFonts w:eastAsia="SimSun"/>
                <w:szCs w:val="24"/>
                <w:lang w:val="en-US" w:bidi="ar"/>
              </w:rPr>
              <w:t>Sample Questions for SMEs (Suppliers)</w:t>
            </w:r>
          </w:p>
        </w:tc>
        <w:tc>
          <w:tcPr>
            <w:tcW w:w="3576" w:type="dxa"/>
            <w:tcBorders>
              <w:top w:val="single" w:sz="12" w:space="0" w:color="auto"/>
              <w:bottom w:val="single" w:sz="4" w:space="0" w:color="auto"/>
            </w:tcBorders>
            <w:vAlign w:val="center"/>
          </w:tcPr>
          <w:p w14:paraId="4E104EBB" w14:textId="77777777" w:rsidR="00AD548A" w:rsidRDefault="00000000">
            <w:pPr>
              <w:widowControl/>
              <w:snapToGrid w:val="0"/>
              <w:spacing w:line="240" w:lineRule="auto"/>
              <w:ind w:firstLineChars="0" w:firstLine="0"/>
              <w:jc w:val="center"/>
              <w:rPr>
                <w:rFonts w:eastAsia="SimSun"/>
                <w:b/>
                <w:bCs/>
              </w:rPr>
            </w:pPr>
            <w:r>
              <w:rPr>
                <w:rStyle w:val="Strong"/>
                <w:rFonts w:eastAsia="SimSun"/>
                <w:szCs w:val="24"/>
                <w:lang w:val="en-US" w:bidi="ar"/>
              </w:rPr>
              <w:t>Sample Questions for Buyers</w:t>
            </w:r>
          </w:p>
        </w:tc>
        <w:tc>
          <w:tcPr>
            <w:tcW w:w="4233" w:type="dxa"/>
            <w:tcBorders>
              <w:top w:val="single" w:sz="12" w:space="0" w:color="auto"/>
              <w:bottom w:val="single" w:sz="4" w:space="0" w:color="auto"/>
              <w:right w:val="nil"/>
            </w:tcBorders>
            <w:vAlign w:val="center"/>
          </w:tcPr>
          <w:p w14:paraId="62A92B95" w14:textId="77777777" w:rsidR="00AD548A" w:rsidRDefault="00000000">
            <w:pPr>
              <w:widowControl/>
              <w:snapToGrid w:val="0"/>
              <w:spacing w:line="240" w:lineRule="auto"/>
              <w:ind w:firstLineChars="0" w:firstLine="0"/>
              <w:jc w:val="center"/>
              <w:rPr>
                <w:rFonts w:eastAsia="SimSun"/>
                <w:b/>
                <w:bCs/>
              </w:rPr>
            </w:pPr>
            <w:r>
              <w:rPr>
                <w:rStyle w:val="Strong"/>
                <w:rFonts w:eastAsia="SimSun"/>
                <w:szCs w:val="24"/>
                <w:lang w:val="en-US" w:bidi="ar"/>
              </w:rPr>
              <w:t>Research Phenomenon Addressed</w:t>
            </w:r>
          </w:p>
        </w:tc>
      </w:tr>
      <w:tr w:rsidR="00AD548A" w14:paraId="1EE21394" w14:textId="77777777">
        <w:trPr>
          <w:tblCellSpacing w:w="15" w:type="dxa"/>
          <w:jc w:val="center"/>
        </w:trPr>
        <w:tc>
          <w:tcPr>
            <w:tcW w:w="1908" w:type="dxa"/>
            <w:vAlign w:val="center"/>
          </w:tcPr>
          <w:p w14:paraId="20B4B235" w14:textId="77777777" w:rsidR="00AD548A" w:rsidRDefault="00000000">
            <w:pPr>
              <w:widowControl/>
              <w:snapToGrid w:val="0"/>
              <w:spacing w:line="240" w:lineRule="auto"/>
              <w:ind w:firstLineChars="0" w:firstLine="0"/>
              <w:jc w:val="left"/>
              <w:rPr>
                <w:rFonts w:eastAsia="SimSun"/>
              </w:rPr>
            </w:pPr>
            <w:r>
              <w:rPr>
                <w:rStyle w:val="Strong"/>
                <w:rFonts w:eastAsia="SimSun"/>
                <w:szCs w:val="24"/>
                <w:lang w:val="en-US" w:bidi="ar"/>
              </w:rPr>
              <w:t>Background &amp; Context</w:t>
            </w:r>
          </w:p>
        </w:tc>
        <w:tc>
          <w:tcPr>
            <w:tcW w:w="4307" w:type="dxa"/>
            <w:vAlign w:val="center"/>
          </w:tcPr>
          <w:p w14:paraId="4F255CE4" w14:textId="77777777" w:rsidR="00AD548A" w:rsidRDefault="00000000">
            <w:pPr>
              <w:widowControl/>
              <w:snapToGrid w:val="0"/>
              <w:spacing w:line="240" w:lineRule="auto"/>
              <w:ind w:firstLineChars="0" w:firstLine="0"/>
              <w:jc w:val="left"/>
              <w:rPr>
                <w:rFonts w:eastAsia="SimSun"/>
              </w:rPr>
            </w:pPr>
            <w:r>
              <w:rPr>
                <w:rFonts w:eastAsia="SimSun"/>
                <w:szCs w:val="24"/>
                <w:lang w:val="en-US" w:bidi="ar"/>
              </w:rPr>
              <w:t>“Describe your company’s primary business and your history with [Buyer Name].”</w:t>
            </w:r>
          </w:p>
        </w:tc>
        <w:tc>
          <w:tcPr>
            <w:tcW w:w="3576" w:type="dxa"/>
            <w:vAlign w:val="center"/>
          </w:tcPr>
          <w:p w14:paraId="67697529" w14:textId="77777777" w:rsidR="00AD548A" w:rsidRDefault="00000000">
            <w:pPr>
              <w:widowControl/>
              <w:snapToGrid w:val="0"/>
              <w:spacing w:line="240" w:lineRule="auto"/>
              <w:ind w:firstLineChars="0" w:firstLine="0"/>
              <w:jc w:val="left"/>
              <w:rPr>
                <w:rFonts w:eastAsia="SimSun"/>
              </w:rPr>
            </w:pPr>
            <w:r>
              <w:rPr>
                <w:rFonts w:eastAsia="SimSun"/>
                <w:szCs w:val="24"/>
                <w:lang w:val="en-US" w:bidi="ar"/>
              </w:rPr>
              <w:t>“Describe the strategic importance of this supplier relationship for your operations.”</w:t>
            </w:r>
          </w:p>
        </w:tc>
        <w:tc>
          <w:tcPr>
            <w:tcW w:w="4233" w:type="dxa"/>
            <w:vAlign w:val="center"/>
          </w:tcPr>
          <w:p w14:paraId="53C09A08" w14:textId="77777777" w:rsidR="00AD548A" w:rsidRDefault="00000000">
            <w:pPr>
              <w:widowControl/>
              <w:snapToGrid w:val="0"/>
              <w:spacing w:line="240" w:lineRule="auto"/>
              <w:ind w:firstLineChars="0" w:firstLine="0"/>
              <w:jc w:val="left"/>
              <w:rPr>
                <w:rFonts w:eastAsia="SimSun"/>
              </w:rPr>
            </w:pPr>
            <w:r>
              <w:rPr>
                <w:rFonts w:eastAsia="SimSun"/>
                <w:szCs w:val="24"/>
                <w:lang w:val="en-US" w:bidi="ar"/>
              </w:rPr>
              <w:t>Case context, nature of the dyad.</w:t>
            </w:r>
          </w:p>
        </w:tc>
      </w:tr>
      <w:tr w:rsidR="00AD548A" w14:paraId="2F8D77A3" w14:textId="77777777">
        <w:trPr>
          <w:tblCellSpacing w:w="15" w:type="dxa"/>
          <w:jc w:val="center"/>
        </w:trPr>
        <w:tc>
          <w:tcPr>
            <w:tcW w:w="1908" w:type="dxa"/>
            <w:vAlign w:val="center"/>
          </w:tcPr>
          <w:p w14:paraId="6215D31B" w14:textId="77777777" w:rsidR="00AD548A" w:rsidRDefault="00000000">
            <w:pPr>
              <w:widowControl/>
              <w:snapToGrid w:val="0"/>
              <w:spacing w:line="240" w:lineRule="auto"/>
              <w:ind w:firstLineChars="0" w:firstLine="0"/>
              <w:jc w:val="left"/>
              <w:rPr>
                <w:rFonts w:eastAsia="SimSun"/>
              </w:rPr>
            </w:pPr>
            <w:r>
              <w:rPr>
                <w:rStyle w:val="Strong"/>
                <w:rFonts w:eastAsia="SimSun"/>
                <w:szCs w:val="24"/>
                <w:lang w:val="en-US" w:bidi="ar"/>
              </w:rPr>
              <w:t>Pre-Pandemic Power Dynamics</w:t>
            </w:r>
          </w:p>
        </w:tc>
        <w:tc>
          <w:tcPr>
            <w:tcW w:w="4307" w:type="dxa"/>
            <w:vAlign w:val="center"/>
          </w:tcPr>
          <w:p w14:paraId="7A509171" w14:textId="77777777" w:rsidR="00AD548A" w:rsidRDefault="00000000">
            <w:pPr>
              <w:widowControl/>
              <w:snapToGrid w:val="0"/>
              <w:spacing w:line="240" w:lineRule="auto"/>
              <w:ind w:firstLineChars="0" w:firstLine="0"/>
              <w:jc w:val="left"/>
              <w:rPr>
                <w:rFonts w:eastAsia="SimSun"/>
              </w:rPr>
            </w:pPr>
            <w:r>
              <w:rPr>
                <w:rFonts w:eastAsia="SimSun"/>
                <w:szCs w:val="24"/>
                <w:lang w:val="en-US" w:bidi="ar"/>
              </w:rPr>
              <w:t>“Before the pandemic, how would you characterize the balance of power? Who typically set contract terms?”</w:t>
            </w:r>
          </w:p>
        </w:tc>
        <w:tc>
          <w:tcPr>
            <w:tcW w:w="3576" w:type="dxa"/>
            <w:vAlign w:val="center"/>
          </w:tcPr>
          <w:p w14:paraId="7FE885B2" w14:textId="77777777" w:rsidR="00AD548A" w:rsidRDefault="00000000">
            <w:pPr>
              <w:widowControl/>
              <w:snapToGrid w:val="0"/>
              <w:spacing w:line="240" w:lineRule="auto"/>
              <w:ind w:firstLineChars="0" w:firstLine="0"/>
              <w:jc w:val="left"/>
              <w:rPr>
                <w:rFonts w:eastAsia="SimSun"/>
              </w:rPr>
            </w:pPr>
            <w:r>
              <w:rPr>
                <w:rFonts w:eastAsia="SimSun"/>
                <w:szCs w:val="24"/>
                <w:lang w:val="en-US" w:bidi="ar"/>
              </w:rPr>
              <w:t>“How did you manage this relationship to ensure reliability and value before 2020?”</w:t>
            </w:r>
          </w:p>
        </w:tc>
        <w:tc>
          <w:tcPr>
            <w:tcW w:w="4233" w:type="dxa"/>
            <w:vAlign w:val="center"/>
          </w:tcPr>
          <w:p w14:paraId="165E025D" w14:textId="77777777" w:rsidR="00AD548A" w:rsidRDefault="00000000">
            <w:pPr>
              <w:widowControl/>
              <w:snapToGrid w:val="0"/>
              <w:spacing w:line="240" w:lineRule="auto"/>
              <w:ind w:firstLineChars="0" w:firstLine="0"/>
              <w:jc w:val="left"/>
              <w:rPr>
                <w:rFonts w:eastAsia="SimSun"/>
              </w:rPr>
            </w:pPr>
            <w:r>
              <w:rPr>
                <w:rFonts w:eastAsia="SimSun"/>
                <w:szCs w:val="24"/>
                <w:lang w:val="en-US" w:bidi="ar"/>
              </w:rPr>
              <w:t>Baseline assessment of power asymmetry, use of power sources.</w:t>
            </w:r>
          </w:p>
        </w:tc>
      </w:tr>
      <w:tr w:rsidR="00AD548A" w14:paraId="26DE7F1A" w14:textId="77777777">
        <w:trPr>
          <w:tblCellSpacing w:w="15" w:type="dxa"/>
          <w:jc w:val="center"/>
        </w:trPr>
        <w:tc>
          <w:tcPr>
            <w:tcW w:w="1908" w:type="dxa"/>
            <w:vAlign w:val="center"/>
          </w:tcPr>
          <w:p w14:paraId="6133777D" w14:textId="77777777" w:rsidR="00AD548A" w:rsidRDefault="00000000">
            <w:pPr>
              <w:widowControl/>
              <w:snapToGrid w:val="0"/>
              <w:spacing w:line="240" w:lineRule="auto"/>
              <w:ind w:firstLineChars="0" w:firstLine="0"/>
              <w:jc w:val="left"/>
              <w:rPr>
                <w:rFonts w:eastAsia="SimSun"/>
              </w:rPr>
            </w:pPr>
            <w:r>
              <w:rPr>
                <w:rStyle w:val="Strong"/>
                <w:rFonts w:eastAsia="SimSun"/>
                <w:szCs w:val="24"/>
                <w:lang w:val="en-US" w:bidi="ar"/>
              </w:rPr>
              <w:t>Pandemic Experience</w:t>
            </w:r>
          </w:p>
        </w:tc>
        <w:tc>
          <w:tcPr>
            <w:tcW w:w="4307" w:type="dxa"/>
            <w:vAlign w:val="center"/>
          </w:tcPr>
          <w:p w14:paraId="0E7BD6FF" w14:textId="77777777" w:rsidR="00AD548A" w:rsidRDefault="00000000">
            <w:pPr>
              <w:widowControl/>
              <w:snapToGrid w:val="0"/>
              <w:spacing w:line="240" w:lineRule="auto"/>
              <w:ind w:firstLineChars="0" w:firstLine="0"/>
              <w:jc w:val="left"/>
              <w:rPr>
                <w:rFonts w:eastAsia="SimSun"/>
              </w:rPr>
            </w:pPr>
            <w:r>
              <w:rPr>
                <w:rFonts w:eastAsia="SimSun"/>
                <w:szCs w:val="24"/>
                <w:lang w:val="en-US" w:bidi="ar"/>
              </w:rPr>
              <w:t>“Can you describe a specific challenge with [Buyer] caused by the pandemic? How did you each respond?”</w:t>
            </w:r>
          </w:p>
        </w:tc>
        <w:tc>
          <w:tcPr>
            <w:tcW w:w="3576" w:type="dxa"/>
            <w:vAlign w:val="center"/>
          </w:tcPr>
          <w:p w14:paraId="3FF3AD48" w14:textId="77777777" w:rsidR="00AD548A" w:rsidRDefault="00000000">
            <w:pPr>
              <w:widowControl/>
              <w:snapToGrid w:val="0"/>
              <w:spacing w:line="240" w:lineRule="auto"/>
              <w:ind w:firstLineChars="0" w:firstLine="0"/>
              <w:jc w:val="left"/>
              <w:rPr>
                <w:rFonts w:eastAsia="SimSun"/>
              </w:rPr>
            </w:pPr>
            <w:r>
              <w:rPr>
                <w:rFonts w:eastAsia="SimSun"/>
                <w:szCs w:val="24"/>
                <w:lang w:val="en-US" w:bidi="ar"/>
              </w:rPr>
              <w:t>“What was the biggest supply chain challenge with this supplier during the lockdowns? How did you address it?”</w:t>
            </w:r>
          </w:p>
        </w:tc>
        <w:tc>
          <w:tcPr>
            <w:tcW w:w="4233" w:type="dxa"/>
            <w:vAlign w:val="center"/>
          </w:tcPr>
          <w:p w14:paraId="024B894A" w14:textId="77777777" w:rsidR="00AD548A" w:rsidRDefault="00000000">
            <w:pPr>
              <w:widowControl/>
              <w:snapToGrid w:val="0"/>
              <w:spacing w:line="240" w:lineRule="auto"/>
              <w:ind w:firstLineChars="0" w:firstLine="0"/>
              <w:jc w:val="left"/>
              <w:rPr>
                <w:rFonts w:eastAsia="SimSun"/>
              </w:rPr>
            </w:pPr>
            <w:r>
              <w:rPr>
                <w:rFonts w:eastAsia="SimSun"/>
                <w:szCs w:val="24"/>
                <w:lang w:val="en-US" w:bidi="ar"/>
              </w:rPr>
              <w:t>Impact of environmental volatility on power dynamics; opportunistic/collaborative behaviors.</w:t>
            </w:r>
          </w:p>
        </w:tc>
      </w:tr>
      <w:tr w:rsidR="00AD548A" w14:paraId="2D117479" w14:textId="77777777">
        <w:trPr>
          <w:tblCellSpacing w:w="15" w:type="dxa"/>
          <w:jc w:val="center"/>
        </w:trPr>
        <w:tc>
          <w:tcPr>
            <w:tcW w:w="1908" w:type="dxa"/>
            <w:tcBorders>
              <w:bottom w:val="single" w:sz="12" w:space="0" w:color="auto"/>
            </w:tcBorders>
            <w:vAlign w:val="center"/>
          </w:tcPr>
          <w:p w14:paraId="40BECA29" w14:textId="77777777" w:rsidR="00AD548A" w:rsidRDefault="00000000">
            <w:pPr>
              <w:widowControl/>
              <w:snapToGrid w:val="0"/>
              <w:spacing w:line="240" w:lineRule="auto"/>
              <w:ind w:firstLineChars="0" w:firstLine="0"/>
              <w:jc w:val="left"/>
              <w:rPr>
                <w:rFonts w:eastAsia="SimSun"/>
              </w:rPr>
            </w:pPr>
            <w:r>
              <w:rPr>
                <w:rStyle w:val="Strong"/>
                <w:rFonts w:eastAsia="SimSun"/>
                <w:szCs w:val="24"/>
                <w:lang w:val="en-US" w:bidi="ar"/>
              </w:rPr>
              <w:t>Institutional Interventions</w:t>
            </w:r>
          </w:p>
        </w:tc>
        <w:tc>
          <w:tcPr>
            <w:tcW w:w="4307" w:type="dxa"/>
            <w:tcBorders>
              <w:bottom w:val="single" w:sz="12" w:space="0" w:color="auto"/>
            </w:tcBorders>
            <w:vAlign w:val="center"/>
          </w:tcPr>
          <w:p w14:paraId="725E5CD6" w14:textId="77777777" w:rsidR="00AD548A" w:rsidRDefault="00000000">
            <w:pPr>
              <w:widowControl/>
              <w:snapToGrid w:val="0"/>
              <w:spacing w:line="240" w:lineRule="auto"/>
              <w:ind w:firstLineChars="0" w:firstLine="0"/>
              <w:jc w:val="left"/>
              <w:rPr>
                <w:rFonts w:eastAsia="SimSun"/>
              </w:rPr>
            </w:pPr>
            <w:r>
              <w:rPr>
                <w:rFonts w:eastAsia="SimSun"/>
                <w:szCs w:val="24"/>
                <w:lang w:val="en-US" w:bidi="ar"/>
              </w:rPr>
              <w:t>“Did any external organizations (government, associations, etc.) get involved? What did they do, and how did it change your situation?”</w:t>
            </w:r>
          </w:p>
        </w:tc>
        <w:tc>
          <w:tcPr>
            <w:tcW w:w="3576" w:type="dxa"/>
            <w:tcBorders>
              <w:bottom w:val="single" w:sz="12" w:space="0" w:color="auto"/>
            </w:tcBorders>
            <w:vAlign w:val="center"/>
          </w:tcPr>
          <w:p w14:paraId="291C64B2" w14:textId="77777777" w:rsidR="00AD548A" w:rsidRDefault="00000000">
            <w:pPr>
              <w:widowControl/>
              <w:snapToGrid w:val="0"/>
              <w:spacing w:line="240" w:lineRule="auto"/>
              <w:ind w:firstLineChars="0" w:firstLine="0"/>
              <w:jc w:val="left"/>
              <w:rPr>
                <w:rFonts w:eastAsia="SimSun"/>
              </w:rPr>
            </w:pPr>
            <w:r>
              <w:rPr>
                <w:rFonts w:eastAsia="SimSun"/>
                <w:szCs w:val="24"/>
                <w:lang w:val="en-US" w:bidi="ar"/>
              </w:rPr>
              <w:t>“Were there any new regulations or external pressures that affected how you managed suppliers during this period?”</w:t>
            </w:r>
          </w:p>
        </w:tc>
        <w:tc>
          <w:tcPr>
            <w:tcW w:w="4233" w:type="dxa"/>
            <w:tcBorders>
              <w:bottom w:val="single" w:sz="12" w:space="0" w:color="auto"/>
            </w:tcBorders>
            <w:vAlign w:val="center"/>
          </w:tcPr>
          <w:p w14:paraId="414FCA52" w14:textId="77777777" w:rsidR="00AD548A" w:rsidRDefault="00000000">
            <w:pPr>
              <w:widowControl/>
              <w:snapToGrid w:val="0"/>
              <w:spacing w:line="240" w:lineRule="auto"/>
              <w:ind w:firstLineChars="0" w:firstLine="0"/>
              <w:jc w:val="left"/>
              <w:rPr>
                <w:rFonts w:eastAsia="SimSun"/>
              </w:rPr>
            </w:pPr>
            <w:r>
              <w:rPr>
                <w:rFonts w:eastAsia="SimSun"/>
                <w:szCs w:val="24"/>
                <w:lang w:val="en-US" w:bidi="ar"/>
              </w:rPr>
              <w:t>Identification of institutional actors and tactics; perceived mechanism of impact on power balance.</w:t>
            </w:r>
          </w:p>
        </w:tc>
      </w:tr>
    </w:tbl>
    <w:p w14:paraId="11AE00C7" w14:textId="77777777" w:rsidR="00AD548A" w:rsidRDefault="00000000">
      <w:r>
        <w:br w:type="page"/>
      </w:r>
    </w:p>
    <w:p w14:paraId="5B609C52" w14:textId="77777777" w:rsidR="00AD548A" w:rsidRDefault="00000000">
      <w:pPr>
        <w:spacing w:line="276" w:lineRule="auto"/>
        <w:ind w:leftChars="-300" w:left="-720"/>
        <w:jc w:val="center"/>
        <w:rPr>
          <w:b/>
          <w:bCs/>
          <w:lang w:val="en-US"/>
        </w:rPr>
      </w:pPr>
      <w:r>
        <w:rPr>
          <w:b/>
          <w:bCs/>
          <w:lang w:val="en-US"/>
        </w:rPr>
        <w:lastRenderedPageBreak/>
        <w:t xml:space="preserve">Appendix </w:t>
      </w:r>
      <w:r>
        <w:rPr>
          <w:rFonts w:hint="eastAsia"/>
          <w:b/>
          <w:bCs/>
          <w:lang w:val="en-US"/>
        </w:rPr>
        <w:t>3</w:t>
      </w:r>
      <w:r>
        <w:rPr>
          <w:b/>
          <w:bCs/>
          <w:lang w:val="en-US"/>
        </w:rPr>
        <w:t xml:space="preserve"> Case–Tactic–Power Dynamics Matrix</w:t>
      </w:r>
    </w:p>
    <w:tbl>
      <w:tblPr>
        <w:tblStyle w:val="30"/>
        <w:tblW w:w="14947" w:type="dxa"/>
        <w:jc w:val="center"/>
        <w:tblCellMar>
          <w:top w:w="40" w:type="dxa"/>
          <w:left w:w="64" w:type="dxa"/>
          <w:bottom w:w="40" w:type="dxa"/>
          <w:right w:w="64" w:type="dxa"/>
        </w:tblCellMar>
        <w:tblLook w:val="04A0" w:firstRow="1" w:lastRow="0" w:firstColumn="1" w:lastColumn="0" w:noHBand="0" w:noVBand="1"/>
      </w:tblPr>
      <w:tblGrid>
        <w:gridCol w:w="1357"/>
        <w:gridCol w:w="1865"/>
        <w:gridCol w:w="1946"/>
        <w:gridCol w:w="2344"/>
        <w:gridCol w:w="2351"/>
        <w:gridCol w:w="2905"/>
        <w:gridCol w:w="2179"/>
      </w:tblGrid>
      <w:tr w:rsidR="00AD548A" w14:paraId="389F592B" w14:textId="77777777">
        <w:trPr>
          <w:trHeight w:val="525"/>
          <w:tblHeader/>
          <w:jc w:val="center"/>
        </w:trPr>
        <w:tc>
          <w:tcPr>
            <w:tcW w:w="1357" w:type="dxa"/>
            <w:tcBorders>
              <w:top w:val="single" w:sz="12" w:space="0" w:color="auto"/>
              <w:left w:val="nil"/>
              <w:bottom w:val="single" w:sz="4" w:space="0" w:color="auto"/>
              <w:right w:val="nil"/>
            </w:tcBorders>
            <w:shd w:val="clear" w:color="auto" w:fill="EDEDED" w:themeFill="accent3" w:themeFillTint="33"/>
            <w:vAlign w:val="center"/>
          </w:tcPr>
          <w:p w14:paraId="2459E150"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Dyadic Relationship</w:t>
            </w:r>
          </w:p>
        </w:tc>
        <w:tc>
          <w:tcPr>
            <w:tcW w:w="1865" w:type="dxa"/>
            <w:tcBorders>
              <w:top w:val="single" w:sz="12" w:space="0" w:color="auto"/>
              <w:left w:val="nil"/>
              <w:bottom w:val="single" w:sz="4" w:space="0" w:color="auto"/>
              <w:right w:val="nil"/>
            </w:tcBorders>
            <w:shd w:val="clear" w:color="auto" w:fill="EDEDED" w:themeFill="accent3" w:themeFillTint="33"/>
            <w:vAlign w:val="center"/>
          </w:tcPr>
          <w:p w14:paraId="272586A4"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hint="eastAsia"/>
                <w:b/>
                <w:bCs/>
                <w:sz w:val="18"/>
                <w:szCs w:val="18"/>
                <w:lang w:val="en-US"/>
              </w:rPr>
              <w:t>Institutional</w:t>
            </w:r>
            <w:r>
              <w:rPr>
                <w:rFonts w:eastAsia="MS Mincho"/>
                <w:b/>
                <w:bCs/>
                <w:sz w:val="18"/>
                <w:szCs w:val="18"/>
                <w:lang w:val="en-US"/>
              </w:rPr>
              <w:t xml:space="preserve"> </w:t>
            </w:r>
            <w:r>
              <w:rPr>
                <w:rFonts w:eastAsia="MS Mincho" w:hint="eastAsia"/>
                <w:b/>
                <w:bCs/>
                <w:sz w:val="18"/>
                <w:szCs w:val="18"/>
                <w:lang w:val="en-US"/>
              </w:rPr>
              <w:t>Tactics</w:t>
            </w:r>
            <w:r>
              <w:rPr>
                <w:rFonts w:eastAsia="MS Mincho"/>
                <w:b/>
                <w:bCs/>
                <w:sz w:val="18"/>
                <w:szCs w:val="18"/>
                <w:lang w:val="en-US"/>
              </w:rPr>
              <w:t xml:space="preserve"> </w:t>
            </w:r>
          </w:p>
          <w:p w14:paraId="65AB0D7A"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hint="eastAsia"/>
                <w:b/>
                <w:bCs/>
                <w:sz w:val="18"/>
                <w:szCs w:val="18"/>
                <w:lang w:val="en-US"/>
              </w:rPr>
              <w:t>(Observed)</w:t>
            </w:r>
          </w:p>
        </w:tc>
        <w:tc>
          <w:tcPr>
            <w:tcW w:w="1946" w:type="dxa"/>
            <w:tcBorders>
              <w:top w:val="single" w:sz="12" w:space="0" w:color="auto"/>
              <w:left w:val="nil"/>
              <w:bottom w:val="single" w:sz="4" w:space="0" w:color="auto"/>
              <w:right w:val="nil"/>
            </w:tcBorders>
            <w:shd w:val="clear" w:color="auto" w:fill="EDEDED" w:themeFill="accent3" w:themeFillTint="33"/>
            <w:vAlign w:val="center"/>
          </w:tcPr>
          <w:p w14:paraId="6E310198"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hint="eastAsia"/>
                <w:b/>
                <w:bCs/>
                <w:sz w:val="18"/>
                <w:szCs w:val="18"/>
                <w:lang w:val="en-US"/>
              </w:rPr>
              <w:t>Institutional</w:t>
            </w:r>
            <w:r>
              <w:rPr>
                <w:rFonts w:eastAsia="MS Mincho"/>
                <w:b/>
                <w:bCs/>
                <w:sz w:val="18"/>
                <w:szCs w:val="18"/>
                <w:lang w:val="en-US"/>
              </w:rPr>
              <w:t xml:space="preserve"> </w:t>
            </w:r>
            <w:r>
              <w:rPr>
                <w:rFonts w:eastAsia="MS Mincho" w:hint="eastAsia"/>
                <w:b/>
                <w:bCs/>
                <w:sz w:val="18"/>
                <w:szCs w:val="18"/>
                <w:lang w:val="en-US"/>
              </w:rPr>
              <w:t>Source</w:t>
            </w:r>
          </w:p>
        </w:tc>
        <w:tc>
          <w:tcPr>
            <w:tcW w:w="2344" w:type="dxa"/>
            <w:tcBorders>
              <w:top w:val="single" w:sz="12" w:space="0" w:color="auto"/>
              <w:left w:val="nil"/>
              <w:bottom w:val="single" w:sz="4" w:space="0" w:color="auto"/>
              <w:right w:val="nil"/>
            </w:tcBorders>
            <w:shd w:val="clear" w:color="auto" w:fill="EDEDED" w:themeFill="accent3" w:themeFillTint="33"/>
            <w:vAlign w:val="center"/>
          </w:tcPr>
          <w:p w14:paraId="69172338"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hint="eastAsia"/>
                <w:b/>
                <w:bCs/>
                <w:sz w:val="18"/>
                <w:szCs w:val="18"/>
                <w:lang w:val="en-US"/>
              </w:rPr>
              <w:t>Enhanced</w:t>
            </w:r>
            <w:r>
              <w:rPr>
                <w:rFonts w:eastAsia="MS Mincho"/>
                <w:b/>
                <w:bCs/>
                <w:sz w:val="18"/>
                <w:szCs w:val="18"/>
                <w:lang w:val="en-US"/>
              </w:rPr>
              <w:t xml:space="preserve"> </w:t>
            </w:r>
            <w:r>
              <w:rPr>
                <w:rFonts w:eastAsia="MS Mincho" w:hint="eastAsia"/>
                <w:b/>
                <w:bCs/>
                <w:sz w:val="18"/>
                <w:szCs w:val="18"/>
                <w:lang w:val="en-US"/>
              </w:rPr>
              <w:t>SME</w:t>
            </w:r>
            <w:r>
              <w:rPr>
                <w:rFonts w:eastAsia="MS Mincho"/>
                <w:b/>
                <w:bCs/>
                <w:sz w:val="18"/>
                <w:szCs w:val="18"/>
                <w:lang w:val="en-US"/>
              </w:rPr>
              <w:t xml:space="preserve"> </w:t>
            </w:r>
            <w:r>
              <w:rPr>
                <w:rFonts w:eastAsia="MS Mincho" w:hint="eastAsia"/>
                <w:b/>
                <w:bCs/>
                <w:sz w:val="18"/>
                <w:szCs w:val="18"/>
                <w:lang w:val="en-US"/>
              </w:rPr>
              <w:t>Power</w:t>
            </w:r>
            <w:r>
              <w:rPr>
                <w:rFonts w:eastAsia="MS Mincho"/>
                <w:b/>
                <w:bCs/>
                <w:sz w:val="18"/>
                <w:szCs w:val="18"/>
                <w:lang w:val="en-US"/>
              </w:rPr>
              <w:t xml:space="preserve"> </w:t>
            </w:r>
          </w:p>
        </w:tc>
        <w:tc>
          <w:tcPr>
            <w:tcW w:w="2351" w:type="dxa"/>
            <w:tcBorders>
              <w:top w:val="single" w:sz="12" w:space="0" w:color="auto"/>
              <w:left w:val="nil"/>
              <w:bottom w:val="single" w:sz="4" w:space="0" w:color="auto"/>
              <w:right w:val="nil"/>
            </w:tcBorders>
            <w:shd w:val="clear" w:color="auto" w:fill="EDEDED" w:themeFill="accent3" w:themeFillTint="33"/>
            <w:vAlign w:val="center"/>
          </w:tcPr>
          <w:p w14:paraId="37AF170D"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hint="eastAsia"/>
                <w:b/>
                <w:bCs/>
                <w:sz w:val="18"/>
                <w:szCs w:val="18"/>
                <w:lang w:val="en-US"/>
              </w:rPr>
              <w:t>Constrained</w:t>
            </w:r>
            <w:r>
              <w:rPr>
                <w:rFonts w:eastAsia="MS Mincho"/>
                <w:b/>
                <w:bCs/>
                <w:sz w:val="18"/>
                <w:szCs w:val="18"/>
                <w:lang w:val="en-US"/>
              </w:rPr>
              <w:t xml:space="preserve"> </w:t>
            </w:r>
            <w:r>
              <w:rPr>
                <w:rFonts w:eastAsia="MS Mincho" w:hint="eastAsia"/>
                <w:b/>
                <w:bCs/>
                <w:sz w:val="18"/>
                <w:szCs w:val="18"/>
                <w:lang w:val="en-US"/>
              </w:rPr>
              <w:t>Buyer</w:t>
            </w:r>
            <w:r>
              <w:rPr>
                <w:rFonts w:eastAsia="MS Mincho"/>
                <w:b/>
                <w:bCs/>
                <w:sz w:val="18"/>
                <w:szCs w:val="18"/>
                <w:lang w:val="en-US"/>
              </w:rPr>
              <w:t xml:space="preserve"> </w:t>
            </w:r>
            <w:r>
              <w:rPr>
                <w:rFonts w:eastAsia="MS Mincho" w:hint="eastAsia"/>
                <w:b/>
                <w:bCs/>
                <w:sz w:val="18"/>
                <w:szCs w:val="18"/>
                <w:lang w:val="en-US"/>
              </w:rPr>
              <w:t>Power</w:t>
            </w:r>
            <w:r>
              <w:rPr>
                <w:rFonts w:eastAsia="MS Mincho"/>
                <w:b/>
                <w:bCs/>
                <w:sz w:val="18"/>
                <w:szCs w:val="18"/>
                <w:lang w:val="en-US"/>
              </w:rPr>
              <w:t xml:space="preserve"> </w:t>
            </w:r>
          </w:p>
        </w:tc>
        <w:tc>
          <w:tcPr>
            <w:tcW w:w="2905" w:type="dxa"/>
            <w:tcBorders>
              <w:top w:val="single" w:sz="12" w:space="0" w:color="auto"/>
              <w:left w:val="nil"/>
              <w:bottom w:val="single" w:sz="4" w:space="0" w:color="auto"/>
              <w:right w:val="nil"/>
            </w:tcBorders>
            <w:shd w:val="clear" w:color="auto" w:fill="EDEDED" w:themeFill="accent3" w:themeFillTint="33"/>
            <w:vAlign w:val="center"/>
          </w:tcPr>
          <w:p w14:paraId="5314234A"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hint="eastAsia"/>
                <w:b/>
                <w:bCs/>
                <w:sz w:val="18"/>
                <w:szCs w:val="18"/>
                <w:lang w:val="en-US"/>
              </w:rPr>
              <w:t>Evidence</w:t>
            </w:r>
            <w:r>
              <w:rPr>
                <w:rFonts w:eastAsia="MS Mincho"/>
                <w:b/>
                <w:bCs/>
                <w:sz w:val="18"/>
                <w:szCs w:val="18"/>
                <w:lang w:val="en-US"/>
              </w:rPr>
              <w:t xml:space="preserve"> </w:t>
            </w:r>
            <w:r>
              <w:rPr>
                <w:rFonts w:eastAsia="MS Mincho" w:hint="eastAsia"/>
                <w:b/>
                <w:bCs/>
                <w:sz w:val="18"/>
                <w:szCs w:val="18"/>
                <w:lang w:val="en-US"/>
              </w:rPr>
              <w:t>from</w:t>
            </w:r>
            <w:r>
              <w:rPr>
                <w:rFonts w:eastAsia="MS Mincho"/>
                <w:b/>
                <w:bCs/>
                <w:sz w:val="18"/>
                <w:szCs w:val="18"/>
                <w:lang w:val="en-US"/>
              </w:rPr>
              <w:t xml:space="preserve"> </w:t>
            </w:r>
            <w:r>
              <w:rPr>
                <w:rFonts w:eastAsia="MS Mincho" w:hint="eastAsia"/>
                <w:b/>
                <w:bCs/>
                <w:sz w:val="18"/>
                <w:szCs w:val="18"/>
                <w:lang w:val="en-US"/>
              </w:rPr>
              <w:t>Findings</w:t>
            </w:r>
          </w:p>
        </w:tc>
        <w:tc>
          <w:tcPr>
            <w:tcW w:w="2179" w:type="dxa"/>
            <w:tcBorders>
              <w:top w:val="single" w:sz="12" w:space="0" w:color="auto"/>
              <w:left w:val="nil"/>
              <w:bottom w:val="single" w:sz="4" w:space="0" w:color="auto"/>
              <w:right w:val="nil"/>
            </w:tcBorders>
            <w:shd w:val="clear" w:color="auto" w:fill="EDEDED" w:themeFill="accent3" w:themeFillTint="33"/>
            <w:vAlign w:val="center"/>
          </w:tcPr>
          <w:p w14:paraId="469AB85B"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hint="eastAsia"/>
                <w:b/>
                <w:bCs/>
                <w:sz w:val="18"/>
                <w:szCs w:val="18"/>
                <w:lang w:val="en-US"/>
              </w:rPr>
              <w:t>Contribution</w:t>
            </w:r>
            <w:r>
              <w:rPr>
                <w:rFonts w:eastAsia="MS Mincho"/>
                <w:b/>
                <w:bCs/>
                <w:sz w:val="18"/>
                <w:szCs w:val="18"/>
                <w:lang w:val="en-US"/>
              </w:rPr>
              <w:t xml:space="preserve"> </w:t>
            </w:r>
            <w:r>
              <w:rPr>
                <w:rFonts w:eastAsia="MS Mincho" w:hint="eastAsia"/>
                <w:b/>
                <w:bCs/>
                <w:sz w:val="18"/>
                <w:szCs w:val="18"/>
                <w:lang w:val="en-US"/>
              </w:rPr>
              <w:t>to</w:t>
            </w:r>
            <w:r>
              <w:rPr>
                <w:rFonts w:eastAsia="MS Mincho"/>
                <w:b/>
                <w:bCs/>
                <w:sz w:val="18"/>
                <w:szCs w:val="18"/>
                <w:lang w:val="en-US"/>
              </w:rPr>
              <w:t xml:space="preserve"> </w:t>
            </w:r>
            <w:r>
              <w:rPr>
                <w:rFonts w:eastAsia="MS Mincho" w:hint="eastAsia"/>
                <w:b/>
                <w:bCs/>
                <w:sz w:val="18"/>
                <w:szCs w:val="18"/>
                <w:lang w:val="en-US"/>
              </w:rPr>
              <w:t>Power-Balancing</w:t>
            </w:r>
            <w:r>
              <w:rPr>
                <w:rFonts w:eastAsia="MS Mincho"/>
                <w:b/>
                <w:bCs/>
                <w:sz w:val="18"/>
                <w:szCs w:val="18"/>
                <w:lang w:val="en-US"/>
              </w:rPr>
              <w:t xml:space="preserve"> </w:t>
            </w:r>
            <w:r>
              <w:rPr>
                <w:rFonts w:eastAsia="MS Mincho" w:hint="eastAsia"/>
                <w:b/>
                <w:bCs/>
                <w:sz w:val="18"/>
                <w:szCs w:val="18"/>
                <w:lang w:val="en-US"/>
              </w:rPr>
              <w:t>Outcome</w:t>
            </w:r>
          </w:p>
        </w:tc>
      </w:tr>
      <w:tr w:rsidR="00AD548A" w14:paraId="72A8BFF2" w14:textId="77777777">
        <w:trPr>
          <w:jc w:val="center"/>
        </w:trPr>
        <w:tc>
          <w:tcPr>
            <w:tcW w:w="1357" w:type="dxa"/>
            <w:tcBorders>
              <w:top w:val="single" w:sz="4" w:space="0" w:color="auto"/>
              <w:left w:val="nil"/>
              <w:bottom w:val="nil"/>
              <w:right w:val="nil"/>
            </w:tcBorders>
            <w:shd w:val="clear" w:color="auto" w:fill="DEEAF6" w:themeFill="accent5" w:themeFillTint="33"/>
            <w:vAlign w:val="center"/>
          </w:tcPr>
          <w:p w14:paraId="542CA5DB"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SME1–Buyer1</w:t>
            </w:r>
          </w:p>
        </w:tc>
        <w:tc>
          <w:tcPr>
            <w:tcW w:w="1865" w:type="dxa"/>
            <w:tcBorders>
              <w:top w:val="single" w:sz="4" w:space="0" w:color="auto"/>
              <w:left w:val="nil"/>
              <w:bottom w:val="nil"/>
              <w:right w:val="nil"/>
            </w:tcBorders>
            <w:vAlign w:val="center"/>
          </w:tcPr>
          <w:p w14:paraId="4FE3973A"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Cost reduction (utility waivers); Credit endorsements</w:t>
            </w:r>
            <w:r>
              <w:rPr>
                <w:rFonts w:eastAsia="MS Mincho" w:hint="eastAsia"/>
                <w:sz w:val="18"/>
                <w:szCs w:val="18"/>
                <w:lang w:val="en-US"/>
              </w:rPr>
              <w:t>; Social expectations</w:t>
            </w:r>
          </w:p>
        </w:tc>
        <w:tc>
          <w:tcPr>
            <w:tcW w:w="1946" w:type="dxa"/>
            <w:tcBorders>
              <w:top w:val="single" w:sz="4" w:space="0" w:color="auto"/>
              <w:left w:val="nil"/>
              <w:bottom w:val="nil"/>
              <w:right w:val="nil"/>
            </w:tcBorders>
            <w:vAlign w:val="center"/>
          </w:tcPr>
          <w:p w14:paraId="692D6FA6"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Service providers; Government agencies</w:t>
            </w:r>
            <w:r>
              <w:rPr>
                <w:rFonts w:eastAsia="MS Mincho" w:hint="eastAsia"/>
                <w:sz w:val="18"/>
                <w:szCs w:val="18"/>
                <w:lang w:val="en-US"/>
              </w:rPr>
              <w:t>; Regulations; Social expectation</w:t>
            </w:r>
          </w:p>
        </w:tc>
        <w:tc>
          <w:tcPr>
            <w:tcW w:w="2344" w:type="dxa"/>
            <w:tcBorders>
              <w:top w:val="single" w:sz="4" w:space="0" w:color="auto"/>
              <w:left w:val="nil"/>
              <w:bottom w:val="nil"/>
              <w:right w:val="nil"/>
            </w:tcBorders>
            <w:vAlign w:val="center"/>
          </w:tcPr>
          <w:p w14:paraId="0F211C82"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Expert (continuity focus); Informational (legitimacy)</w:t>
            </w:r>
          </w:p>
        </w:tc>
        <w:tc>
          <w:tcPr>
            <w:tcW w:w="2351" w:type="dxa"/>
            <w:tcBorders>
              <w:top w:val="single" w:sz="4" w:space="0" w:color="auto"/>
              <w:left w:val="nil"/>
              <w:bottom w:val="nil"/>
              <w:right w:val="nil"/>
            </w:tcBorders>
            <w:vAlign w:val="center"/>
          </w:tcPr>
          <w:p w14:paraId="044F5B9B"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Coercive power constrained (payment renegotiation)</w:t>
            </w:r>
          </w:p>
        </w:tc>
        <w:tc>
          <w:tcPr>
            <w:tcW w:w="2905" w:type="dxa"/>
            <w:tcBorders>
              <w:top w:val="single" w:sz="4" w:space="0" w:color="auto"/>
              <w:left w:val="nil"/>
              <w:bottom w:val="nil"/>
              <w:right w:val="nil"/>
            </w:tcBorders>
            <w:vAlign w:val="center"/>
          </w:tcPr>
          <w:p w14:paraId="7379FB82"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 xml:space="preserve">‘We received calls they will reduce cost…’; </w:t>
            </w:r>
          </w:p>
          <w:p w14:paraId="29B29EE4"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hint="eastAsia"/>
                <w:sz w:val="18"/>
                <w:szCs w:val="18"/>
                <w:lang w:val="en-US"/>
              </w:rPr>
              <w:t>'The free government certificate enabled us to renegotiate contract terms without penalty.'</w:t>
            </w:r>
          </w:p>
        </w:tc>
        <w:tc>
          <w:tcPr>
            <w:tcW w:w="2179" w:type="dxa"/>
            <w:tcBorders>
              <w:top w:val="single" w:sz="4" w:space="0" w:color="auto"/>
              <w:left w:val="nil"/>
              <w:bottom w:val="nil"/>
              <w:right w:val="nil"/>
            </w:tcBorders>
            <w:vAlign w:val="center"/>
          </w:tcPr>
          <w:p w14:paraId="448663A0"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Enabled survival and restored legitimacy in contracts</w:t>
            </w:r>
          </w:p>
        </w:tc>
      </w:tr>
      <w:tr w:rsidR="00AD548A" w14:paraId="6F5AEDD7" w14:textId="77777777">
        <w:trPr>
          <w:jc w:val="center"/>
        </w:trPr>
        <w:tc>
          <w:tcPr>
            <w:tcW w:w="1357" w:type="dxa"/>
            <w:tcBorders>
              <w:top w:val="nil"/>
              <w:left w:val="nil"/>
              <w:bottom w:val="nil"/>
              <w:right w:val="nil"/>
            </w:tcBorders>
            <w:shd w:val="clear" w:color="auto" w:fill="DEEAF6" w:themeFill="accent5" w:themeFillTint="33"/>
            <w:vAlign w:val="center"/>
          </w:tcPr>
          <w:p w14:paraId="4ED8AA6A"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SME1–Buyer2</w:t>
            </w:r>
          </w:p>
        </w:tc>
        <w:tc>
          <w:tcPr>
            <w:tcW w:w="1865" w:type="dxa"/>
            <w:tcBorders>
              <w:top w:val="nil"/>
              <w:left w:val="nil"/>
              <w:bottom w:val="nil"/>
              <w:right w:val="nil"/>
            </w:tcBorders>
            <w:vAlign w:val="center"/>
          </w:tcPr>
          <w:p w14:paraId="690E75F4"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Cost reduction (tax deferrals); Legal aid (contract review)</w:t>
            </w:r>
            <w:r>
              <w:rPr>
                <w:rFonts w:eastAsia="MS Mincho" w:hint="eastAsia"/>
                <w:sz w:val="18"/>
                <w:szCs w:val="18"/>
                <w:lang w:val="en-US"/>
              </w:rPr>
              <w:t>;</w:t>
            </w:r>
            <w:r>
              <w:rPr>
                <w:rFonts w:eastAsia="MS Mincho"/>
                <w:sz w:val="18"/>
                <w:szCs w:val="18"/>
                <w:lang w:val="en-US"/>
              </w:rPr>
              <w:t xml:space="preserve"> </w:t>
            </w:r>
            <w:r>
              <w:rPr>
                <w:rFonts w:eastAsia="MS Mincho" w:hint="eastAsia"/>
                <w:sz w:val="18"/>
                <w:szCs w:val="18"/>
                <w:lang w:val="en-US"/>
              </w:rPr>
              <w:t>Buyer behavior supervision</w:t>
            </w:r>
          </w:p>
        </w:tc>
        <w:tc>
          <w:tcPr>
            <w:tcW w:w="1946" w:type="dxa"/>
            <w:tcBorders>
              <w:top w:val="nil"/>
              <w:left w:val="nil"/>
              <w:bottom w:val="nil"/>
              <w:right w:val="nil"/>
            </w:tcBorders>
            <w:vAlign w:val="center"/>
          </w:tcPr>
          <w:p w14:paraId="6ACFFC7C"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Government agencies; Trade associations</w:t>
            </w:r>
            <w:r>
              <w:rPr>
                <w:rFonts w:eastAsia="MS Mincho" w:hint="eastAsia"/>
                <w:sz w:val="18"/>
                <w:szCs w:val="18"/>
                <w:lang w:val="en-US"/>
              </w:rPr>
              <w:t>; Regulations</w:t>
            </w:r>
          </w:p>
        </w:tc>
        <w:tc>
          <w:tcPr>
            <w:tcW w:w="2344" w:type="dxa"/>
            <w:tcBorders>
              <w:top w:val="nil"/>
              <w:left w:val="nil"/>
              <w:bottom w:val="nil"/>
              <w:right w:val="nil"/>
            </w:tcBorders>
            <w:vAlign w:val="center"/>
          </w:tcPr>
          <w:p w14:paraId="48162200"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Informational (legal clarity); Expert (financial management)</w:t>
            </w:r>
          </w:p>
        </w:tc>
        <w:tc>
          <w:tcPr>
            <w:tcW w:w="2351" w:type="dxa"/>
            <w:tcBorders>
              <w:top w:val="nil"/>
              <w:left w:val="nil"/>
              <w:bottom w:val="nil"/>
              <w:right w:val="nil"/>
            </w:tcBorders>
            <w:vAlign w:val="center"/>
          </w:tcPr>
          <w:p w14:paraId="142324B5"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Coercive power reduced (unilateral changes prevented)</w:t>
            </w:r>
          </w:p>
        </w:tc>
        <w:tc>
          <w:tcPr>
            <w:tcW w:w="2905" w:type="dxa"/>
            <w:tcBorders>
              <w:top w:val="nil"/>
              <w:left w:val="nil"/>
              <w:bottom w:val="nil"/>
              <w:right w:val="nil"/>
            </w:tcBorders>
            <w:vAlign w:val="center"/>
          </w:tcPr>
          <w:p w14:paraId="2343EAE7"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'The association's legal team reviewed the contract, blocking their unfavorable changes...’</w:t>
            </w:r>
          </w:p>
        </w:tc>
        <w:tc>
          <w:tcPr>
            <w:tcW w:w="2179" w:type="dxa"/>
            <w:tcBorders>
              <w:top w:val="nil"/>
              <w:left w:val="nil"/>
              <w:bottom w:val="nil"/>
              <w:right w:val="nil"/>
            </w:tcBorders>
            <w:vAlign w:val="center"/>
          </w:tcPr>
          <w:p w14:paraId="7F976DC4"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Prevented contractual exploitation, ensuring fairer terms</w:t>
            </w:r>
          </w:p>
        </w:tc>
      </w:tr>
      <w:tr w:rsidR="00AD548A" w14:paraId="6F3938F1" w14:textId="77777777">
        <w:trPr>
          <w:jc w:val="center"/>
        </w:trPr>
        <w:tc>
          <w:tcPr>
            <w:tcW w:w="1357" w:type="dxa"/>
            <w:tcBorders>
              <w:top w:val="nil"/>
              <w:left w:val="nil"/>
              <w:bottom w:val="nil"/>
              <w:right w:val="nil"/>
            </w:tcBorders>
            <w:shd w:val="clear" w:color="auto" w:fill="DEEAF6" w:themeFill="accent5" w:themeFillTint="33"/>
            <w:vAlign w:val="center"/>
          </w:tcPr>
          <w:p w14:paraId="0E6331D7"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SME2–Buyer2</w:t>
            </w:r>
          </w:p>
        </w:tc>
        <w:tc>
          <w:tcPr>
            <w:tcW w:w="1865" w:type="dxa"/>
            <w:tcBorders>
              <w:top w:val="nil"/>
              <w:left w:val="nil"/>
              <w:bottom w:val="nil"/>
              <w:right w:val="nil"/>
            </w:tcBorders>
            <w:vAlign w:val="center"/>
          </w:tcPr>
          <w:p w14:paraId="0E7BCBC4"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Training (associations); Export simplification; Legal support</w:t>
            </w:r>
            <w:r>
              <w:rPr>
                <w:rFonts w:eastAsia="MS Mincho" w:hint="eastAsia"/>
                <w:sz w:val="18"/>
                <w:szCs w:val="18"/>
                <w:lang w:val="en-US"/>
              </w:rPr>
              <w:t>; Communication channel; Buyer behavior supervision</w:t>
            </w:r>
          </w:p>
        </w:tc>
        <w:tc>
          <w:tcPr>
            <w:tcW w:w="1946" w:type="dxa"/>
            <w:tcBorders>
              <w:top w:val="nil"/>
              <w:left w:val="nil"/>
              <w:bottom w:val="nil"/>
              <w:right w:val="nil"/>
            </w:tcBorders>
            <w:vAlign w:val="center"/>
          </w:tcPr>
          <w:p w14:paraId="3E44DCB2"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Professional institutions; Government agencies</w:t>
            </w:r>
            <w:r>
              <w:rPr>
                <w:rFonts w:eastAsia="MS Mincho" w:hint="eastAsia"/>
                <w:sz w:val="18"/>
                <w:szCs w:val="18"/>
                <w:lang w:val="en-US"/>
              </w:rPr>
              <w:t>; Regulations</w:t>
            </w:r>
          </w:p>
        </w:tc>
        <w:tc>
          <w:tcPr>
            <w:tcW w:w="2344" w:type="dxa"/>
            <w:tcBorders>
              <w:top w:val="nil"/>
              <w:left w:val="nil"/>
              <w:bottom w:val="nil"/>
              <w:right w:val="nil"/>
            </w:tcBorders>
            <w:vAlign w:val="center"/>
          </w:tcPr>
          <w:p w14:paraId="72D35EDE"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Expert (managerial training); Informational (legal recognition)</w:t>
            </w:r>
          </w:p>
        </w:tc>
        <w:tc>
          <w:tcPr>
            <w:tcW w:w="2351" w:type="dxa"/>
            <w:tcBorders>
              <w:top w:val="nil"/>
              <w:left w:val="nil"/>
              <w:bottom w:val="nil"/>
              <w:right w:val="nil"/>
            </w:tcBorders>
            <w:vAlign w:val="center"/>
          </w:tcPr>
          <w:p w14:paraId="31EB726B"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Coercive power reduced (contract disputes neutralized)</w:t>
            </w:r>
          </w:p>
        </w:tc>
        <w:tc>
          <w:tcPr>
            <w:tcW w:w="2905" w:type="dxa"/>
            <w:tcBorders>
              <w:top w:val="nil"/>
              <w:left w:val="nil"/>
              <w:bottom w:val="nil"/>
              <w:right w:val="nil"/>
            </w:tcBorders>
            <w:vAlign w:val="center"/>
          </w:tcPr>
          <w:p w14:paraId="309151CE"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‘Professors shared how they deal with crisis…’;</w:t>
            </w:r>
          </w:p>
          <w:p w14:paraId="51FC2AFE"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‘Only after official legal supports intervened…’</w:t>
            </w:r>
          </w:p>
        </w:tc>
        <w:tc>
          <w:tcPr>
            <w:tcW w:w="2179" w:type="dxa"/>
            <w:tcBorders>
              <w:top w:val="nil"/>
              <w:left w:val="nil"/>
              <w:bottom w:val="nil"/>
              <w:right w:val="nil"/>
            </w:tcBorders>
            <w:vAlign w:val="center"/>
          </w:tcPr>
          <w:p w14:paraId="520A4656"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hint="eastAsia"/>
                <w:sz w:val="18"/>
                <w:szCs w:val="18"/>
                <w:lang w:val="en-US"/>
              </w:rPr>
              <w:t>Strengthened the SME's bargaining position and legitimacy in disputes, shifting the dynamic from subordination to negotiation.</w:t>
            </w:r>
          </w:p>
        </w:tc>
      </w:tr>
      <w:tr w:rsidR="00AD548A" w14:paraId="324EF876" w14:textId="77777777">
        <w:trPr>
          <w:jc w:val="center"/>
        </w:trPr>
        <w:tc>
          <w:tcPr>
            <w:tcW w:w="1357" w:type="dxa"/>
            <w:tcBorders>
              <w:top w:val="nil"/>
              <w:left w:val="nil"/>
              <w:bottom w:val="nil"/>
              <w:right w:val="nil"/>
            </w:tcBorders>
            <w:shd w:val="clear" w:color="auto" w:fill="DEEAF6" w:themeFill="accent5" w:themeFillTint="33"/>
            <w:vAlign w:val="center"/>
          </w:tcPr>
          <w:p w14:paraId="014A5E61"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w:t>
            </w:r>
            <w:r>
              <w:rPr>
                <w:rFonts w:eastAsia="MS Mincho" w:hint="eastAsia"/>
                <w:b/>
                <w:bCs/>
                <w:sz w:val="18"/>
                <w:szCs w:val="18"/>
                <w:lang w:val="en-US"/>
              </w:rPr>
              <w:t>3</w:t>
            </w:r>
            <w:r>
              <w:rPr>
                <w:rFonts w:eastAsia="MS Mincho"/>
                <w:b/>
                <w:bCs/>
                <w:sz w:val="18"/>
                <w:szCs w:val="18"/>
                <w:lang w:val="en-US"/>
              </w:rPr>
              <w:t>–Buyer</w:t>
            </w:r>
            <w:r>
              <w:rPr>
                <w:rFonts w:eastAsia="MS Mincho" w:hint="eastAsia"/>
                <w:b/>
                <w:bCs/>
                <w:sz w:val="18"/>
                <w:szCs w:val="18"/>
                <w:lang w:val="en-US"/>
              </w:rPr>
              <w:t>1</w:t>
            </w:r>
          </w:p>
        </w:tc>
        <w:tc>
          <w:tcPr>
            <w:tcW w:w="1865" w:type="dxa"/>
            <w:tcBorders>
              <w:top w:val="nil"/>
              <w:left w:val="nil"/>
              <w:bottom w:val="nil"/>
              <w:right w:val="nil"/>
            </w:tcBorders>
            <w:vAlign w:val="center"/>
          </w:tcPr>
          <w:p w14:paraId="1D136736"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Legal support</w:t>
            </w:r>
            <w:r>
              <w:rPr>
                <w:rFonts w:eastAsia="MS Mincho" w:hint="eastAsia"/>
                <w:sz w:val="18"/>
                <w:szCs w:val="18"/>
                <w:lang w:val="en-US"/>
              </w:rPr>
              <w:t xml:space="preserve">; </w:t>
            </w:r>
            <w:r>
              <w:rPr>
                <w:rFonts w:eastAsia="MS Mincho"/>
                <w:sz w:val="18"/>
                <w:szCs w:val="18"/>
                <w:lang w:val="en-US"/>
              </w:rPr>
              <w:t>Credit endorsements</w:t>
            </w:r>
            <w:r>
              <w:rPr>
                <w:rFonts w:eastAsia="MS Mincho" w:hint="eastAsia"/>
                <w:sz w:val="18"/>
                <w:szCs w:val="18"/>
                <w:lang w:val="en-US"/>
              </w:rPr>
              <w:t>; Behavior supervision; Social expectations</w:t>
            </w:r>
          </w:p>
        </w:tc>
        <w:tc>
          <w:tcPr>
            <w:tcW w:w="1946" w:type="dxa"/>
            <w:tcBorders>
              <w:top w:val="nil"/>
              <w:left w:val="nil"/>
              <w:bottom w:val="nil"/>
              <w:right w:val="nil"/>
            </w:tcBorders>
            <w:vAlign w:val="center"/>
          </w:tcPr>
          <w:p w14:paraId="0C6B5066"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Government agencies</w:t>
            </w:r>
            <w:r>
              <w:rPr>
                <w:rFonts w:eastAsia="MS Mincho" w:hint="eastAsia"/>
                <w:sz w:val="18"/>
                <w:szCs w:val="18"/>
                <w:lang w:val="en-US"/>
              </w:rPr>
              <w:t xml:space="preserve">; </w:t>
            </w:r>
            <w:r>
              <w:rPr>
                <w:rFonts w:eastAsia="MS Mincho"/>
                <w:sz w:val="18"/>
                <w:szCs w:val="18"/>
                <w:lang w:val="en-US"/>
              </w:rPr>
              <w:t xml:space="preserve">Service </w:t>
            </w:r>
            <w:r>
              <w:rPr>
                <w:rFonts w:eastAsia="MS Mincho" w:hint="eastAsia"/>
                <w:sz w:val="18"/>
                <w:szCs w:val="18"/>
                <w:lang w:val="en-US"/>
              </w:rPr>
              <w:t>providers</w:t>
            </w:r>
            <w:r>
              <w:rPr>
                <w:rFonts w:eastAsia="MS Mincho" w:hAnsi="MS Mincho" w:hint="eastAsia"/>
                <w:sz w:val="18"/>
                <w:szCs w:val="18"/>
                <w:lang w:val="en-US"/>
              </w:rPr>
              <w:t xml:space="preserve">; </w:t>
            </w:r>
            <w:r>
              <w:rPr>
                <w:rFonts w:eastAsia="MS Mincho" w:hint="eastAsia"/>
                <w:sz w:val="18"/>
                <w:szCs w:val="18"/>
                <w:lang w:val="en-US"/>
              </w:rPr>
              <w:t>Social expectation</w:t>
            </w:r>
          </w:p>
        </w:tc>
        <w:tc>
          <w:tcPr>
            <w:tcW w:w="2344" w:type="dxa"/>
            <w:tcBorders>
              <w:top w:val="nil"/>
              <w:left w:val="nil"/>
              <w:bottom w:val="nil"/>
              <w:right w:val="nil"/>
            </w:tcBorders>
            <w:vAlign w:val="center"/>
          </w:tcPr>
          <w:p w14:paraId="0BF80681"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hint="eastAsia"/>
                <w:sz w:val="18"/>
                <w:szCs w:val="18"/>
                <w:lang w:val="en-US"/>
              </w:rPr>
              <w:t>Expert (compliance knowledge); Informational (creditworthiness); Referent (gov. backing)</w:t>
            </w:r>
          </w:p>
        </w:tc>
        <w:tc>
          <w:tcPr>
            <w:tcW w:w="2351" w:type="dxa"/>
            <w:tcBorders>
              <w:top w:val="nil"/>
              <w:left w:val="nil"/>
              <w:bottom w:val="nil"/>
              <w:right w:val="nil"/>
            </w:tcBorders>
            <w:vAlign w:val="center"/>
          </w:tcPr>
          <w:p w14:paraId="451E297D"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Coercive power countered (unjust penalties avoided)</w:t>
            </w:r>
          </w:p>
        </w:tc>
        <w:tc>
          <w:tcPr>
            <w:tcW w:w="2905" w:type="dxa"/>
            <w:tcBorders>
              <w:top w:val="nil"/>
              <w:left w:val="nil"/>
              <w:bottom w:val="nil"/>
              <w:right w:val="nil"/>
            </w:tcBorders>
            <w:vAlign w:val="center"/>
          </w:tcPr>
          <w:p w14:paraId="312A7F75"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hint="eastAsia"/>
                <w:sz w:val="18"/>
                <w:szCs w:val="18"/>
                <w:lang w:val="en-US"/>
              </w:rPr>
              <w:t>'The official credit endorsement prevented them</w:t>
            </w:r>
            <w:r>
              <w:rPr>
                <w:rFonts w:eastAsia="MS Mincho"/>
                <w:sz w:val="18"/>
                <w:szCs w:val="18"/>
                <w:lang w:val="en-US"/>
              </w:rPr>
              <w:t xml:space="preserve"> </w:t>
            </w:r>
            <w:r>
              <w:rPr>
                <w:rFonts w:eastAsia="MS Mincho" w:hint="eastAsia"/>
                <w:sz w:val="18"/>
                <w:szCs w:val="18"/>
                <w:lang w:val="en-US"/>
              </w:rPr>
              <w:t>from freezing payments...'</w:t>
            </w:r>
          </w:p>
        </w:tc>
        <w:tc>
          <w:tcPr>
            <w:tcW w:w="2179" w:type="dxa"/>
            <w:tcBorders>
              <w:top w:val="nil"/>
              <w:left w:val="nil"/>
              <w:bottom w:val="nil"/>
              <w:right w:val="nil"/>
            </w:tcBorders>
            <w:vAlign w:val="center"/>
          </w:tcPr>
          <w:p w14:paraId="466881F9"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hint="eastAsia"/>
                <w:sz w:val="18"/>
                <w:szCs w:val="18"/>
                <w:lang w:val="en-US"/>
              </w:rPr>
              <w:t>Secured cash flow and deterred buyer's coercive financial tactics</w:t>
            </w:r>
          </w:p>
        </w:tc>
      </w:tr>
      <w:tr w:rsidR="00AD548A" w14:paraId="2578BF67" w14:textId="77777777">
        <w:trPr>
          <w:jc w:val="center"/>
        </w:trPr>
        <w:tc>
          <w:tcPr>
            <w:tcW w:w="1357" w:type="dxa"/>
            <w:tcBorders>
              <w:top w:val="nil"/>
              <w:left w:val="nil"/>
              <w:bottom w:val="nil"/>
              <w:right w:val="nil"/>
            </w:tcBorders>
            <w:shd w:val="clear" w:color="auto" w:fill="DEEAF6" w:themeFill="accent5" w:themeFillTint="33"/>
            <w:vAlign w:val="center"/>
          </w:tcPr>
          <w:p w14:paraId="1A9E99E4"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SME4–Buyer2</w:t>
            </w:r>
          </w:p>
        </w:tc>
        <w:tc>
          <w:tcPr>
            <w:tcW w:w="1865" w:type="dxa"/>
            <w:tcBorders>
              <w:top w:val="nil"/>
              <w:left w:val="nil"/>
              <w:bottom w:val="nil"/>
              <w:right w:val="nil"/>
            </w:tcBorders>
            <w:vAlign w:val="center"/>
          </w:tcPr>
          <w:p w14:paraId="51827D32"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Promotion events; Credit endorsements; Utility support systems</w:t>
            </w:r>
            <w:r>
              <w:rPr>
                <w:rFonts w:eastAsia="MS Mincho" w:hint="eastAsia"/>
                <w:sz w:val="18"/>
                <w:szCs w:val="18"/>
                <w:lang w:val="en-US"/>
              </w:rPr>
              <w:t xml:space="preserve">; Communication channel </w:t>
            </w:r>
          </w:p>
        </w:tc>
        <w:tc>
          <w:tcPr>
            <w:tcW w:w="1946" w:type="dxa"/>
            <w:tcBorders>
              <w:top w:val="nil"/>
              <w:left w:val="nil"/>
              <w:bottom w:val="nil"/>
              <w:right w:val="nil"/>
            </w:tcBorders>
            <w:vAlign w:val="center"/>
          </w:tcPr>
          <w:p w14:paraId="1609B7F1"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Professional associations; Government; Service providers</w:t>
            </w:r>
            <w:r>
              <w:rPr>
                <w:rFonts w:eastAsia="MS Mincho" w:hint="eastAsia"/>
                <w:sz w:val="18"/>
                <w:szCs w:val="18"/>
                <w:lang w:val="en-US"/>
              </w:rPr>
              <w:t>; Regulations</w:t>
            </w:r>
          </w:p>
        </w:tc>
        <w:tc>
          <w:tcPr>
            <w:tcW w:w="2344" w:type="dxa"/>
            <w:tcBorders>
              <w:top w:val="nil"/>
              <w:left w:val="nil"/>
              <w:bottom w:val="nil"/>
              <w:right w:val="nil"/>
            </w:tcBorders>
            <w:vAlign w:val="center"/>
          </w:tcPr>
          <w:p w14:paraId="0DE244B0"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Referent (visibility); Informational (creditworthiness validated)</w:t>
            </w:r>
          </w:p>
        </w:tc>
        <w:tc>
          <w:tcPr>
            <w:tcW w:w="2351" w:type="dxa"/>
            <w:tcBorders>
              <w:top w:val="nil"/>
              <w:left w:val="nil"/>
              <w:bottom w:val="nil"/>
              <w:right w:val="nil"/>
            </w:tcBorders>
            <w:vAlign w:val="center"/>
          </w:tcPr>
          <w:p w14:paraId="3C71C6E4"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Coercive power weakened (could not label as ‘low-credit’)</w:t>
            </w:r>
          </w:p>
        </w:tc>
        <w:tc>
          <w:tcPr>
            <w:tcW w:w="2905" w:type="dxa"/>
            <w:tcBorders>
              <w:top w:val="nil"/>
              <w:left w:val="nil"/>
              <w:bottom w:val="nil"/>
              <w:right w:val="nil"/>
            </w:tcBorders>
            <w:vAlign w:val="center"/>
          </w:tcPr>
          <w:p w14:paraId="73E7E015"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‘Recognition from government gave us more choices…’</w:t>
            </w:r>
          </w:p>
        </w:tc>
        <w:tc>
          <w:tcPr>
            <w:tcW w:w="2179" w:type="dxa"/>
            <w:tcBorders>
              <w:top w:val="nil"/>
              <w:left w:val="nil"/>
              <w:bottom w:val="nil"/>
              <w:right w:val="nil"/>
            </w:tcBorders>
            <w:vAlign w:val="center"/>
          </w:tcPr>
          <w:p w14:paraId="218C7BDE"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Expanded SME's buyer pool, creating countervailing power</w:t>
            </w:r>
          </w:p>
        </w:tc>
      </w:tr>
      <w:tr w:rsidR="00AD548A" w14:paraId="1BA1CD20" w14:textId="77777777">
        <w:trPr>
          <w:jc w:val="center"/>
        </w:trPr>
        <w:tc>
          <w:tcPr>
            <w:tcW w:w="1357" w:type="dxa"/>
            <w:tcBorders>
              <w:top w:val="nil"/>
              <w:left w:val="nil"/>
              <w:bottom w:val="nil"/>
              <w:right w:val="nil"/>
            </w:tcBorders>
            <w:shd w:val="clear" w:color="auto" w:fill="DEEAF6" w:themeFill="accent5" w:themeFillTint="33"/>
            <w:vAlign w:val="center"/>
          </w:tcPr>
          <w:p w14:paraId="24539E66"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w:t>
            </w:r>
            <w:r>
              <w:rPr>
                <w:rFonts w:eastAsia="MS Mincho" w:hint="eastAsia"/>
                <w:b/>
                <w:bCs/>
                <w:sz w:val="18"/>
                <w:szCs w:val="18"/>
                <w:lang w:val="en-US"/>
              </w:rPr>
              <w:t>5</w:t>
            </w:r>
            <w:r>
              <w:rPr>
                <w:rFonts w:eastAsia="MS Mincho"/>
                <w:b/>
                <w:bCs/>
                <w:sz w:val="18"/>
                <w:szCs w:val="18"/>
                <w:lang w:val="en-US"/>
              </w:rPr>
              <w:t>–Buyer</w:t>
            </w:r>
            <w:r>
              <w:rPr>
                <w:rFonts w:eastAsia="MS Mincho" w:hint="eastAsia"/>
                <w:b/>
                <w:bCs/>
                <w:sz w:val="18"/>
                <w:szCs w:val="18"/>
                <w:lang w:val="en-US"/>
              </w:rPr>
              <w:t>2</w:t>
            </w:r>
          </w:p>
        </w:tc>
        <w:tc>
          <w:tcPr>
            <w:tcW w:w="1865" w:type="dxa"/>
            <w:tcBorders>
              <w:top w:val="nil"/>
              <w:left w:val="nil"/>
              <w:bottom w:val="nil"/>
              <w:right w:val="nil"/>
            </w:tcBorders>
            <w:vAlign w:val="center"/>
          </w:tcPr>
          <w:p w14:paraId="36F06993"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Training (quality standards); Export simplification</w:t>
            </w:r>
            <w:r>
              <w:rPr>
                <w:rFonts w:eastAsia="MS Mincho" w:hint="eastAsia"/>
                <w:sz w:val="18"/>
                <w:szCs w:val="18"/>
                <w:lang w:val="en-US"/>
              </w:rPr>
              <w:t xml:space="preserve">; Communication channel </w:t>
            </w:r>
          </w:p>
        </w:tc>
        <w:tc>
          <w:tcPr>
            <w:tcW w:w="1946" w:type="dxa"/>
            <w:tcBorders>
              <w:top w:val="nil"/>
              <w:left w:val="nil"/>
              <w:bottom w:val="nil"/>
              <w:right w:val="nil"/>
            </w:tcBorders>
            <w:vAlign w:val="center"/>
          </w:tcPr>
          <w:p w14:paraId="400F00EC"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Professional institutions; Customs authority</w:t>
            </w:r>
            <w:r>
              <w:rPr>
                <w:rFonts w:eastAsia="MS Mincho" w:hint="eastAsia"/>
                <w:sz w:val="18"/>
                <w:szCs w:val="18"/>
                <w:lang w:val="en-US"/>
              </w:rPr>
              <w:t>; Regulations</w:t>
            </w:r>
          </w:p>
        </w:tc>
        <w:tc>
          <w:tcPr>
            <w:tcW w:w="2344" w:type="dxa"/>
            <w:tcBorders>
              <w:top w:val="nil"/>
              <w:left w:val="nil"/>
              <w:bottom w:val="nil"/>
              <w:right w:val="nil"/>
            </w:tcBorders>
            <w:vAlign w:val="center"/>
          </w:tcPr>
          <w:p w14:paraId="1AA33361"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Expert (quality certification); Informational (streamlined process knowledge)</w:t>
            </w:r>
          </w:p>
        </w:tc>
        <w:tc>
          <w:tcPr>
            <w:tcW w:w="2351" w:type="dxa"/>
            <w:tcBorders>
              <w:top w:val="nil"/>
              <w:left w:val="nil"/>
              <w:bottom w:val="nil"/>
              <w:right w:val="nil"/>
            </w:tcBorders>
            <w:vAlign w:val="center"/>
          </w:tcPr>
          <w:p w14:paraId="01F6DB52"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Coercive power reduced (rejection threats neutralized)</w:t>
            </w:r>
          </w:p>
        </w:tc>
        <w:tc>
          <w:tcPr>
            <w:tcW w:w="2905" w:type="dxa"/>
            <w:tcBorders>
              <w:top w:val="nil"/>
              <w:left w:val="nil"/>
              <w:bottom w:val="nil"/>
              <w:right w:val="nil"/>
            </w:tcBorders>
            <w:vAlign w:val="center"/>
          </w:tcPr>
          <w:p w14:paraId="76488C69"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hAnsiTheme="minorEastAsia"/>
                <w:sz w:val="18"/>
                <w:szCs w:val="18"/>
                <w:lang w:val="en-US"/>
              </w:rPr>
              <w:t>‘</w:t>
            </w:r>
            <w:r>
              <w:rPr>
                <w:rFonts w:eastAsia="MS Mincho"/>
                <w:sz w:val="18"/>
                <w:szCs w:val="18"/>
                <w:lang w:val="en-US"/>
              </w:rPr>
              <w:t>After certification, they could no longer threaten to reject our shipments on quality grounds...’</w:t>
            </w:r>
          </w:p>
        </w:tc>
        <w:tc>
          <w:tcPr>
            <w:tcW w:w="2179" w:type="dxa"/>
            <w:tcBorders>
              <w:top w:val="nil"/>
              <w:left w:val="nil"/>
              <w:bottom w:val="nil"/>
              <w:right w:val="nil"/>
            </w:tcBorders>
            <w:vAlign w:val="center"/>
          </w:tcPr>
          <w:p w14:paraId="583F9E1E"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Enhanced product legitimacy and reduced quality-based coercion</w:t>
            </w:r>
          </w:p>
        </w:tc>
      </w:tr>
      <w:tr w:rsidR="00AD548A" w14:paraId="7BC58E67" w14:textId="77777777">
        <w:trPr>
          <w:jc w:val="center"/>
        </w:trPr>
        <w:tc>
          <w:tcPr>
            <w:tcW w:w="1357" w:type="dxa"/>
            <w:tcBorders>
              <w:top w:val="nil"/>
              <w:left w:val="nil"/>
              <w:bottom w:val="nil"/>
              <w:right w:val="nil"/>
            </w:tcBorders>
            <w:shd w:val="clear" w:color="auto" w:fill="DEEAF6" w:themeFill="accent5" w:themeFillTint="33"/>
            <w:vAlign w:val="center"/>
          </w:tcPr>
          <w:p w14:paraId="29471181"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lastRenderedPageBreak/>
              <w:t>SME</w:t>
            </w:r>
            <w:r>
              <w:rPr>
                <w:rFonts w:eastAsia="MS Mincho" w:hint="eastAsia"/>
                <w:b/>
                <w:bCs/>
                <w:sz w:val="18"/>
                <w:szCs w:val="18"/>
                <w:lang w:val="en-US"/>
              </w:rPr>
              <w:t>5</w:t>
            </w:r>
            <w:r>
              <w:rPr>
                <w:rFonts w:eastAsia="MS Mincho"/>
                <w:b/>
                <w:bCs/>
                <w:sz w:val="18"/>
                <w:szCs w:val="18"/>
                <w:lang w:val="en-US"/>
              </w:rPr>
              <w:t>–Buyer</w:t>
            </w:r>
            <w:r>
              <w:rPr>
                <w:rFonts w:eastAsia="MS Mincho" w:hint="eastAsia"/>
                <w:b/>
                <w:bCs/>
                <w:sz w:val="18"/>
                <w:szCs w:val="18"/>
                <w:lang w:val="en-US"/>
              </w:rPr>
              <w:t>3</w:t>
            </w:r>
          </w:p>
        </w:tc>
        <w:tc>
          <w:tcPr>
            <w:tcW w:w="1865" w:type="dxa"/>
            <w:tcBorders>
              <w:top w:val="nil"/>
              <w:left w:val="nil"/>
              <w:bottom w:val="nil"/>
              <w:right w:val="nil"/>
            </w:tcBorders>
            <w:vAlign w:val="center"/>
          </w:tcPr>
          <w:p w14:paraId="26774347"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Legal support</w:t>
            </w:r>
            <w:r>
              <w:rPr>
                <w:rFonts w:eastAsia="MS Mincho" w:hint="eastAsia"/>
                <w:sz w:val="18"/>
                <w:szCs w:val="18"/>
                <w:lang w:val="en-US"/>
              </w:rPr>
              <w:t xml:space="preserve">; </w:t>
            </w:r>
            <w:r>
              <w:rPr>
                <w:rFonts w:eastAsia="MS Mincho"/>
                <w:sz w:val="18"/>
                <w:szCs w:val="18"/>
                <w:lang w:val="en-US"/>
              </w:rPr>
              <w:t>Credit endorsements</w:t>
            </w:r>
            <w:r>
              <w:rPr>
                <w:rFonts w:eastAsia="MS Mincho" w:hint="eastAsia"/>
                <w:sz w:val="18"/>
                <w:szCs w:val="18"/>
                <w:lang w:val="en-US"/>
              </w:rPr>
              <w:t xml:space="preserve">; </w:t>
            </w:r>
            <w:r>
              <w:rPr>
                <w:rFonts w:eastAsia="MS Mincho"/>
                <w:sz w:val="18"/>
                <w:szCs w:val="18"/>
                <w:lang w:val="en-US"/>
              </w:rPr>
              <w:t>Promotion events</w:t>
            </w:r>
            <w:r>
              <w:rPr>
                <w:rFonts w:eastAsia="MS Mincho" w:hint="eastAsia"/>
                <w:sz w:val="18"/>
                <w:szCs w:val="18"/>
                <w:lang w:val="en-US"/>
              </w:rPr>
              <w:t>; Communication channel; Behavior supervision</w:t>
            </w:r>
          </w:p>
        </w:tc>
        <w:tc>
          <w:tcPr>
            <w:tcW w:w="1946" w:type="dxa"/>
            <w:tcBorders>
              <w:top w:val="nil"/>
              <w:left w:val="nil"/>
              <w:bottom w:val="nil"/>
              <w:right w:val="nil"/>
            </w:tcBorders>
            <w:vAlign w:val="center"/>
          </w:tcPr>
          <w:p w14:paraId="485CC439"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Government agencies</w:t>
            </w:r>
            <w:r>
              <w:rPr>
                <w:rFonts w:eastAsia="MS Mincho" w:hint="eastAsia"/>
                <w:sz w:val="18"/>
                <w:szCs w:val="18"/>
                <w:lang w:val="en-US"/>
              </w:rPr>
              <w:t xml:space="preserve">; </w:t>
            </w:r>
            <w:r>
              <w:rPr>
                <w:rFonts w:eastAsia="MS Mincho"/>
                <w:sz w:val="18"/>
                <w:szCs w:val="18"/>
                <w:lang w:val="en-US"/>
              </w:rPr>
              <w:t>Service providers</w:t>
            </w:r>
            <w:r>
              <w:rPr>
                <w:rFonts w:eastAsia="MS Mincho" w:hint="eastAsia"/>
                <w:sz w:val="18"/>
                <w:szCs w:val="18"/>
                <w:lang w:val="en-US"/>
              </w:rPr>
              <w:t xml:space="preserve">; </w:t>
            </w:r>
            <w:r>
              <w:rPr>
                <w:rFonts w:eastAsia="MS Mincho"/>
                <w:sz w:val="18"/>
                <w:szCs w:val="18"/>
                <w:lang w:val="en-US"/>
              </w:rPr>
              <w:t>Professional institutions</w:t>
            </w:r>
            <w:r>
              <w:rPr>
                <w:rFonts w:eastAsia="MS Mincho" w:hint="eastAsia"/>
                <w:sz w:val="18"/>
                <w:szCs w:val="18"/>
                <w:lang w:val="en-US"/>
              </w:rPr>
              <w:t>; Regulations</w:t>
            </w:r>
          </w:p>
        </w:tc>
        <w:tc>
          <w:tcPr>
            <w:tcW w:w="2344" w:type="dxa"/>
            <w:tcBorders>
              <w:top w:val="nil"/>
              <w:left w:val="nil"/>
              <w:bottom w:val="nil"/>
              <w:right w:val="nil"/>
            </w:tcBorders>
            <w:vAlign w:val="center"/>
          </w:tcPr>
          <w:p w14:paraId="29E098D9"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hint="eastAsia"/>
                <w:sz w:val="18"/>
                <w:szCs w:val="18"/>
                <w:lang w:val="en-US"/>
              </w:rPr>
              <w:t>Expert (</w:t>
            </w:r>
            <w:r>
              <w:rPr>
                <w:rFonts w:eastAsia="MS Mincho"/>
                <w:sz w:val="18"/>
                <w:szCs w:val="18"/>
                <w:lang w:val="en-US"/>
              </w:rPr>
              <w:t xml:space="preserve"> (technology </w:t>
            </w:r>
            <w:r>
              <w:rPr>
                <w:rFonts w:eastAsia="MS Mincho" w:hint="eastAsia"/>
                <w:sz w:val="18"/>
                <w:szCs w:val="18"/>
                <w:lang w:val="en-US"/>
              </w:rPr>
              <w:t>advancement</w:t>
            </w:r>
            <w:r>
              <w:rPr>
                <w:rFonts w:eastAsia="MS Mincho"/>
                <w:sz w:val="18"/>
                <w:szCs w:val="18"/>
                <w:lang w:val="en-US"/>
              </w:rPr>
              <w:t>)</w:t>
            </w:r>
            <w:r>
              <w:rPr>
                <w:rFonts w:eastAsia="MS Mincho" w:hint="eastAsia"/>
                <w:sz w:val="18"/>
                <w:szCs w:val="18"/>
                <w:lang w:val="en-US"/>
              </w:rPr>
              <w:t>; Referent (global market expanded); Informational (grant legitimacy)</w:t>
            </w:r>
          </w:p>
        </w:tc>
        <w:tc>
          <w:tcPr>
            <w:tcW w:w="2351" w:type="dxa"/>
            <w:tcBorders>
              <w:top w:val="nil"/>
              <w:left w:val="nil"/>
              <w:bottom w:val="nil"/>
              <w:right w:val="nil"/>
            </w:tcBorders>
            <w:vAlign w:val="center"/>
          </w:tcPr>
          <w:p w14:paraId="28548404"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hint="eastAsia"/>
                <w:sz w:val="18"/>
                <w:szCs w:val="18"/>
                <w:lang w:val="en-US"/>
              </w:rPr>
              <w:t>Coercive power weakened (could not dictate tech</w:t>
            </w:r>
            <w:r>
              <w:rPr>
                <w:rFonts w:eastAsia="MS Mincho"/>
                <w:sz w:val="18"/>
                <w:szCs w:val="18"/>
                <w:lang w:val="en-US"/>
              </w:rPr>
              <w:t>nology</w:t>
            </w:r>
            <w:r>
              <w:rPr>
                <w:rFonts w:eastAsia="MS Mincho" w:hint="eastAsia"/>
                <w:sz w:val="18"/>
                <w:szCs w:val="18"/>
                <w:lang w:val="en-US"/>
              </w:rPr>
              <w:t xml:space="preserve"> spec</w:t>
            </w:r>
            <w:r>
              <w:rPr>
                <w:rFonts w:eastAsia="MS Mincho"/>
                <w:sz w:val="18"/>
                <w:szCs w:val="18"/>
                <w:lang w:val="en-US"/>
              </w:rPr>
              <w:t>ification</w:t>
            </w:r>
            <w:r>
              <w:rPr>
                <w:rFonts w:eastAsia="MS Mincho" w:hint="eastAsia"/>
                <w:sz w:val="18"/>
                <w:szCs w:val="18"/>
                <w:lang w:val="en-US"/>
              </w:rPr>
              <w:t>s)</w:t>
            </w:r>
          </w:p>
          <w:p w14:paraId="4D59565C"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hint="eastAsia"/>
                <w:sz w:val="18"/>
                <w:szCs w:val="18"/>
                <w:lang w:val="en-US"/>
              </w:rPr>
              <w:t>Reward power (positive) use encouraged (for the SME</w:t>
            </w:r>
            <w:r>
              <w:rPr>
                <w:rFonts w:eastAsia="MS Mincho"/>
                <w:sz w:val="18"/>
                <w:szCs w:val="18"/>
                <w:lang w:val="en-US"/>
              </w:rPr>
              <w:t>’</w:t>
            </w:r>
            <w:r>
              <w:rPr>
                <w:rFonts w:eastAsia="MS Mincho" w:hint="eastAsia"/>
                <w:sz w:val="18"/>
                <w:szCs w:val="18"/>
                <w:lang w:val="en-US"/>
              </w:rPr>
              <w:t>s receiving official supports)</w:t>
            </w:r>
          </w:p>
        </w:tc>
        <w:tc>
          <w:tcPr>
            <w:tcW w:w="2905" w:type="dxa"/>
            <w:tcBorders>
              <w:top w:val="nil"/>
              <w:left w:val="nil"/>
              <w:bottom w:val="nil"/>
              <w:right w:val="nil"/>
            </w:tcBorders>
            <w:vAlign w:val="center"/>
          </w:tcPr>
          <w:p w14:paraId="7752D724"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hint="eastAsia"/>
                <w:sz w:val="18"/>
                <w:szCs w:val="18"/>
                <w:lang w:val="en-US"/>
              </w:rPr>
              <w:t>'They</w:t>
            </w:r>
            <w:r>
              <w:rPr>
                <w:rFonts w:eastAsia="MS Mincho"/>
                <w:sz w:val="18"/>
                <w:szCs w:val="18"/>
                <w:lang w:val="en-US"/>
              </w:rPr>
              <w:t xml:space="preserve"> </w:t>
            </w:r>
            <w:r>
              <w:rPr>
                <w:rFonts w:eastAsia="MS Mincho" w:hint="eastAsia"/>
                <w:sz w:val="18"/>
                <w:szCs w:val="18"/>
                <w:lang w:val="en-US"/>
              </w:rPr>
              <w:t>had to acknowledge our upgraded tech, reducing their pressure on pricing...'</w:t>
            </w:r>
          </w:p>
          <w:p w14:paraId="40148A79"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‘We</w:t>
            </w:r>
            <w:r>
              <w:rPr>
                <w:rFonts w:eastAsia="MS Mincho" w:hint="eastAsia"/>
                <w:sz w:val="18"/>
                <w:szCs w:val="18"/>
                <w:lang w:val="en-US"/>
              </w:rPr>
              <w:t xml:space="preserve"> work with official departments for certain projects...the buyer </w:t>
            </w:r>
            <w:r>
              <w:rPr>
                <w:rFonts w:eastAsia="MS Mincho"/>
                <w:sz w:val="18"/>
                <w:szCs w:val="18"/>
                <w:lang w:val="en-US"/>
              </w:rPr>
              <w:t>cherishes</w:t>
            </w:r>
            <w:r>
              <w:rPr>
                <w:rFonts w:eastAsia="MS Mincho" w:hint="eastAsia"/>
                <w:sz w:val="18"/>
                <w:szCs w:val="18"/>
                <w:lang w:val="en-US"/>
              </w:rPr>
              <w:t xml:space="preserve"> this...</w:t>
            </w:r>
            <w:r>
              <w:rPr>
                <w:rFonts w:eastAsia="MS Mincho"/>
                <w:sz w:val="18"/>
                <w:szCs w:val="18"/>
                <w:lang w:val="en-US"/>
              </w:rPr>
              <w:t>’</w:t>
            </w:r>
          </w:p>
        </w:tc>
        <w:tc>
          <w:tcPr>
            <w:tcW w:w="2179" w:type="dxa"/>
            <w:tcBorders>
              <w:top w:val="nil"/>
              <w:left w:val="nil"/>
              <w:bottom w:val="nil"/>
              <w:right w:val="nil"/>
            </w:tcBorders>
            <w:vAlign w:val="center"/>
          </w:tcPr>
          <w:p w14:paraId="6F110A50"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hint="eastAsia"/>
                <w:sz w:val="18"/>
                <w:szCs w:val="18"/>
                <w:lang w:val="en-US"/>
              </w:rPr>
              <w:t xml:space="preserve">Gained technological parity, shifting relationship </w:t>
            </w:r>
            <w:r>
              <w:rPr>
                <w:rFonts w:eastAsia="MS Mincho"/>
                <w:sz w:val="18"/>
                <w:szCs w:val="18"/>
                <w:lang w:val="en-US"/>
              </w:rPr>
              <w:t>from a buyer-dominated hierarchy to a more collaborative partnership</w:t>
            </w:r>
          </w:p>
        </w:tc>
      </w:tr>
      <w:tr w:rsidR="00AD548A" w14:paraId="45E76FAE" w14:textId="77777777">
        <w:trPr>
          <w:jc w:val="center"/>
        </w:trPr>
        <w:tc>
          <w:tcPr>
            <w:tcW w:w="1357" w:type="dxa"/>
            <w:tcBorders>
              <w:top w:val="nil"/>
              <w:left w:val="nil"/>
              <w:bottom w:val="nil"/>
              <w:right w:val="nil"/>
            </w:tcBorders>
            <w:shd w:val="clear" w:color="auto" w:fill="DEEAF6" w:themeFill="accent5" w:themeFillTint="33"/>
            <w:vAlign w:val="center"/>
          </w:tcPr>
          <w:p w14:paraId="64F5029F"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SME6–Buyer</w:t>
            </w:r>
            <w:r>
              <w:rPr>
                <w:rFonts w:eastAsia="MS Mincho" w:hint="eastAsia"/>
                <w:b/>
                <w:bCs/>
                <w:sz w:val="18"/>
                <w:szCs w:val="18"/>
                <w:lang w:val="en-US"/>
              </w:rPr>
              <w:t>1</w:t>
            </w:r>
          </w:p>
        </w:tc>
        <w:tc>
          <w:tcPr>
            <w:tcW w:w="1865" w:type="dxa"/>
            <w:tcBorders>
              <w:top w:val="nil"/>
              <w:left w:val="nil"/>
              <w:bottom w:val="nil"/>
              <w:right w:val="nil"/>
            </w:tcBorders>
            <w:vAlign w:val="center"/>
          </w:tcPr>
          <w:p w14:paraId="26727BAF"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Industrial consultancy (efficiency); Utility support systems; Behavior</w:t>
            </w:r>
            <w:r>
              <w:rPr>
                <w:rFonts w:eastAsia="MS Mincho" w:hint="eastAsia"/>
                <w:sz w:val="18"/>
                <w:szCs w:val="18"/>
                <w:lang w:val="en-US"/>
              </w:rPr>
              <w:t xml:space="preserve"> supervision</w:t>
            </w:r>
          </w:p>
        </w:tc>
        <w:tc>
          <w:tcPr>
            <w:tcW w:w="1946" w:type="dxa"/>
            <w:tcBorders>
              <w:top w:val="nil"/>
              <w:left w:val="nil"/>
              <w:bottom w:val="nil"/>
              <w:right w:val="nil"/>
            </w:tcBorders>
            <w:vAlign w:val="center"/>
          </w:tcPr>
          <w:p w14:paraId="10FFADF6"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Professional institutions; Service providers</w:t>
            </w:r>
            <w:r>
              <w:rPr>
                <w:rFonts w:eastAsia="MS Mincho" w:hint="eastAsia"/>
                <w:sz w:val="18"/>
                <w:szCs w:val="18"/>
                <w:lang w:val="en-US"/>
              </w:rPr>
              <w:t>; Regulations</w:t>
            </w:r>
          </w:p>
        </w:tc>
        <w:tc>
          <w:tcPr>
            <w:tcW w:w="2344" w:type="dxa"/>
            <w:tcBorders>
              <w:top w:val="nil"/>
              <w:left w:val="nil"/>
              <w:bottom w:val="nil"/>
              <w:right w:val="nil"/>
            </w:tcBorders>
            <w:vAlign w:val="center"/>
          </w:tcPr>
          <w:p w14:paraId="3BC1717C"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Expert (process optimization); Informational (cost stability)</w:t>
            </w:r>
          </w:p>
        </w:tc>
        <w:tc>
          <w:tcPr>
            <w:tcW w:w="2351" w:type="dxa"/>
            <w:tcBorders>
              <w:top w:val="nil"/>
              <w:left w:val="nil"/>
              <w:bottom w:val="nil"/>
              <w:right w:val="nil"/>
            </w:tcBorders>
            <w:vAlign w:val="center"/>
          </w:tcPr>
          <w:p w14:paraId="072B87F4"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Coercive power constrained (cost-cutting demands mitigated)</w:t>
            </w:r>
          </w:p>
        </w:tc>
        <w:tc>
          <w:tcPr>
            <w:tcW w:w="2905" w:type="dxa"/>
            <w:tcBorders>
              <w:top w:val="nil"/>
              <w:left w:val="nil"/>
              <w:bottom w:val="nil"/>
              <w:right w:val="nil"/>
            </w:tcBorders>
            <w:vAlign w:val="center"/>
          </w:tcPr>
          <w:p w14:paraId="2C0B5051"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'Efficiency gains allowed us to absorb their cost pressures without sacrificing margin...'</w:t>
            </w:r>
          </w:p>
        </w:tc>
        <w:tc>
          <w:tcPr>
            <w:tcW w:w="2179" w:type="dxa"/>
            <w:tcBorders>
              <w:top w:val="nil"/>
              <w:left w:val="nil"/>
              <w:bottom w:val="nil"/>
              <w:right w:val="nil"/>
            </w:tcBorders>
            <w:vAlign w:val="center"/>
          </w:tcPr>
          <w:p w14:paraId="49150180"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Improved operational resilience to buyer price pressure</w:t>
            </w:r>
          </w:p>
        </w:tc>
      </w:tr>
      <w:tr w:rsidR="00AD548A" w14:paraId="6A8467CD" w14:textId="77777777">
        <w:trPr>
          <w:jc w:val="center"/>
        </w:trPr>
        <w:tc>
          <w:tcPr>
            <w:tcW w:w="1357" w:type="dxa"/>
            <w:tcBorders>
              <w:top w:val="nil"/>
              <w:left w:val="nil"/>
              <w:bottom w:val="nil"/>
              <w:right w:val="nil"/>
            </w:tcBorders>
            <w:shd w:val="clear" w:color="auto" w:fill="DEEAF6" w:themeFill="accent5" w:themeFillTint="33"/>
            <w:vAlign w:val="center"/>
          </w:tcPr>
          <w:p w14:paraId="5AB43A6E"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SME6–Buyer3</w:t>
            </w:r>
          </w:p>
        </w:tc>
        <w:tc>
          <w:tcPr>
            <w:tcW w:w="1865" w:type="dxa"/>
            <w:tcBorders>
              <w:top w:val="nil"/>
              <w:left w:val="nil"/>
              <w:bottom w:val="nil"/>
              <w:right w:val="nil"/>
            </w:tcBorders>
            <w:vAlign w:val="center"/>
          </w:tcPr>
          <w:p w14:paraId="4F326E18"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Industrial transformation consultancy; Export simplification</w:t>
            </w:r>
            <w:r>
              <w:rPr>
                <w:rFonts w:eastAsia="MS Mincho" w:hint="eastAsia"/>
                <w:sz w:val="18"/>
                <w:szCs w:val="18"/>
                <w:lang w:val="en-US"/>
              </w:rPr>
              <w:t>; Communication channel; Behavior supervision</w:t>
            </w:r>
          </w:p>
        </w:tc>
        <w:tc>
          <w:tcPr>
            <w:tcW w:w="1946" w:type="dxa"/>
            <w:tcBorders>
              <w:top w:val="nil"/>
              <w:left w:val="nil"/>
              <w:bottom w:val="nil"/>
              <w:right w:val="nil"/>
            </w:tcBorders>
            <w:vAlign w:val="center"/>
          </w:tcPr>
          <w:p w14:paraId="5CB66A48"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Professional institutions; Customs authority</w:t>
            </w:r>
            <w:r>
              <w:rPr>
                <w:rFonts w:eastAsia="MS Mincho" w:hint="eastAsia"/>
                <w:sz w:val="18"/>
                <w:szCs w:val="18"/>
                <w:lang w:val="en-US"/>
              </w:rPr>
              <w:t>; Regulations</w:t>
            </w:r>
          </w:p>
        </w:tc>
        <w:tc>
          <w:tcPr>
            <w:tcW w:w="2344" w:type="dxa"/>
            <w:tcBorders>
              <w:top w:val="nil"/>
              <w:left w:val="nil"/>
              <w:bottom w:val="nil"/>
              <w:right w:val="nil"/>
            </w:tcBorders>
            <w:vAlign w:val="center"/>
          </w:tcPr>
          <w:p w14:paraId="5D1824A5"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Expert (technology upgrading); Informational (faster export approvals)</w:t>
            </w:r>
          </w:p>
        </w:tc>
        <w:tc>
          <w:tcPr>
            <w:tcW w:w="2351" w:type="dxa"/>
            <w:tcBorders>
              <w:top w:val="nil"/>
              <w:left w:val="nil"/>
              <w:bottom w:val="nil"/>
              <w:right w:val="nil"/>
            </w:tcBorders>
            <w:vAlign w:val="center"/>
          </w:tcPr>
          <w:p w14:paraId="0242BBA4"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Coercive power reduced (fewer excuses for order delays)</w:t>
            </w:r>
          </w:p>
          <w:p w14:paraId="5525330E"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hint="eastAsia"/>
                <w:sz w:val="18"/>
                <w:szCs w:val="18"/>
                <w:lang w:val="en-US"/>
              </w:rPr>
              <w:t>Reward power (positive) use encouraged (for the SME</w:t>
            </w:r>
            <w:r>
              <w:rPr>
                <w:rFonts w:eastAsia="MS Mincho"/>
                <w:sz w:val="18"/>
                <w:szCs w:val="18"/>
                <w:lang w:val="en-US"/>
              </w:rPr>
              <w:t>’</w:t>
            </w:r>
            <w:r>
              <w:rPr>
                <w:rFonts w:eastAsia="MS Mincho" w:hint="eastAsia"/>
                <w:sz w:val="18"/>
                <w:szCs w:val="18"/>
                <w:lang w:val="en-US"/>
              </w:rPr>
              <w:t>s tech)</w:t>
            </w:r>
          </w:p>
        </w:tc>
        <w:tc>
          <w:tcPr>
            <w:tcW w:w="2905" w:type="dxa"/>
            <w:tcBorders>
              <w:top w:val="nil"/>
              <w:left w:val="nil"/>
              <w:bottom w:val="nil"/>
              <w:right w:val="nil"/>
            </w:tcBorders>
            <w:vAlign w:val="center"/>
          </w:tcPr>
          <w:p w14:paraId="0F248DF0"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‘We were encouraged to develop our own technologies…’</w:t>
            </w:r>
          </w:p>
          <w:p w14:paraId="0865DF3F"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w:t>
            </w:r>
            <w:r>
              <w:rPr>
                <w:rFonts w:eastAsia="MS Mincho" w:hint="eastAsia"/>
                <w:sz w:val="18"/>
                <w:szCs w:val="18"/>
                <w:lang w:val="en-US"/>
              </w:rPr>
              <w:t>The buyer talked about technical collaboration...</w:t>
            </w:r>
            <w:r>
              <w:rPr>
                <w:rFonts w:eastAsia="MS Mincho"/>
                <w:sz w:val="18"/>
                <w:szCs w:val="18"/>
                <w:lang w:val="en-US"/>
              </w:rPr>
              <w:t>’</w:t>
            </w:r>
          </w:p>
        </w:tc>
        <w:tc>
          <w:tcPr>
            <w:tcW w:w="2179" w:type="dxa"/>
            <w:tcBorders>
              <w:top w:val="nil"/>
              <w:left w:val="nil"/>
              <w:bottom w:val="nil"/>
              <w:right w:val="nil"/>
            </w:tcBorders>
            <w:vAlign w:val="center"/>
          </w:tcPr>
          <w:p w14:paraId="47322A0F"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Increased competitiveness, making the SME less replaceable and reducing buyer leverage</w:t>
            </w:r>
          </w:p>
        </w:tc>
      </w:tr>
      <w:tr w:rsidR="00AD548A" w14:paraId="5C030A36" w14:textId="77777777">
        <w:trPr>
          <w:jc w:val="center"/>
        </w:trPr>
        <w:tc>
          <w:tcPr>
            <w:tcW w:w="1357" w:type="dxa"/>
            <w:tcBorders>
              <w:top w:val="nil"/>
              <w:left w:val="nil"/>
              <w:bottom w:val="nil"/>
              <w:right w:val="nil"/>
            </w:tcBorders>
            <w:shd w:val="clear" w:color="auto" w:fill="DEEAF6" w:themeFill="accent5" w:themeFillTint="33"/>
            <w:vAlign w:val="center"/>
          </w:tcPr>
          <w:p w14:paraId="748F01F4"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SME7–Buyer3</w:t>
            </w:r>
          </w:p>
        </w:tc>
        <w:tc>
          <w:tcPr>
            <w:tcW w:w="1865" w:type="dxa"/>
            <w:tcBorders>
              <w:top w:val="nil"/>
              <w:left w:val="nil"/>
              <w:bottom w:val="nil"/>
              <w:right w:val="nil"/>
            </w:tcBorders>
            <w:vAlign w:val="center"/>
          </w:tcPr>
          <w:p w14:paraId="2D4AEFB8"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Industrial transformation; Promotion; Utility support systems</w:t>
            </w:r>
            <w:r>
              <w:rPr>
                <w:rFonts w:eastAsia="MS Mincho" w:hint="eastAsia"/>
                <w:sz w:val="18"/>
                <w:szCs w:val="18"/>
                <w:lang w:val="en-US"/>
              </w:rPr>
              <w:t>; Communication channel</w:t>
            </w:r>
          </w:p>
        </w:tc>
        <w:tc>
          <w:tcPr>
            <w:tcW w:w="1946" w:type="dxa"/>
            <w:tcBorders>
              <w:top w:val="nil"/>
              <w:left w:val="nil"/>
              <w:bottom w:val="nil"/>
              <w:right w:val="nil"/>
            </w:tcBorders>
            <w:vAlign w:val="center"/>
          </w:tcPr>
          <w:p w14:paraId="2EDB25E9"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Professional institutions; Gov</w:t>
            </w:r>
            <w:r>
              <w:rPr>
                <w:rFonts w:eastAsia="MS Mincho" w:hint="eastAsia"/>
                <w:sz w:val="18"/>
                <w:szCs w:val="18"/>
                <w:lang w:val="en-US"/>
              </w:rPr>
              <w:t xml:space="preserve">ernmental </w:t>
            </w:r>
            <w:r>
              <w:rPr>
                <w:rFonts w:eastAsia="MS Mincho"/>
                <w:sz w:val="18"/>
                <w:szCs w:val="18"/>
                <w:lang w:val="en-US"/>
              </w:rPr>
              <w:t>agencies; Service providers</w:t>
            </w:r>
            <w:r>
              <w:rPr>
                <w:rFonts w:eastAsia="MS Mincho" w:hint="eastAsia"/>
                <w:sz w:val="18"/>
                <w:szCs w:val="18"/>
                <w:lang w:val="en-US"/>
              </w:rPr>
              <w:t>; Regulations</w:t>
            </w:r>
          </w:p>
        </w:tc>
        <w:tc>
          <w:tcPr>
            <w:tcW w:w="2344" w:type="dxa"/>
            <w:tcBorders>
              <w:top w:val="nil"/>
              <w:left w:val="nil"/>
              <w:bottom w:val="nil"/>
              <w:right w:val="nil"/>
            </w:tcBorders>
            <w:vAlign w:val="center"/>
          </w:tcPr>
          <w:p w14:paraId="284A1ABC"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Expert (tech upgrading); Referent (promotion alternatives); Informational (stable utilities)</w:t>
            </w:r>
          </w:p>
        </w:tc>
        <w:tc>
          <w:tcPr>
            <w:tcW w:w="2351" w:type="dxa"/>
            <w:tcBorders>
              <w:top w:val="nil"/>
              <w:left w:val="nil"/>
              <w:bottom w:val="nil"/>
              <w:right w:val="nil"/>
            </w:tcBorders>
            <w:vAlign w:val="center"/>
          </w:tcPr>
          <w:p w14:paraId="3DF075E3"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 xml:space="preserve">Coercive power constrained (instability reduced); </w:t>
            </w:r>
          </w:p>
          <w:p w14:paraId="4CE76C44"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The use of positive reward power is encouraged in relation to the SME’s technology.</w:t>
            </w:r>
          </w:p>
        </w:tc>
        <w:tc>
          <w:tcPr>
            <w:tcW w:w="2905" w:type="dxa"/>
            <w:tcBorders>
              <w:top w:val="nil"/>
              <w:left w:val="nil"/>
              <w:bottom w:val="nil"/>
              <w:right w:val="nil"/>
            </w:tcBorders>
            <w:vAlign w:val="center"/>
          </w:tcPr>
          <w:p w14:paraId="65314EA2"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‘Local business communities promoted us…’</w:t>
            </w:r>
          </w:p>
          <w:p w14:paraId="2FA28634"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'They know we can serve their competitors now.'</w:t>
            </w:r>
          </w:p>
        </w:tc>
        <w:tc>
          <w:tcPr>
            <w:tcW w:w="2179" w:type="dxa"/>
            <w:tcBorders>
              <w:top w:val="nil"/>
              <w:left w:val="nil"/>
              <w:bottom w:val="nil"/>
              <w:right w:val="nil"/>
            </w:tcBorders>
            <w:vAlign w:val="center"/>
          </w:tcPr>
          <w:p w14:paraId="09033B35"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hint="eastAsia"/>
                <w:sz w:val="18"/>
                <w:szCs w:val="18"/>
                <w:lang w:val="en-US"/>
              </w:rPr>
              <w:t>Reduced buyer opportunism by eliminating excuses for coercion, forcing them to use more collaborate approach.</w:t>
            </w:r>
          </w:p>
        </w:tc>
      </w:tr>
      <w:tr w:rsidR="00AD548A" w14:paraId="66F21AEC" w14:textId="77777777">
        <w:trPr>
          <w:jc w:val="center"/>
        </w:trPr>
        <w:tc>
          <w:tcPr>
            <w:tcW w:w="1357" w:type="dxa"/>
            <w:tcBorders>
              <w:top w:val="nil"/>
              <w:left w:val="nil"/>
              <w:bottom w:val="nil"/>
              <w:right w:val="nil"/>
            </w:tcBorders>
            <w:shd w:val="clear" w:color="auto" w:fill="DEEAF6" w:themeFill="accent5" w:themeFillTint="33"/>
            <w:vAlign w:val="center"/>
          </w:tcPr>
          <w:p w14:paraId="7BABAF07"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SME8–Buyer</w:t>
            </w:r>
            <w:r>
              <w:rPr>
                <w:rFonts w:eastAsia="MS Mincho" w:hint="eastAsia"/>
                <w:b/>
                <w:bCs/>
                <w:sz w:val="18"/>
                <w:szCs w:val="18"/>
                <w:lang w:val="en-US"/>
              </w:rPr>
              <w:t>2</w:t>
            </w:r>
          </w:p>
        </w:tc>
        <w:tc>
          <w:tcPr>
            <w:tcW w:w="1865" w:type="dxa"/>
            <w:tcBorders>
              <w:top w:val="nil"/>
              <w:left w:val="nil"/>
              <w:bottom w:val="nil"/>
              <w:right w:val="nil"/>
            </w:tcBorders>
            <w:vAlign w:val="center"/>
          </w:tcPr>
          <w:p w14:paraId="04669196"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Platform access; Benefit redistribution</w:t>
            </w:r>
            <w:r>
              <w:rPr>
                <w:rFonts w:eastAsia="MS Mincho" w:hint="eastAsia"/>
                <w:sz w:val="18"/>
                <w:szCs w:val="18"/>
                <w:lang w:val="en-US"/>
              </w:rPr>
              <w:t xml:space="preserve">; Communication channel </w:t>
            </w:r>
          </w:p>
        </w:tc>
        <w:tc>
          <w:tcPr>
            <w:tcW w:w="1946" w:type="dxa"/>
            <w:tcBorders>
              <w:top w:val="nil"/>
              <w:left w:val="nil"/>
              <w:bottom w:val="nil"/>
              <w:right w:val="nil"/>
            </w:tcBorders>
            <w:vAlign w:val="center"/>
          </w:tcPr>
          <w:p w14:paraId="6DEBECA6"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International associations; Gov</w:t>
            </w:r>
            <w:r>
              <w:rPr>
                <w:rFonts w:eastAsia="MS Mincho" w:hint="eastAsia"/>
                <w:sz w:val="18"/>
                <w:szCs w:val="18"/>
                <w:lang w:val="en-US"/>
              </w:rPr>
              <w:t xml:space="preserve">ernmental </w:t>
            </w:r>
            <w:r>
              <w:rPr>
                <w:rFonts w:eastAsia="MS Mincho"/>
                <w:sz w:val="18"/>
                <w:szCs w:val="18"/>
                <w:lang w:val="en-US"/>
              </w:rPr>
              <w:t>agencies</w:t>
            </w:r>
            <w:r>
              <w:rPr>
                <w:rFonts w:eastAsia="MS Mincho" w:hint="eastAsia"/>
                <w:sz w:val="18"/>
                <w:szCs w:val="18"/>
                <w:lang w:val="en-US"/>
              </w:rPr>
              <w:t>; Regulations</w:t>
            </w:r>
          </w:p>
        </w:tc>
        <w:tc>
          <w:tcPr>
            <w:tcW w:w="2344" w:type="dxa"/>
            <w:tcBorders>
              <w:top w:val="nil"/>
              <w:left w:val="nil"/>
              <w:bottom w:val="nil"/>
              <w:right w:val="nil"/>
            </w:tcBorders>
            <w:vAlign w:val="center"/>
          </w:tcPr>
          <w:p w14:paraId="0EE28F3F"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Referent (alternative client access); Informational (market credibility)</w:t>
            </w:r>
          </w:p>
        </w:tc>
        <w:tc>
          <w:tcPr>
            <w:tcW w:w="2351" w:type="dxa"/>
            <w:tcBorders>
              <w:top w:val="nil"/>
              <w:left w:val="nil"/>
              <w:bottom w:val="nil"/>
              <w:right w:val="nil"/>
            </w:tcBorders>
            <w:vAlign w:val="center"/>
          </w:tcPr>
          <w:p w14:paraId="249E2FF1"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The use of negative reward power is reduced, as order volume leverage has decreased.</w:t>
            </w:r>
          </w:p>
        </w:tc>
        <w:tc>
          <w:tcPr>
            <w:tcW w:w="2905" w:type="dxa"/>
            <w:tcBorders>
              <w:top w:val="nil"/>
              <w:left w:val="nil"/>
              <w:bottom w:val="nil"/>
              <w:right w:val="nil"/>
            </w:tcBorders>
            <w:vAlign w:val="center"/>
          </w:tcPr>
          <w:p w14:paraId="63A1F209"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'We used the international platform to replace the lost orders, reducing our dependence on them...</w:t>
            </w:r>
          </w:p>
        </w:tc>
        <w:tc>
          <w:tcPr>
            <w:tcW w:w="2179" w:type="dxa"/>
            <w:tcBorders>
              <w:top w:val="nil"/>
              <w:left w:val="nil"/>
              <w:bottom w:val="nil"/>
              <w:right w:val="nil"/>
            </w:tcBorders>
            <w:vAlign w:val="center"/>
          </w:tcPr>
          <w:p w14:paraId="56CF3A08"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Diversified revenue streams, weakening buyer's reward power</w:t>
            </w:r>
          </w:p>
        </w:tc>
      </w:tr>
      <w:tr w:rsidR="00AD548A" w14:paraId="7A6DD2C8" w14:textId="77777777">
        <w:trPr>
          <w:jc w:val="center"/>
        </w:trPr>
        <w:tc>
          <w:tcPr>
            <w:tcW w:w="1357" w:type="dxa"/>
            <w:tcBorders>
              <w:top w:val="nil"/>
              <w:left w:val="nil"/>
              <w:bottom w:val="nil"/>
              <w:right w:val="nil"/>
            </w:tcBorders>
            <w:shd w:val="clear" w:color="auto" w:fill="DEEAF6" w:themeFill="accent5" w:themeFillTint="33"/>
            <w:vAlign w:val="center"/>
          </w:tcPr>
          <w:p w14:paraId="70FFBDA7"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SME8–Buyer4</w:t>
            </w:r>
          </w:p>
        </w:tc>
        <w:tc>
          <w:tcPr>
            <w:tcW w:w="1865" w:type="dxa"/>
            <w:tcBorders>
              <w:top w:val="nil"/>
              <w:left w:val="nil"/>
              <w:bottom w:val="nil"/>
              <w:right w:val="nil"/>
            </w:tcBorders>
            <w:vAlign w:val="center"/>
          </w:tcPr>
          <w:p w14:paraId="1E1B9B6B"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Platform to international markets; Benefit redistribution; Behavior</w:t>
            </w:r>
            <w:r>
              <w:rPr>
                <w:rFonts w:eastAsia="MS Mincho" w:hint="eastAsia"/>
                <w:sz w:val="18"/>
                <w:szCs w:val="18"/>
                <w:lang w:val="en-US"/>
              </w:rPr>
              <w:t xml:space="preserve"> supervision</w:t>
            </w:r>
          </w:p>
        </w:tc>
        <w:tc>
          <w:tcPr>
            <w:tcW w:w="1946" w:type="dxa"/>
            <w:tcBorders>
              <w:top w:val="nil"/>
              <w:left w:val="nil"/>
              <w:bottom w:val="nil"/>
              <w:right w:val="nil"/>
            </w:tcBorders>
            <w:vAlign w:val="center"/>
          </w:tcPr>
          <w:p w14:paraId="24261324"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International associations; Gov</w:t>
            </w:r>
            <w:r>
              <w:rPr>
                <w:rFonts w:eastAsia="MS Mincho" w:hint="eastAsia"/>
                <w:sz w:val="18"/>
                <w:szCs w:val="18"/>
                <w:lang w:val="en-US"/>
              </w:rPr>
              <w:t xml:space="preserve">ernmental </w:t>
            </w:r>
            <w:r>
              <w:rPr>
                <w:rFonts w:eastAsia="MS Mincho"/>
                <w:sz w:val="18"/>
                <w:szCs w:val="18"/>
                <w:lang w:val="en-US"/>
              </w:rPr>
              <w:t>agencies</w:t>
            </w:r>
            <w:r>
              <w:rPr>
                <w:rFonts w:eastAsia="MS Mincho" w:hint="eastAsia"/>
                <w:sz w:val="18"/>
                <w:szCs w:val="18"/>
                <w:lang w:val="en-US"/>
              </w:rPr>
              <w:t>; Regulations</w:t>
            </w:r>
          </w:p>
        </w:tc>
        <w:tc>
          <w:tcPr>
            <w:tcW w:w="2344" w:type="dxa"/>
            <w:tcBorders>
              <w:top w:val="nil"/>
              <w:left w:val="nil"/>
              <w:bottom w:val="nil"/>
              <w:right w:val="nil"/>
            </w:tcBorders>
            <w:vAlign w:val="center"/>
          </w:tcPr>
          <w:p w14:paraId="63B9198D"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Referent (international buyer access); Informational (policy credibility)</w:t>
            </w:r>
          </w:p>
        </w:tc>
        <w:tc>
          <w:tcPr>
            <w:tcW w:w="2351" w:type="dxa"/>
            <w:tcBorders>
              <w:top w:val="nil"/>
              <w:left w:val="nil"/>
              <w:bottom w:val="nil"/>
              <w:right w:val="nil"/>
            </w:tcBorders>
            <w:vAlign w:val="center"/>
          </w:tcPr>
          <w:p w14:paraId="4F162F62"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Coercive power reduced (funds shifted away);</w:t>
            </w:r>
          </w:p>
          <w:p w14:paraId="2124916E"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 xml:space="preserve">The use of negative reward power is reduced, as order </w:t>
            </w:r>
            <w:r>
              <w:rPr>
                <w:rFonts w:eastAsia="MS Mincho"/>
                <w:sz w:val="18"/>
                <w:szCs w:val="18"/>
                <w:lang w:val="en-US"/>
              </w:rPr>
              <w:lastRenderedPageBreak/>
              <w:t>volume leverage has decreased.</w:t>
            </w:r>
          </w:p>
        </w:tc>
        <w:tc>
          <w:tcPr>
            <w:tcW w:w="2905" w:type="dxa"/>
            <w:tcBorders>
              <w:top w:val="nil"/>
              <w:left w:val="nil"/>
              <w:bottom w:val="nil"/>
              <w:right w:val="nil"/>
            </w:tcBorders>
            <w:vAlign w:val="center"/>
          </w:tcPr>
          <w:p w14:paraId="12EBDFBD"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lastRenderedPageBreak/>
              <w:t>‘Commercial associations became the bridge to clients abroad…’</w:t>
            </w:r>
          </w:p>
          <w:p w14:paraId="7DF300AA"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w:t>
            </w:r>
            <w:r>
              <w:rPr>
                <w:rFonts w:eastAsia="MS Mincho" w:hint="eastAsia"/>
                <w:sz w:val="18"/>
                <w:szCs w:val="18"/>
                <w:lang w:val="en-US"/>
              </w:rPr>
              <w:t>W</w:t>
            </w:r>
            <w:r>
              <w:rPr>
                <w:rFonts w:eastAsia="MS Mincho"/>
                <w:sz w:val="18"/>
                <w:szCs w:val="18"/>
                <w:lang w:val="en-US"/>
              </w:rPr>
              <w:t>e are no longer solely dependent on the MNC's orders.'</w:t>
            </w:r>
          </w:p>
        </w:tc>
        <w:tc>
          <w:tcPr>
            <w:tcW w:w="2179" w:type="dxa"/>
            <w:tcBorders>
              <w:top w:val="nil"/>
              <w:left w:val="nil"/>
              <w:bottom w:val="nil"/>
              <w:right w:val="nil"/>
            </w:tcBorders>
            <w:vAlign w:val="center"/>
          </w:tcPr>
          <w:p w14:paraId="6E6D83FF"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Diversified dependence; reduced MNC dominance</w:t>
            </w:r>
          </w:p>
        </w:tc>
      </w:tr>
      <w:tr w:rsidR="00AD548A" w14:paraId="6287C8C1" w14:textId="77777777">
        <w:trPr>
          <w:jc w:val="center"/>
        </w:trPr>
        <w:tc>
          <w:tcPr>
            <w:tcW w:w="1357" w:type="dxa"/>
            <w:tcBorders>
              <w:top w:val="nil"/>
              <w:left w:val="nil"/>
              <w:bottom w:val="nil"/>
              <w:right w:val="nil"/>
            </w:tcBorders>
            <w:shd w:val="clear" w:color="auto" w:fill="DEEAF6" w:themeFill="accent5" w:themeFillTint="33"/>
            <w:vAlign w:val="center"/>
          </w:tcPr>
          <w:p w14:paraId="623C3A51"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SME9–Buyer4</w:t>
            </w:r>
          </w:p>
        </w:tc>
        <w:tc>
          <w:tcPr>
            <w:tcW w:w="1865" w:type="dxa"/>
            <w:tcBorders>
              <w:top w:val="nil"/>
              <w:left w:val="nil"/>
              <w:bottom w:val="nil"/>
              <w:right w:val="nil"/>
            </w:tcBorders>
            <w:vAlign w:val="center"/>
          </w:tcPr>
          <w:p w14:paraId="3B96126A"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Legal support; Utility support systems; Behavior</w:t>
            </w:r>
            <w:r>
              <w:rPr>
                <w:rFonts w:eastAsia="MS Mincho" w:hint="eastAsia"/>
                <w:sz w:val="18"/>
                <w:szCs w:val="18"/>
                <w:lang w:val="en-US"/>
              </w:rPr>
              <w:t xml:space="preserve"> supervision</w:t>
            </w:r>
          </w:p>
        </w:tc>
        <w:tc>
          <w:tcPr>
            <w:tcW w:w="1946" w:type="dxa"/>
            <w:tcBorders>
              <w:top w:val="nil"/>
              <w:left w:val="nil"/>
              <w:bottom w:val="nil"/>
              <w:right w:val="nil"/>
            </w:tcBorders>
            <w:vAlign w:val="center"/>
          </w:tcPr>
          <w:p w14:paraId="074D2FF2"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Government agencies; Service providers</w:t>
            </w:r>
            <w:r>
              <w:rPr>
                <w:rFonts w:eastAsia="MS Mincho" w:hint="eastAsia"/>
                <w:sz w:val="18"/>
                <w:szCs w:val="18"/>
                <w:lang w:val="en-US"/>
              </w:rPr>
              <w:t>; Regulations</w:t>
            </w:r>
          </w:p>
        </w:tc>
        <w:tc>
          <w:tcPr>
            <w:tcW w:w="2344" w:type="dxa"/>
            <w:tcBorders>
              <w:top w:val="nil"/>
              <w:left w:val="nil"/>
              <w:bottom w:val="nil"/>
              <w:right w:val="nil"/>
            </w:tcBorders>
            <w:vAlign w:val="center"/>
          </w:tcPr>
          <w:p w14:paraId="37351CAC"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Informational (legal legitimacy); Expert/continuity (stable ops)</w:t>
            </w:r>
          </w:p>
        </w:tc>
        <w:tc>
          <w:tcPr>
            <w:tcW w:w="2351" w:type="dxa"/>
            <w:tcBorders>
              <w:top w:val="nil"/>
              <w:left w:val="nil"/>
              <w:bottom w:val="nil"/>
              <w:right w:val="nil"/>
            </w:tcBorders>
            <w:vAlign w:val="center"/>
          </w:tcPr>
          <w:p w14:paraId="0B99D073"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Coercive power constrained (payment disputes monitored)</w:t>
            </w:r>
          </w:p>
        </w:tc>
        <w:tc>
          <w:tcPr>
            <w:tcW w:w="2905" w:type="dxa"/>
            <w:tcBorders>
              <w:top w:val="nil"/>
              <w:left w:val="nil"/>
              <w:bottom w:val="nil"/>
              <w:right w:val="nil"/>
            </w:tcBorders>
            <w:vAlign w:val="center"/>
          </w:tcPr>
          <w:p w14:paraId="26DE76B7"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‘Only after legal support our words were accepted…’</w:t>
            </w:r>
          </w:p>
          <w:p w14:paraId="3F7D0107"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'Now we can guarantee timelines they can't challenge.'</w:t>
            </w:r>
          </w:p>
        </w:tc>
        <w:tc>
          <w:tcPr>
            <w:tcW w:w="2179" w:type="dxa"/>
            <w:tcBorders>
              <w:top w:val="nil"/>
              <w:left w:val="nil"/>
              <w:bottom w:val="nil"/>
              <w:right w:val="nil"/>
            </w:tcBorders>
            <w:vAlign w:val="center"/>
          </w:tcPr>
          <w:p w14:paraId="399D4C60"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 xml:space="preserve">Buyers’ opportunism curtailed; </w:t>
            </w:r>
            <w:r>
              <w:rPr>
                <w:rFonts w:eastAsia="MS Mincho" w:hint="eastAsia"/>
                <w:sz w:val="18"/>
                <w:szCs w:val="18"/>
                <w:lang w:val="en-US"/>
              </w:rPr>
              <w:t>effectively protecting the SME's financial interests</w:t>
            </w:r>
          </w:p>
        </w:tc>
      </w:tr>
      <w:tr w:rsidR="00AD548A" w14:paraId="3844339A" w14:textId="77777777">
        <w:trPr>
          <w:jc w:val="center"/>
        </w:trPr>
        <w:tc>
          <w:tcPr>
            <w:tcW w:w="1357" w:type="dxa"/>
            <w:tcBorders>
              <w:top w:val="nil"/>
              <w:left w:val="nil"/>
              <w:bottom w:val="nil"/>
              <w:right w:val="nil"/>
            </w:tcBorders>
            <w:shd w:val="clear" w:color="auto" w:fill="DEEAF6" w:themeFill="accent5" w:themeFillTint="33"/>
            <w:vAlign w:val="center"/>
          </w:tcPr>
          <w:p w14:paraId="0E2D71B4"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SME10–Buyer</w:t>
            </w:r>
            <w:r>
              <w:rPr>
                <w:rFonts w:eastAsia="MS Mincho" w:hint="eastAsia"/>
                <w:b/>
                <w:bCs/>
                <w:sz w:val="18"/>
                <w:szCs w:val="18"/>
                <w:lang w:val="en-US"/>
              </w:rPr>
              <w:t>3</w:t>
            </w:r>
          </w:p>
        </w:tc>
        <w:tc>
          <w:tcPr>
            <w:tcW w:w="1865" w:type="dxa"/>
            <w:tcBorders>
              <w:top w:val="nil"/>
              <w:left w:val="nil"/>
              <w:bottom w:val="nil"/>
              <w:right w:val="nil"/>
            </w:tcBorders>
            <w:vAlign w:val="center"/>
          </w:tcPr>
          <w:p w14:paraId="006FB4DA"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International platform support; Utility support systems</w:t>
            </w:r>
          </w:p>
        </w:tc>
        <w:tc>
          <w:tcPr>
            <w:tcW w:w="1946" w:type="dxa"/>
            <w:tcBorders>
              <w:top w:val="nil"/>
              <w:left w:val="nil"/>
              <w:bottom w:val="nil"/>
              <w:right w:val="nil"/>
            </w:tcBorders>
            <w:vAlign w:val="center"/>
          </w:tcPr>
          <w:p w14:paraId="5879B3FC"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Professional associations; Government agencies</w:t>
            </w:r>
            <w:r>
              <w:rPr>
                <w:rFonts w:eastAsia="MS Mincho" w:hint="eastAsia"/>
                <w:sz w:val="18"/>
                <w:szCs w:val="18"/>
                <w:lang w:val="en-US"/>
              </w:rPr>
              <w:t>; Regulations</w:t>
            </w:r>
          </w:p>
        </w:tc>
        <w:tc>
          <w:tcPr>
            <w:tcW w:w="2344" w:type="dxa"/>
            <w:tcBorders>
              <w:top w:val="nil"/>
              <w:left w:val="nil"/>
              <w:bottom w:val="nil"/>
              <w:right w:val="nil"/>
            </w:tcBorders>
            <w:vAlign w:val="center"/>
          </w:tcPr>
          <w:p w14:paraId="4FFAAB81"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Referent (global networks); Expert (operational stability)</w:t>
            </w:r>
          </w:p>
        </w:tc>
        <w:tc>
          <w:tcPr>
            <w:tcW w:w="2351" w:type="dxa"/>
            <w:tcBorders>
              <w:top w:val="nil"/>
              <w:left w:val="nil"/>
              <w:bottom w:val="nil"/>
              <w:right w:val="nil"/>
            </w:tcBorders>
            <w:vAlign w:val="center"/>
          </w:tcPr>
          <w:p w14:paraId="5E925AD0"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Coercive power constrained (supply instability arguments negated)</w:t>
            </w:r>
          </w:p>
        </w:tc>
        <w:tc>
          <w:tcPr>
            <w:tcW w:w="2905" w:type="dxa"/>
            <w:tcBorders>
              <w:top w:val="nil"/>
              <w:left w:val="nil"/>
              <w:bottom w:val="nil"/>
              <w:right w:val="nil"/>
            </w:tcBorders>
            <w:vAlign w:val="center"/>
          </w:tcPr>
          <w:p w14:paraId="2FB2CD6F"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'With stable utilities and new clients, their threats to switch suppliers lost credibility...'</w:t>
            </w:r>
          </w:p>
        </w:tc>
        <w:tc>
          <w:tcPr>
            <w:tcW w:w="2179" w:type="dxa"/>
            <w:tcBorders>
              <w:top w:val="nil"/>
              <w:left w:val="nil"/>
              <w:bottom w:val="nil"/>
              <w:right w:val="nil"/>
            </w:tcBorders>
            <w:vAlign w:val="center"/>
          </w:tcPr>
          <w:p w14:paraId="797FD611"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Secured production reliability, making the SME less replaceable</w:t>
            </w:r>
          </w:p>
        </w:tc>
      </w:tr>
      <w:tr w:rsidR="00AD548A" w14:paraId="2BC17EEE" w14:textId="77777777">
        <w:trPr>
          <w:jc w:val="center"/>
        </w:trPr>
        <w:tc>
          <w:tcPr>
            <w:tcW w:w="1357" w:type="dxa"/>
            <w:tcBorders>
              <w:top w:val="nil"/>
              <w:left w:val="nil"/>
              <w:bottom w:val="single" w:sz="12" w:space="0" w:color="auto"/>
              <w:right w:val="nil"/>
            </w:tcBorders>
            <w:shd w:val="clear" w:color="auto" w:fill="DEEAF6" w:themeFill="accent5" w:themeFillTint="33"/>
            <w:vAlign w:val="center"/>
          </w:tcPr>
          <w:p w14:paraId="2B7C644D" w14:textId="77777777" w:rsidR="00AD548A" w:rsidRDefault="00000000">
            <w:pPr>
              <w:widowControl/>
              <w:snapToGrid w:val="0"/>
              <w:spacing w:before="100" w:beforeAutospacing="1" w:line="240" w:lineRule="auto"/>
              <w:ind w:firstLineChars="0" w:firstLine="0"/>
              <w:jc w:val="center"/>
              <w:rPr>
                <w:rFonts w:eastAsia="MS Mincho"/>
                <w:b/>
                <w:bCs/>
                <w:sz w:val="18"/>
                <w:szCs w:val="18"/>
                <w:lang w:val="en-US"/>
              </w:rPr>
            </w:pPr>
            <w:r>
              <w:rPr>
                <w:rFonts w:eastAsia="MS Mincho"/>
                <w:b/>
                <w:bCs/>
                <w:sz w:val="18"/>
                <w:szCs w:val="18"/>
                <w:lang w:val="en-US"/>
              </w:rPr>
              <w:t>SME10–Buyer4</w:t>
            </w:r>
          </w:p>
        </w:tc>
        <w:tc>
          <w:tcPr>
            <w:tcW w:w="1865" w:type="dxa"/>
            <w:tcBorders>
              <w:top w:val="nil"/>
              <w:left w:val="nil"/>
              <w:bottom w:val="single" w:sz="12" w:space="0" w:color="auto"/>
              <w:right w:val="nil"/>
            </w:tcBorders>
            <w:vAlign w:val="center"/>
          </w:tcPr>
          <w:p w14:paraId="5E20B124"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International platform support</w:t>
            </w:r>
            <w:r>
              <w:rPr>
                <w:rFonts w:eastAsia="MS Mincho" w:hint="eastAsia"/>
                <w:sz w:val="18"/>
                <w:szCs w:val="18"/>
                <w:lang w:val="en-US"/>
              </w:rPr>
              <w:t xml:space="preserve">; </w:t>
            </w:r>
            <w:r>
              <w:rPr>
                <w:rFonts w:eastAsia="MS Mincho"/>
                <w:sz w:val="18"/>
                <w:szCs w:val="18"/>
                <w:lang w:val="en-US"/>
              </w:rPr>
              <w:t>Utility support systems</w:t>
            </w:r>
            <w:r>
              <w:rPr>
                <w:rFonts w:eastAsia="MS Mincho" w:hint="eastAsia"/>
                <w:sz w:val="18"/>
                <w:szCs w:val="18"/>
                <w:lang w:val="en-US"/>
              </w:rPr>
              <w:t>; Promotion events</w:t>
            </w:r>
          </w:p>
        </w:tc>
        <w:tc>
          <w:tcPr>
            <w:tcW w:w="1946" w:type="dxa"/>
            <w:tcBorders>
              <w:top w:val="nil"/>
              <w:left w:val="nil"/>
              <w:bottom w:val="single" w:sz="12" w:space="0" w:color="auto"/>
              <w:right w:val="nil"/>
            </w:tcBorders>
            <w:vAlign w:val="center"/>
          </w:tcPr>
          <w:p w14:paraId="2738A3BF"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Professional associations</w:t>
            </w:r>
            <w:r>
              <w:rPr>
                <w:rFonts w:eastAsia="MS Mincho" w:hint="eastAsia"/>
                <w:sz w:val="18"/>
                <w:szCs w:val="18"/>
                <w:lang w:val="en-US"/>
              </w:rPr>
              <w:t xml:space="preserve">; </w:t>
            </w:r>
            <w:r>
              <w:rPr>
                <w:rFonts w:eastAsia="MS Mincho"/>
                <w:sz w:val="18"/>
                <w:szCs w:val="18"/>
                <w:lang w:val="en-US"/>
              </w:rPr>
              <w:t>Government agencies;</w:t>
            </w:r>
            <w:r>
              <w:rPr>
                <w:rFonts w:eastAsia="MS Mincho" w:hint="eastAsia"/>
                <w:sz w:val="18"/>
                <w:szCs w:val="18"/>
                <w:lang w:val="en-US"/>
              </w:rPr>
              <w:t>; Regulations</w:t>
            </w:r>
          </w:p>
        </w:tc>
        <w:tc>
          <w:tcPr>
            <w:tcW w:w="2344" w:type="dxa"/>
            <w:tcBorders>
              <w:top w:val="nil"/>
              <w:left w:val="nil"/>
              <w:bottom w:val="single" w:sz="12" w:space="0" w:color="auto"/>
              <w:right w:val="nil"/>
            </w:tcBorders>
            <w:vAlign w:val="center"/>
          </w:tcPr>
          <w:p w14:paraId="42EE9EEB"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hint="eastAsia"/>
                <w:sz w:val="18"/>
                <w:szCs w:val="18"/>
                <w:lang w:val="en-US"/>
              </w:rPr>
              <w:t>Expert (professional technical consultancy)</w:t>
            </w:r>
          </w:p>
          <w:p w14:paraId="5753709E"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Referent (global networks)</w:t>
            </w:r>
          </w:p>
        </w:tc>
        <w:tc>
          <w:tcPr>
            <w:tcW w:w="2351" w:type="dxa"/>
            <w:tcBorders>
              <w:top w:val="nil"/>
              <w:left w:val="nil"/>
              <w:bottom w:val="single" w:sz="12" w:space="0" w:color="auto"/>
              <w:right w:val="nil"/>
            </w:tcBorders>
            <w:vAlign w:val="center"/>
          </w:tcPr>
          <w:p w14:paraId="37142FAC"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 xml:space="preserve">Coercive power constrained </w:t>
            </w:r>
            <w:r>
              <w:rPr>
                <w:rFonts w:eastAsia="MS Mincho" w:hint="eastAsia"/>
                <w:sz w:val="18"/>
                <w:szCs w:val="18"/>
                <w:lang w:val="en-US"/>
              </w:rPr>
              <w:t>(Proactive diversification negated coercive leverage);</w:t>
            </w:r>
          </w:p>
          <w:p w14:paraId="1C759DE5"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Negative reward power is diminished due to reduced control over rewarding resources.</w:t>
            </w:r>
          </w:p>
        </w:tc>
        <w:tc>
          <w:tcPr>
            <w:tcW w:w="2905" w:type="dxa"/>
            <w:tcBorders>
              <w:top w:val="nil"/>
              <w:left w:val="nil"/>
              <w:bottom w:val="single" w:sz="12" w:space="0" w:color="auto"/>
              <w:right w:val="nil"/>
            </w:tcBorders>
            <w:vAlign w:val="center"/>
          </w:tcPr>
          <w:p w14:paraId="67372DCF"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‘Associations linked us with international clients…’</w:t>
            </w:r>
          </w:p>
          <w:p w14:paraId="4AE55350" w14:textId="77777777" w:rsidR="00AD548A" w:rsidRDefault="00000000">
            <w:pPr>
              <w:widowControl/>
              <w:snapToGrid w:val="0"/>
              <w:spacing w:before="100" w:beforeAutospacing="1" w:line="240" w:lineRule="auto"/>
              <w:ind w:firstLineChars="0" w:firstLine="0"/>
              <w:contextualSpacing/>
              <w:jc w:val="left"/>
              <w:rPr>
                <w:rFonts w:eastAsia="MS Mincho"/>
                <w:sz w:val="18"/>
                <w:szCs w:val="18"/>
                <w:lang w:val="en-US"/>
              </w:rPr>
            </w:pPr>
            <w:r>
              <w:rPr>
                <w:rFonts w:eastAsia="MS Mincho"/>
                <w:sz w:val="18"/>
                <w:szCs w:val="18"/>
                <w:lang w:val="en-US"/>
              </w:rPr>
              <w:t>‘</w:t>
            </w:r>
            <w:r>
              <w:rPr>
                <w:rFonts w:eastAsia="MS Mincho" w:hint="eastAsia"/>
                <w:sz w:val="18"/>
                <w:szCs w:val="18"/>
                <w:lang w:val="en-US"/>
              </w:rPr>
              <w:t>We started to have regular events about important resources sharing...</w:t>
            </w:r>
            <w:r>
              <w:rPr>
                <w:rFonts w:eastAsia="MS Mincho"/>
                <w:sz w:val="18"/>
                <w:szCs w:val="18"/>
                <w:lang w:val="en-US"/>
              </w:rPr>
              <w:t>’</w:t>
            </w:r>
          </w:p>
        </w:tc>
        <w:tc>
          <w:tcPr>
            <w:tcW w:w="2179" w:type="dxa"/>
            <w:tcBorders>
              <w:top w:val="nil"/>
              <w:left w:val="nil"/>
              <w:bottom w:val="single" w:sz="12" w:space="0" w:color="auto"/>
              <w:right w:val="nil"/>
            </w:tcBorders>
            <w:vAlign w:val="center"/>
          </w:tcPr>
          <w:p w14:paraId="5AB9FA3B"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Created new, alternative partnerships, fundamentally reducing the SME's structural dependency on any single buyer</w:t>
            </w:r>
          </w:p>
        </w:tc>
      </w:tr>
    </w:tbl>
    <w:p w14:paraId="392F2D9A" w14:textId="77777777" w:rsidR="00AD548A" w:rsidRDefault="00000000">
      <w:pPr>
        <w:widowControl/>
        <w:snapToGrid w:val="0"/>
        <w:spacing w:before="100" w:beforeAutospacing="1" w:line="240" w:lineRule="auto"/>
        <w:ind w:firstLineChars="0" w:firstLine="0"/>
        <w:jc w:val="left"/>
        <w:rPr>
          <w:rFonts w:eastAsia="MS Mincho"/>
          <w:sz w:val="18"/>
          <w:szCs w:val="18"/>
          <w:lang w:val="en-US"/>
        </w:rPr>
      </w:pPr>
      <w:r>
        <w:rPr>
          <w:rFonts w:eastAsia="MS Mincho"/>
          <w:sz w:val="18"/>
          <w:szCs w:val="18"/>
          <w:lang w:val="en-US"/>
        </w:rPr>
        <w:t xml:space="preserve"> </w:t>
      </w:r>
    </w:p>
    <w:p w14:paraId="61F54F2D" w14:textId="77777777" w:rsidR="00AD548A" w:rsidRDefault="00000000">
      <w:pPr>
        <w:rPr>
          <w:lang w:val="en-US"/>
        </w:rPr>
      </w:pPr>
      <w:r>
        <w:rPr>
          <w:rFonts w:hint="eastAsia"/>
          <w:lang w:val="en-US"/>
        </w:rPr>
        <w:br w:type="page"/>
      </w:r>
    </w:p>
    <w:p w14:paraId="1AEB5036" w14:textId="77777777" w:rsidR="00AD548A" w:rsidRDefault="00000000">
      <w:pPr>
        <w:spacing w:line="240" w:lineRule="auto"/>
        <w:jc w:val="center"/>
        <w:rPr>
          <w:b/>
          <w:bCs/>
          <w:lang w:val="en-US"/>
        </w:rPr>
      </w:pPr>
      <w:r>
        <w:rPr>
          <w:rFonts w:hint="eastAsia"/>
          <w:b/>
          <w:bCs/>
          <w:lang w:val="en-US"/>
        </w:rPr>
        <w:lastRenderedPageBreak/>
        <w:t>Appendix 4 Examples of Documentary Evidence</w:t>
      </w:r>
    </w:p>
    <w:tbl>
      <w:tblPr>
        <w:tblStyle w:val="TableGrid"/>
        <w:tblW w:w="14174" w:type="dxa"/>
        <w:jc w:val="center"/>
        <w:tblLook w:val="04A0" w:firstRow="1" w:lastRow="0" w:firstColumn="1" w:lastColumn="0" w:noHBand="0" w:noVBand="1"/>
      </w:tblPr>
      <w:tblGrid>
        <w:gridCol w:w="3076"/>
        <w:gridCol w:w="4784"/>
        <w:gridCol w:w="6314"/>
      </w:tblGrid>
      <w:tr w:rsidR="00AD548A" w14:paraId="7FC55E9B" w14:textId="77777777">
        <w:trPr>
          <w:jc w:val="center"/>
        </w:trPr>
        <w:tc>
          <w:tcPr>
            <w:tcW w:w="3076" w:type="dxa"/>
            <w:tcBorders>
              <w:top w:val="single" w:sz="12" w:space="0" w:color="auto"/>
              <w:left w:val="nil"/>
              <w:bottom w:val="single" w:sz="4" w:space="0" w:color="auto"/>
              <w:right w:val="nil"/>
            </w:tcBorders>
            <w:vAlign w:val="center"/>
          </w:tcPr>
          <w:p w14:paraId="5070D972" w14:textId="77777777" w:rsidR="00AD548A" w:rsidRDefault="00000000">
            <w:pPr>
              <w:widowControl/>
              <w:snapToGrid w:val="0"/>
              <w:spacing w:line="240" w:lineRule="auto"/>
              <w:ind w:firstLineChars="0" w:firstLine="0"/>
              <w:jc w:val="center"/>
              <w:rPr>
                <w:b/>
                <w:bCs/>
                <w:lang w:val="en-US"/>
              </w:rPr>
            </w:pPr>
            <w:r>
              <w:rPr>
                <w:rStyle w:val="Strong"/>
                <w:rFonts w:eastAsia="SimSun"/>
                <w:szCs w:val="24"/>
                <w:lang w:val="en-US" w:bidi="ar"/>
              </w:rPr>
              <w:t>Document Type &amp; Purpose</w:t>
            </w:r>
          </w:p>
        </w:tc>
        <w:tc>
          <w:tcPr>
            <w:tcW w:w="4784" w:type="dxa"/>
            <w:tcBorders>
              <w:top w:val="single" w:sz="12" w:space="0" w:color="auto"/>
              <w:left w:val="nil"/>
              <w:bottom w:val="single" w:sz="4" w:space="0" w:color="auto"/>
              <w:right w:val="nil"/>
            </w:tcBorders>
            <w:vAlign w:val="center"/>
          </w:tcPr>
          <w:p w14:paraId="1452BC3D" w14:textId="77777777" w:rsidR="00AD548A" w:rsidRDefault="00000000">
            <w:pPr>
              <w:widowControl/>
              <w:snapToGrid w:val="0"/>
              <w:spacing w:line="240" w:lineRule="auto"/>
              <w:ind w:firstLineChars="0" w:firstLine="0"/>
              <w:jc w:val="center"/>
              <w:rPr>
                <w:b/>
                <w:bCs/>
                <w:lang w:val="en-US"/>
              </w:rPr>
            </w:pPr>
            <w:r>
              <w:rPr>
                <w:rStyle w:val="Strong"/>
                <w:rFonts w:eastAsia="SimSun"/>
                <w:szCs w:val="24"/>
                <w:lang w:val="en-US" w:bidi="ar"/>
              </w:rPr>
              <w:t>Relevant Description</w:t>
            </w:r>
          </w:p>
        </w:tc>
        <w:tc>
          <w:tcPr>
            <w:tcW w:w="6314" w:type="dxa"/>
            <w:tcBorders>
              <w:top w:val="single" w:sz="12" w:space="0" w:color="auto"/>
              <w:left w:val="nil"/>
              <w:bottom w:val="single" w:sz="4" w:space="0" w:color="auto"/>
              <w:right w:val="nil"/>
            </w:tcBorders>
            <w:vAlign w:val="center"/>
          </w:tcPr>
          <w:p w14:paraId="450C311F" w14:textId="77777777" w:rsidR="00AD548A" w:rsidRDefault="00000000">
            <w:pPr>
              <w:widowControl/>
              <w:snapToGrid w:val="0"/>
              <w:spacing w:line="240" w:lineRule="auto"/>
              <w:ind w:firstLineChars="0" w:firstLine="0"/>
              <w:jc w:val="center"/>
              <w:rPr>
                <w:b/>
                <w:bCs/>
                <w:lang w:val="en-US"/>
              </w:rPr>
            </w:pPr>
            <w:r>
              <w:rPr>
                <w:rStyle w:val="Strong"/>
                <w:rFonts w:eastAsia="SimSun"/>
                <w:szCs w:val="24"/>
                <w:lang w:val="en-US" w:bidi="ar"/>
              </w:rPr>
              <w:t xml:space="preserve">How It Was Actively Used by Informants </w:t>
            </w:r>
          </w:p>
        </w:tc>
      </w:tr>
      <w:tr w:rsidR="00AD548A" w14:paraId="25BC1BF6" w14:textId="77777777">
        <w:trPr>
          <w:jc w:val="center"/>
        </w:trPr>
        <w:tc>
          <w:tcPr>
            <w:tcW w:w="3076" w:type="dxa"/>
            <w:tcBorders>
              <w:top w:val="single" w:sz="4" w:space="0" w:color="auto"/>
              <w:left w:val="nil"/>
              <w:bottom w:val="nil"/>
              <w:right w:val="nil"/>
            </w:tcBorders>
            <w:vAlign w:val="center"/>
          </w:tcPr>
          <w:p w14:paraId="51CB532C" w14:textId="77777777" w:rsidR="00AD548A" w:rsidRDefault="00000000">
            <w:pPr>
              <w:widowControl/>
              <w:snapToGrid w:val="0"/>
              <w:spacing w:line="240" w:lineRule="auto"/>
              <w:ind w:firstLineChars="0" w:firstLine="0"/>
              <w:jc w:val="left"/>
              <w:rPr>
                <w:b/>
                <w:bCs/>
                <w:lang w:val="en-US"/>
              </w:rPr>
            </w:pPr>
            <w:r>
              <w:rPr>
                <w:rStyle w:val="Strong"/>
                <w:rFonts w:eastAsia="SimSun"/>
                <w:b w:val="0"/>
                <w:bCs/>
                <w:szCs w:val="24"/>
                <w:lang w:val="en-US" w:bidi="ar"/>
              </w:rPr>
              <w:t>Industry Association Circular: “Guidance for Contract Renegotiation During Pandemic”</w:t>
            </w:r>
          </w:p>
        </w:tc>
        <w:tc>
          <w:tcPr>
            <w:tcW w:w="4784" w:type="dxa"/>
            <w:tcBorders>
              <w:top w:val="single" w:sz="4" w:space="0" w:color="auto"/>
              <w:left w:val="nil"/>
              <w:bottom w:val="nil"/>
              <w:right w:val="nil"/>
            </w:tcBorders>
            <w:vAlign w:val="center"/>
          </w:tcPr>
          <w:p w14:paraId="0042AA5C" w14:textId="77777777" w:rsidR="00AD548A" w:rsidRDefault="00000000">
            <w:pPr>
              <w:widowControl/>
              <w:snapToGrid w:val="0"/>
              <w:spacing w:line="240" w:lineRule="auto"/>
              <w:ind w:firstLineChars="0" w:firstLine="0"/>
              <w:jc w:val="left"/>
              <w:rPr>
                <w:b/>
                <w:bCs/>
                <w:lang w:val="en-US"/>
              </w:rPr>
            </w:pPr>
            <w:r>
              <w:rPr>
                <w:rFonts w:eastAsia="SimSun"/>
                <w:bCs/>
                <w:szCs w:val="24"/>
                <w:lang w:val="en-US" w:bidi="ar"/>
              </w:rPr>
              <w:t>Circular issued to member firms recommending specific, more equitable clauses for force majeure, payment schedules, and delivery terms in buyer-supplier contracts during the disruption.</w:t>
            </w:r>
          </w:p>
        </w:tc>
        <w:tc>
          <w:tcPr>
            <w:tcW w:w="6314" w:type="dxa"/>
            <w:tcBorders>
              <w:top w:val="single" w:sz="4" w:space="0" w:color="auto"/>
              <w:left w:val="nil"/>
              <w:bottom w:val="nil"/>
              <w:right w:val="nil"/>
            </w:tcBorders>
            <w:vAlign w:val="center"/>
          </w:tcPr>
          <w:p w14:paraId="188E4A11" w14:textId="77777777" w:rsidR="00AD548A" w:rsidRDefault="00000000">
            <w:pPr>
              <w:widowControl/>
              <w:snapToGrid w:val="0"/>
              <w:spacing w:line="240" w:lineRule="auto"/>
              <w:ind w:firstLineChars="0" w:firstLine="0"/>
              <w:jc w:val="left"/>
              <w:rPr>
                <w:b/>
                <w:bCs/>
                <w:lang w:val="en-US"/>
              </w:rPr>
            </w:pPr>
            <w:r>
              <w:rPr>
                <w:rFonts w:eastAsia="SimSun"/>
                <w:bCs/>
                <w:szCs w:val="24"/>
                <w:lang w:val="en-US" w:bidi="ar"/>
              </w:rPr>
              <w:t xml:space="preserve">SME3 and SME6 cited this circular during negotiations with Buyer2, using it as </w:t>
            </w:r>
            <w:r>
              <w:rPr>
                <w:rStyle w:val="Strong"/>
                <w:rFonts w:eastAsia="SimSun"/>
                <w:b w:val="0"/>
                <w:bCs/>
                <w:szCs w:val="24"/>
                <w:lang w:val="en-US" w:bidi="ar"/>
              </w:rPr>
              <w:t>external, professional validation</w:t>
            </w:r>
            <w:r>
              <w:rPr>
                <w:rFonts w:eastAsia="SimSun"/>
                <w:bCs/>
                <w:szCs w:val="24"/>
                <w:lang w:val="en-US" w:bidi="ar"/>
              </w:rPr>
              <w:t xml:space="preserve"> to argue against one-sided penalty clauses. This exemplifies the </w:t>
            </w:r>
            <w:r>
              <w:rPr>
                <w:rStyle w:val="Strong"/>
                <w:rFonts w:eastAsia="SimSun"/>
                <w:b w:val="0"/>
                <w:bCs/>
                <w:szCs w:val="24"/>
                <w:lang w:val="en-US" w:bidi="ar"/>
              </w:rPr>
              <w:t>SME-leveraged tactic</w:t>
            </w:r>
            <w:r>
              <w:rPr>
                <w:rFonts w:eastAsia="SimSun"/>
                <w:bCs/>
                <w:szCs w:val="24"/>
                <w:lang w:val="en-US" w:bidi="ar"/>
              </w:rPr>
              <w:t xml:space="preserve"> of using institutional resources to enhance bargaining power.</w:t>
            </w:r>
          </w:p>
        </w:tc>
      </w:tr>
      <w:tr w:rsidR="00AD548A" w14:paraId="4D10B66C" w14:textId="77777777">
        <w:trPr>
          <w:jc w:val="center"/>
        </w:trPr>
        <w:tc>
          <w:tcPr>
            <w:tcW w:w="3076" w:type="dxa"/>
            <w:tcBorders>
              <w:top w:val="nil"/>
              <w:left w:val="nil"/>
              <w:bottom w:val="nil"/>
              <w:right w:val="nil"/>
            </w:tcBorders>
            <w:vAlign w:val="center"/>
          </w:tcPr>
          <w:p w14:paraId="3C896D89" w14:textId="77777777" w:rsidR="00AD548A" w:rsidRDefault="00000000">
            <w:pPr>
              <w:widowControl/>
              <w:snapToGrid w:val="0"/>
              <w:spacing w:line="240" w:lineRule="auto"/>
              <w:ind w:firstLineChars="0" w:firstLine="0"/>
              <w:jc w:val="left"/>
              <w:rPr>
                <w:b/>
                <w:bCs/>
                <w:lang w:val="en-US"/>
              </w:rPr>
            </w:pPr>
            <w:r>
              <w:rPr>
                <w:rStyle w:val="Strong"/>
                <w:rFonts w:eastAsia="SimSun"/>
                <w:b w:val="0"/>
                <w:bCs/>
                <w:szCs w:val="24"/>
                <w:lang w:val="en-US" w:bidi="ar"/>
              </w:rPr>
              <w:t>Local Government Policy Announcement: “Emergency Measures for SME Operational Support”</w:t>
            </w:r>
          </w:p>
        </w:tc>
        <w:tc>
          <w:tcPr>
            <w:tcW w:w="4784" w:type="dxa"/>
            <w:tcBorders>
              <w:top w:val="nil"/>
              <w:left w:val="nil"/>
              <w:bottom w:val="nil"/>
              <w:right w:val="nil"/>
            </w:tcBorders>
            <w:vAlign w:val="center"/>
          </w:tcPr>
          <w:p w14:paraId="7F3C0386" w14:textId="77777777" w:rsidR="00AD548A" w:rsidRDefault="00000000">
            <w:pPr>
              <w:widowControl/>
              <w:snapToGrid w:val="0"/>
              <w:spacing w:line="240" w:lineRule="auto"/>
              <w:ind w:firstLineChars="0" w:firstLine="0"/>
              <w:jc w:val="left"/>
              <w:rPr>
                <w:b/>
                <w:bCs/>
                <w:lang w:val="en-US"/>
              </w:rPr>
            </w:pPr>
            <w:r>
              <w:rPr>
                <w:rFonts w:eastAsia="SimSun"/>
                <w:bCs/>
                <w:szCs w:val="24"/>
                <w:lang w:val="en-US" w:bidi="ar"/>
              </w:rPr>
              <w:t>Public announcement detailing a temporary subsidy program for SME utility costs and a dedicated hotline for reporting “unreasonable financial pressure from large partners.”</w:t>
            </w:r>
          </w:p>
        </w:tc>
        <w:tc>
          <w:tcPr>
            <w:tcW w:w="6314" w:type="dxa"/>
            <w:tcBorders>
              <w:top w:val="nil"/>
              <w:left w:val="nil"/>
              <w:bottom w:val="nil"/>
              <w:right w:val="nil"/>
            </w:tcBorders>
            <w:vAlign w:val="center"/>
          </w:tcPr>
          <w:p w14:paraId="3C6014F4" w14:textId="77777777" w:rsidR="00AD548A" w:rsidRDefault="00000000">
            <w:pPr>
              <w:widowControl/>
              <w:snapToGrid w:val="0"/>
              <w:spacing w:line="240" w:lineRule="auto"/>
              <w:ind w:firstLineChars="0" w:firstLine="0"/>
              <w:jc w:val="left"/>
              <w:rPr>
                <w:b/>
                <w:bCs/>
                <w:lang w:val="en-US"/>
              </w:rPr>
            </w:pPr>
            <w:r>
              <w:rPr>
                <w:rFonts w:eastAsia="SimSun"/>
                <w:bCs/>
                <w:szCs w:val="24"/>
                <w:lang w:val="en-US" w:bidi="ar"/>
              </w:rPr>
              <w:t xml:space="preserve">SME1 and SME4 referenced this announcement to their buyers not as a direct threat, but to </w:t>
            </w:r>
            <w:r>
              <w:rPr>
                <w:rStyle w:val="Strong"/>
                <w:rFonts w:eastAsia="SimSun"/>
                <w:b w:val="0"/>
                <w:bCs/>
                <w:szCs w:val="24"/>
                <w:lang w:val="en-US" w:bidi="ar"/>
              </w:rPr>
              <w:t>signal they were under institutional oversight</w:t>
            </w:r>
            <w:r>
              <w:rPr>
                <w:rFonts w:eastAsia="SimSun"/>
                <w:bCs/>
                <w:szCs w:val="24"/>
                <w:lang w:val="en-US" w:bidi="ar"/>
              </w:rPr>
              <w:t xml:space="preserve">. This shaped the buyer's </w:t>
            </w:r>
            <w:r>
              <w:rPr>
                <w:rStyle w:val="Strong"/>
                <w:rFonts w:eastAsia="SimSun"/>
                <w:b w:val="0"/>
                <w:bCs/>
                <w:szCs w:val="24"/>
                <w:lang w:val="en-US" w:bidi="ar"/>
              </w:rPr>
              <w:t>cost-benefit calculation</w:t>
            </w:r>
            <w:r>
              <w:rPr>
                <w:rFonts w:eastAsia="SimSun"/>
                <w:bCs/>
                <w:szCs w:val="24"/>
                <w:lang w:val="en-US" w:bidi="ar"/>
              </w:rPr>
              <w:t xml:space="preserve"> , as noted by Buyer1's increased caution.</w:t>
            </w:r>
          </w:p>
        </w:tc>
      </w:tr>
      <w:tr w:rsidR="00AD548A" w14:paraId="149F6B3B" w14:textId="77777777">
        <w:trPr>
          <w:jc w:val="center"/>
        </w:trPr>
        <w:tc>
          <w:tcPr>
            <w:tcW w:w="3076" w:type="dxa"/>
            <w:tcBorders>
              <w:top w:val="nil"/>
              <w:left w:val="nil"/>
              <w:bottom w:val="nil"/>
              <w:right w:val="nil"/>
            </w:tcBorders>
            <w:vAlign w:val="center"/>
          </w:tcPr>
          <w:p w14:paraId="153328A6" w14:textId="77777777" w:rsidR="00AD548A" w:rsidRDefault="00000000">
            <w:pPr>
              <w:widowControl/>
              <w:snapToGrid w:val="0"/>
              <w:spacing w:line="240" w:lineRule="auto"/>
              <w:ind w:firstLineChars="0" w:firstLine="0"/>
              <w:jc w:val="left"/>
              <w:rPr>
                <w:b/>
                <w:bCs/>
                <w:lang w:val="en-US"/>
              </w:rPr>
            </w:pPr>
            <w:r>
              <w:rPr>
                <w:rStyle w:val="Strong"/>
                <w:rFonts w:eastAsia="SimSun"/>
                <w:b w:val="0"/>
                <w:bCs/>
                <w:szCs w:val="24"/>
                <w:lang w:val="en-US" w:bidi="ar"/>
              </w:rPr>
              <w:t>Meeting Record from Buyer-Supplier Coordination Forum</w:t>
            </w:r>
          </w:p>
        </w:tc>
        <w:tc>
          <w:tcPr>
            <w:tcW w:w="4784" w:type="dxa"/>
            <w:tcBorders>
              <w:top w:val="nil"/>
              <w:left w:val="nil"/>
              <w:bottom w:val="nil"/>
              <w:right w:val="nil"/>
            </w:tcBorders>
            <w:vAlign w:val="center"/>
          </w:tcPr>
          <w:p w14:paraId="66AB32DB" w14:textId="77777777" w:rsidR="00AD548A" w:rsidRDefault="00000000">
            <w:pPr>
              <w:widowControl/>
              <w:snapToGrid w:val="0"/>
              <w:spacing w:line="240" w:lineRule="auto"/>
              <w:ind w:firstLineChars="0" w:firstLine="0"/>
              <w:jc w:val="left"/>
              <w:rPr>
                <w:b/>
                <w:bCs/>
                <w:lang w:val="en-US"/>
              </w:rPr>
            </w:pPr>
            <w:r>
              <w:rPr>
                <w:rFonts w:eastAsia="SimSun" w:hint="eastAsia"/>
                <w:bCs/>
                <w:szCs w:val="24"/>
                <w:lang w:val="en-US" w:bidi="ar"/>
              </w:rPr>
              <w:t>L</w:t>
            </w:r>
            <w:r>
              <w:rPr>
                <w:rFonts w:eastAsia="SimSun"/>
                <w:bCs/>
                <w:szCs w:val="24"/>
                <w:lang w:val="en-US" w:bidi="ar"/>
              </w:rPr>
              <w:t>arge buyers (including Buyer3) publicly committing to “fair payment practices” and SMEs describing specific challenges with contract fulfillment.</w:t>
            </w:r>
          </w:p>
        </w:tc>
        <w:tc>
          <w:tcPr>
            <w:tcW w:w="6314" w:type="dxa"/>
            <w:tcBorders>
              <w:top w:val="nil"/>
              <w:left w:val="nil"/>
              <w:bottom w:val="nil"/>
              <w:right w:val="nil"/>
            </w:tcBorders>
            <w:vAlign w:val="center"/>
          </w:tcPr>
          <w:p w14:paraId="50CAF17F" w14:textId="77777777" w:rsidR="00AD548A" w:rsidRDefault="00000000">
            <w:pPr>
              <w:widowControl/>
              <w:snapToGrid w:val="0"/>
              <w:spacing w:line="240" w:lineRule="auto"/>
              <w:ind w:firstLineChars="0" w:firstLine="0"/>
              <w:jc w:val="left"/>
              <w:rPr>
                <w:b/>
                <w:bCs/>
                <w:lang w:val="en-US"/>
              </w:rPr>
            </w:pPr>
            <w:r>
              <w:rPr>
                <w:rFonts w:eastAsia="SimSun"/>
                <w:bCs/>
                <w:szCs w:val="24"/>
                <w:lang w:val="en-US" w:bidi="ar"/>
              </w:rPr>
              <w:t xml:space="preserve">SME7 and Buyer3 both referenced this forum. For the SME, it was proof of a </w:t>
            </w:r>
            <w:r>
              <w:rPr>
                <w:rStyle w:val="Strong"/>
                <w:rFonts w:eastAsia="SimSun"/>
                <w:b w:val="0"/>
                <w:bCs/>
                <w:szCs w:val="24"/>
                <w:lang w:val="en-US" w:bidi="ar"/>
              </w:rPr>
              <w:t>public commitment to hold the buyer accountable</w:t>
            </w:r>
            <w:r>
              <w:rPr>
                <w:rFonts w:eastAsia="SimSun"/>
                <w:bCs/>
                <w:szCs w:val="24"/>
                <w:lang w:val="en-US" w:bidi="ar"/>
              </w:rPr>
              <w:t xml:space="preserve">. For the buyer, it represented a </w:t>
            </w:r>
            <w:r>
              <w:rPr>
                <w:rStyle w:val="Strong"/>
                <w:rFonts w:eastAsia="SimSun"/>
                <w:b w:val="0"/>
                <w:bCs/>
                <w:szCs w:val="24"/>
                <w:lang w:val="en-US" w:bidi="ar"/>
              </w:rPr>
              <w:t>social expectation</w:t>
            </w:r>
            <w:r>
              <w:rPr>
                <w:rFonts w:eastAsia="SimSun"/>
                <w:bCs/>
                <w:szCs w:val="24"/>
                <w:lang w:val="en-US" w:bidi="ar"/>
              </w:rPr>
              <w:t xml:space="preserve"> they felt compelled to meet, illustrating the mechanism of </w:t>
            </w:r>
            <w:r>
              <w:rPr>
                <w:rStyle w:val="Strong"/>
                <w:rFonts w:eastAsia="SimSun"/>
                <w:b w:val="0"/>
                <w:bCs/>
                <w:szCs w:val="24"/>
                <w:lang w:val="en-US" w:bidi="ar"/>
              </w:rPr>
              <w:t>industry norm transformation</w:t>
            </w:r>
            <w:r>
              <w:rPr>
                <w:rFonts w:eastAsia="SimSun"/>
                <w:bCs/>
                <w:szCs w:val="24"/>
                <w:lang w:val="en-US" w:bidi="ar"/>
              </w:rPr>
              <w:t>.</w:t>
            </w:r>
          </w:p>
        </w:tc>
      </w:tr>
      <w:tr w:rsidR="00AD548A" w14:paraId="1CFA6E5A" w14:textId="77777777">
        <w:trPr>
          <w:jc w:val="center"/>
        </w:trPr>
        <w:tc>
          <w:tcPr>
            <w:tcW w:w="3076" w:type="dxa"/>
            <w:tcBorders>
              <w:top w:val="nil"/>
              <w:left w:val="nil"/>
              <w:bottom w:val="single" w:sz="12" w:space="0" w:color="auto"/>
              <w:right w:val="nil"/>
            </w:tcBorders>
            <w:vAlign w:val="center"/>
          </w:tcPr>
          <w:p w14:paraId="42E184F5" w14:textId="77777777" w:rsidR="00AD548A" w:rsidRDefault="00000000">
            <w:pPr>
              <w:widowControl/>
              <w:snapToGrid w:val="0"/>
              <w:spacing w:line="240" w:lineRule="auto"/>
              <w:ind w:firstLineChars="0" w:firstLine="0"/>
              <w:jc w:val="left"/>
              <w:rPr>
                <w:b/>
                <w:bCs/>
                <w:lang w:val="en-US"/>
              </w:rPr>
            </w:pPr>
            <w:r>
              <w:rPr>
                <w:rStyle w:val="Strong"/>
                <w:rFonts w:eastAsia="SimSun"/>
                <w:b w:val="0"/>
                <w:bCs/>
                <w:szCs w:val="24"/>
                <w:lang w:val="en-US" w:bidi="ar"/>
              </w:rPr>
              <w:t>Professional Institution Bulletin: “Market Access and Credit Endorsement for Export SMEs”</w:t>
            </w:r>
          </w:p>
        </w:tc>
        <w:tc>
          <w:tcPr>
            <w:tcW w:w="4784" w:type="dxa"/>
            <w:tcBorders>
              <w:top w:val="nil"/>
              <w:left w:val="nil"/>
              <w:bottom w:val="single" w:sz="12" w:space="0" w:color="auto"/>
              <w:right w:val="nil"/>
            </w:tcBorders>
            <w:vAlign w:val="center"/>
          </w:tcPr>
          <w:p w14:paraId="60B692A1" w14:textId="77777777" w:rsidR="00AD548A" w:rsidRDefault="00000000">
            <w:pPr>
              <w:widowControl/>
              <w:snapToGrid w:val="0"/>
              <w:spacing w:line="240" w:lineRule="auto"/>
              <w:ind w:firstLineChars="0" w:firstLine="0"/>
              <w:jc w:val="left"/>
              <w:rPr>
                <w:b/>
                <w:bCs/>
                <w:lang w:val="en-US"/>
              </w:rPr>
            </w:pPr>
            <w:r>
              <w:rPr>
                <w:rFonts w:eastAsia="SimSun"/>
                <w:bCs/>
                <w:szCs w:val="24"/>
                <w:lang w:val="en-US" w:bidi="ar"/>
              </w:rPr>
              <w:t>Bulletin outlining simplified procedures for SMEs to obtain force majeure certificates and new credit endorsement services to facilitate international trade.</w:t>
            </w:r>
          </w:p>
        </w:tc>
        <w:tc>
          <w:tcPr>
            <w:tcW w:w="6314" w:type="dxa"/>
            <w:tcBorders>
              <w:top w:val="nil"/>
              <w:left w:val="nil"/>
              <w:bottom w:val="single" w:sz="12" w:space="0" w:color="auto"/>
              <w:right w:val="nil"/>
            </w:tcBorders>
            <w:vAlign w:val="center"/>
          </w:tcPr>
          <w:p w14:paraId="57240C58" w14:textId="77777777" w:rsidR="00AD548A" w:rsidRDefault="00000000">
            <w:pPr>
              <w:widowControl/>
              <w:snapToGrid w:val="0"/>
              <w:spacing w:line="240" w:lineRule="auto"/>
              <w:ind w:firstLineChars="0" w:firstLine="0"/>
              <w:jc w:val="left"/>
              <w:rPr>
                <w:b/>
                <w:bCs/>
                <w:lang w:val="en-US"/>
              </w:rPr>
            </w:pPr>
            <w:r>
              <w:rPr>
                <w:rFonts w:eastAsia="SimSun"/>
                <w:bCs/>
                <w:szCs w:val="24"/>
                <w:lang w:val="en-US" w:bidi="ar"/>
              </w:rPr>
              <w:t xml:space="preserve">SME1 and SME8 specifically applied for and received the certificate. They used the </w:t>
            </w:r>
            <w:r>
              <w:rPr>
                <w:rStyle w:val="Strong"/>
                <w:rFonts w:eastAsia="SimSun"/>
                <w:b w:val="0"/>
                <w:bCs/>
                <w:szCs w:val="24"/>
                <w:lang w:val="en-US" w:bidi="ar"/>
              </w:rPr>
              <w:t>physical document</w:t>
            </w:r>
            <w:r>
              <w:rPr>
                <w:rFonts w:eastAsia="SimSun"/>
                <w:bCs/>
                <w:szCs w:val="24"/>
                <w:lang w:val="en-US" w:bidi="ar"/>
              </w:rPr>
              <w:t xml:space="preserve"> in communications with international buyers and domestic large buyers as </w:t>
            </w:r>
            <w:r>
              <w:rPr>
                <w:rStyle w:val="Strong"/>
                <w:rFonts w:eastAsia="SimSun"/>
                <w:b w:val="0"/>
                <w:bCs/>
                <w:szCs w:val="24"/>
                <w:lang w:val="en-US" w:bidi="ar"/>
              </w:rPr>
              <w:t>concrete proof of credibility and external endorsement</w:t>
            </w:r>
            <w:r>
              <w:rPr>
                <w:rFonts w:eastAsia="SimSun"/>
                <w:bCs/>
                <w:szCs w:val="24"/>
                <w:lang w:val="en-US" w:bidi="ar"/>
              </w:rPr>
              <w:t xml:space="preserve">, directly enhancing their </w:t>
            </w:r>
            <w:r>
              <w:rPr>
                <w:rStyle w:val="Strong"/>
                <w:rFonts w:eastAsia="SimSun"/>
                <w:b w:val="0"/>
                <w:bCs/>
                <w:szCs w:val="24"/>
                <w:lang w:val="en-US" w:bidi="ar"/>
              </w:rPr>
              <w:t>referent and informational power</w:t>
            </w:r>
            <w:r>
              <w:rPr>
                <w:rFonts w:eastAsia="SimSun"/>
                <w:bCs/>
                <w:szCs w:val="24"/>
                <w:lang w:val="en-US" w:bidi="ar"/>
              </w:rPr>
              <w:t>.</w:t>
            </w:r>
          </w:p>
        </w:tc>
      </w:tr>
    </w:tbl>
    <w:p w14:paraId="4E683921" w14:textId="77777777" w:rsidR="00AD548A" w:rsidRDefault="00AD548A">
      <w:pPr>
        <w:spacing w:line="240" w:lineRule="auto"/>
        <w:jc w:val="left"/>
        <w:rPr>
          <w:b/>
          <w:bCs/>
          <w:lang w:val="en-US"/>
        </w:rPr>
      </w:pPr>
    </w:p>
    <w:p w14:paraId="0F6476F1" w14:textId="77777777" w:rsidR="00AD548A" w:rsidRDefault="00AD548A">
      <w:pPr>
        <w:spacing w:line="240" w:lineRule="auto"/>
      </w:pPr>
    </w:p>
    <w:p w14:paraId="1C33A7C3" w14:textId="77777777" w:rsidR="00AD548A" w:rsidRDefault="00AD548A"/>
    <w:p w14:paraId="04B79DC3" w14:textId="77777777" w:rsidR="00AD548A" w:rsidRDefault="00000000">
      <w:pPr>
        <w:jc w:val="center"/>
        <w:rPr>
          <w:b/>
          <w:bCs/>
        </w:rPr>
      </w:pPr>
      <w:r>
        <w:br w:type="page"/>
      </w:r>
      <w:r>
        <w:rPr>
          <w:rFonts w:eastAsia="SimSun" w:hint="eastAsia"/>
          <w:b/>
          <w:bCs/>
          <w:lang w:val="en-US"/>
        </w:rPr>
        <w:lastRenderedPageBreak/>
        <w:t>Appendix 5 Supportive Evidence for Causal Mechanisms</w:t>
      </w:r>
    </w:p>
    <w:tbl>
      <w:tblPr>
        <w:tblW w:w="15157" w:type="dxa"/>
        <w:jc w:val="center"/>
        <w:tblCellSpacing w:w="15" w:type="dxa"/>
        <w:tblCellMar>
          <w:top w:w="15" w:type="dxa"/>
          <w:left w:w="15" w:type="dxa"/>
          <w:bottom w:w="15" w:type="dxa"/>
          <w:right w:w="15" w:type="dxa"/>
        </w:tblCellMar>
        <w:tblLook w:val="04A0" w:firstRow="1" w:lastRow="0" w:firstColumn="1" w:lastColumn="0" w:noHBand="0" w:noVBand="1"/>
      </w:tblPr>
      <w:tblGrid>
        <w:gridCol w:w="2299"/>
        <w:gridCol w:w="4203"/>
        <w:gridCol w:w="4094"/>
        <w:gridCol w:w="4561"/>
      </w:tblGrid>
      <w:tr w:rsidR="00AD548A" w14:paraId="4EC30C4F" w14:textId="77777777">
        <w:trPr>
          <w:tblHeader/>
          <w:tblCellSpacing w:w="15" w:type="dxa"/>
          <w:jc w:val="center"/>
        </w:trPr>
        <w:tc>
          <w:tcPr>
            <w:tcW w:w="2254" w:type="dxa"/>
            <w:tcBorders>
              <w:top w:val="single" w:sz="12" w:space="0" w:color="auto"/>
              <w:bottom w:val="single" w:sz="4" w:space="0" w:color="auto"/>
            </w:tcBorders>
            <w:vAlign w:val="center"/>
          </w:tcPr>
          <w:p w14:paraId="132C04FB" w14:textId="77777777" w:rsidR="00AD548A" w:rsidRDefault="00000000">
            <w:pPr>
              <w:widowControl/>
              <w:snapToGrid w:val="0"/>
              <w:spacing w:line="240" w:lineRule="auto"/>
              <w:ind w:firstLineChars="0" w:firstLine="0"/>
              <w:jc w:val="center"/>
              <w:rPr>
                <w:rFonts w:eastAsia="SimSun"/>
                <w:b/>
                <w:bCs/>
              </w:rPr>
            </w:pPr>
            <w:r>
              <w:rPr>
                <w:rStyle w:val="Strong"/>
                <w:rFonts w:eastAsia="SimSun"/>
                <w:szCs w:val="24"/>
                <w:lang w:val="en-US" w:bidi="ar"/>
              </w:rPr>
              <w:t>Mechanism</w:t>
            </w:r>
          </w:p>
        </w:tc>
        <w:tc>
          <w:tcPr>
            <w:tcW w:w="4173" w:type="dxa"/>
            <w:tcBorders>
              <w:top w:val="single" w:sz="12" w:space="0" w:color="auto"/>
              <w:bottom w:val="single" w:sz="4" w:space="0" w:color="auto"/>
            </w:tcBorders>
            <w:vAlign w:val="center"/>
          </w:tcPr>
          <w:p w14:paraId="1AC7BB12" w14:textId="77777777" w:rsidR="00AD548A" w:rsidRDefault="00000000">
            <w:pPr>
              <w:widowControl/>
              <w:snapToGrid w:val="0"/>
              <w:spacing w:line="240" w:lineRule="auto"/>
              <w:ind w:firstLineChars="0" w:firstLine="0"/>
              <w:jc w:val="center"/>
              <w:rPr>
                <w:rStyle w:val="Strong"/>
                <w:rFonts w:eastAsia="SimSun"/>
                <w:szCs w:val="24"/>
                <w:lang w:val="en-US" w:bidi="ar"/>
              </w:rPr>
            </w:pPr>
            <w:r>
              <w:rPr>
                <w:rStyle w:val="Strong"/>
                <w:rFonts w:eastAsia="SimSun"/>
                <w:szCs w:val="24"/>
                <w:lang w:val="en-US" w:bidi="ar"/>
              </w:rPr>
              <w:t xml:space="preserve">Supportive Quote </w:t>
            </w:r>
          </w:p>
          <w:p w14:paraId="7B60699E" w14:textId="77777777" w:rsidR="00AD548A" w:rsidRDefault="00000000">
            <w:pPr>
              <w:widowControl/>
              <w:snapToGrid w:val="0"/>
              <w:spacing w:line="240" w:lineRule="auto"/>
              <w:ind w:firstLineChars="0" w:firstLine="0"/>
              <w:jc w:val="center"/>
              <w:rPr>
                <w:rFonts w:eastAsia="SimSun"/>
                <w:b/>
                <w:bCs/>
              </w:rPr>
            </w:pPr>
            <w:r>
              <w:rPr>
                <w:rStyle w:val="Strong"/>
                <w:rFonts w:eastAsia="SimSun"/>
                <w:szCs w:val="24"/>
                <w:lang w:val="en-US" w:bidi="ar"/>
              </w:rPr>
              <w:t>(Supplier Perspective)</w:t>
            </w:r>
          </w:p>
        </w:tc>
        <w:tc>
          <w:tcPr>
            <w:tcW w:w="4064" w:type="dxa"/>
            <w:tcBorders>
              <w:top w:val="single" w:sz="12" w:space="0" w:color="auto"/>
              <w:bottom w:val="single" w:sz="4" w:space="0" w:color="auto"/>
            </w:tcBorders>
            <w:vAlign w:val="center"/>
          </w:tcPr>
          <w:p w14:paraId="3CC0C890" w14:textId="77777777" w:rsidR="00AD548A" w:rsidRDefault="00000000">
            <w:pPr>
              <w:widowControl/>
              <w:snapToGrid w:val="0"/>
              <w:spacing w:line="240" w:lineRule="auto"/>
              <w:ind w:firstLineChars="0" w:firstLine="0"/>
              <w:jc w:val="center"/>
              <w:rPr>
                <w:rFonts w:eastAsia="SimSun"/>
                <w:b/>
                <w:bCs/>
              </w:rPr>
            </w:pPr>
            <w:r>
              <w:rPr>
                <w:rStyle w:val="Strong"/>
                <w:rFonts w:eastAsia="SimSun"/>
                <w:szCs w:val="24"/>
                <w:lang w:val="en-US" w:bidi="ar"/>
              </w:rPr>
              <w:t>Supportive Quote (Buyer Perspective)</w:t>
            </w:r>
          </w:p>
        </w:tc>
        <w:tc>
          <w:tcPr>
            <w:tcW w:w="4516" w:type="dxa"/>
            <w:tcBorders>
              <w:top w:val="single" w:sz="12" w:space="0" w:color="auto"/>
              <w:bottom w:val="single" w:sz="4" w:space="0" w:color="auto"/>
            </w:tcBorders>
            <w:vAlign w:val="center"/>
          </w:tcPr>
          <w:p w14:paraId="4ADB0105" w14:textId="77777777" w:rsidR="00AD548A" w:rsidRDefault="00000000">
            <w:pPr>
              <w:widowControl/>
              <w:snapToGrid w:val="0"/>
              <w:spacing w:line="240" w:lineRule="auto"/>
              <w:ind w:firstLineChars="0" w:firstLine="0"/>
              <w:jc w:val="center"/>
              <w:rPr>
                <w:rFonts w:eastAsia="SimSun"/>
                <w:b/>
                <w:bCs/>
              </w:rPr>
            </w:pPr>
            <w:r>
              <w:rPr>
                <w:rStyle w:val="Strong"/>
                <w:rFonts w:eastAsia="SimSun"/>
                <w:szCs w:val="24"/>
                <w:lang w:val="en-US" w:bidi="ar"/>
              </w:rPr>
              <w:t xml:space="preserve">Interpretation </w:t>
            </w:r>
          </w:p>
        </w:tc>
      </w:tr>
      <w:tr w:rsidR="00AD548A" w14:paraId="7E9F367E" w14:textId="77777777">
        <w:trPr>
          <w:tblCellSpacing w:w="15" w:type="dxa"/>
          <w:jc w:val="center"/>
        </w:trPr>
        <w:tc>
          <w:tcPr>
            <w:tcW w:w="2254" w:type="dxa"/>
            <w:vAlign w:val="center"/>
          </w:tcPr>
          <w:p w14:paraId="2BBC1754" w14:textId="77777777" w:rsidR="00AD548A" w:rsidRDefault="00000000">
            <w:pPr>
              <w:widowControl/>
              <w:snapToGrid w:val="0"/>
              <w:spacing w:line="240" w:lineRule="auto"/>
              <w:ind w:firstLineChars="0" w:firstLine="0"/>
              <w:jc w:val="left"/>
              <w:rPr>
                <w:rFonts w:eastAsia="SimSun"/>
              </w:rPr>
            </w:pPr>
            <w:r>
              <w:rPr>
                <w:rStyle w:val="Strong"/>
                <w:rFonts w:eastAsia="SimSun"/>
                <w:szCs w:val="24"/>
                <w:lang w:val="en-US" w:bidi="ar"/>
              </w:rPr>
              <w:t>Multi-</w:t>
            </w:r>
            <w:r>
              <w:rPr>
                <w:rStyle w:val="Strong"/>
                <w:rFonts w:eastAsia="SimSun" w:hint="eastAsia"/>
                <w:szCs w:val="24"/>
                <w:lang w:val="en-US" w:bidi="ar"/>
              </w:rPr>
              <w:t>a</w:t>
            </w:r>
            <w:r>
              <w:rPr>
                <w:rStyle w:val="Strong"/>
                <w:rFonts w:eastAsia="SimSun"/>
                <w:szCs w:val="24"/>
                <w:lang w:val="en-US" w:bidi="ar"/>
              </w:rPr>
              <w:t xml:space="preserve">ctor </w:t>
            </w:r>
            <w:r>
              <w:rPr>
                <w:rStyle w:val="Strong"/>
                <w:rFonts w:eastAsia="SimSun" w:hint="eastAsia"/>
                <w:szCs w:val="24"/>
                <w:lang w:val="en-US" w:bidi="ar"/>
              </w:rPr>
              <w:t>s</w:t>
            </w:r>
            <w:r>
              <w:rPr>
                <w:rStyle w:val="Strong"/>
                <w:rFonts w:eastAsia="SimSun"/>
                <w:szCs w:val="24"/>
                <w:lang w:val="en-US" w:bidi="ar"/>
              </w:rPr>
              <w:t>ynergy</w:t>
            </w:r>
          </w:p>
        </w:tc>
        <w:tc>
          <w:tcPr>
            <w:tcW w:w="4173" w:type="dxa"/>
            <w:vAlign w:val="center"/>
          </w:tcPr>
          <w:p w14:paraId="69D7C92E" w14:textId="77777777" w:rsidR="00AD548A" w:rsidRDefault="00000000">
            <w:pPr>
              <w:widowControl/>
              <w:snapToGrid w:val="0"/>
              <w:spacing w:line="240" w:lineRule="auto"/>
              <w:ind w:firstLineChars="0" w:firstLine="0"/>
              <w:jc w:val="left"/>
              <w:rPr>
                <w:rFonts w:eastAsia="SimSun"/>
              </w:rPr>
            </w:pPr>
            <w:r>
              <w:rPr>
                <w:rStyle w:val="Emphasis"/>
                <w:rFonts w:eastAsia="SimSun"/>
                <w:szCs w:val="24"/>
                <w:lang w:val="en-US" w:bidi="ar"/>
              </w:rPr>
              <w:t>“It wasn’t just the loan. It was the training from the association, plus the fast-track customs clearance. Together, it told our buyer we were backed and capable, not just desperate.”</w:t>
            </w:r>
            <w:r>
              <w:rPr>
                <w:rFonts w:eastAsia="SimSun"/>
                <w:szCs w:val="24"/>
                <w:lang w:val="en-US" w:bidi="ar"/>
              </w:rPr>
              <w:t xml:space="preserve"> (SME5)</w:t>
            </w:r>
          </w:p>
        </w:tc>
        <w:tc>
          <w:tcPr>
            <w:tcW w:w="4064" w:type="dxa"/>
            <w:vAlign w:val="center"/>
          </w:tcPr>
          <w:p w14:paraId="164DD77C" w14:textId="77777777" w:rsidR="00AD548A" w:rsidRDefault="00000000">
            <w:pPr>
              <w:widowControl/>
              <w:snapToGrid w:val="0"/>
              <w:spacing w:line="240" w:lineRule="auto"/>
              <w:ind w:firstLineChars="0" w:firstLine="0"/>
              <w:jc w:val="left"/>
              <w:rPr>
                <w:rFonts w:eastAsia="SimSun"/>
              </w:rPr>
            </w:pPr>
            <w:r>
              <w:rPr>
                <w:rStyle w:val="Emphasis"/>
                <w:rFonts w:eastAsia="SimSun"/>
                <w:szCs w:val="24"/>
                <w:lang w:val="en-US" w:bidi="ar"/>
              </w:rPr>
              <w:t>“When we saw they had the government certificate, the bank credit, and were being promoted by the industry group, it changed our calculus. It was a coordinated signal of strength.”</w:t>
            </w:r>
            <w:r>
              <w:rPr>
                <w:rFonts w:eastAsia="SimSun"/>
                <w:szCs w:val="24"/>
                <w:lang w:val="en-US" w:bidi="ar"/>
              </w:rPr>
              <w:t xml:space="preserve"> (BUYER3)</w:t>
            </w:r>
          </w:p>
        </w:tc>
        <w:tc>
          <w:tcPr>
            <w:tcW w:w="4516" w:type="dxa"/>
            <w:vAlign w:val="center"/>
          </w:tcPr>
          <w:p w14:paraId="4350677E" w14:textId="77777777" w:rsidR="00AD548A" w:rsidRDefault="00000000">
            <w:pPr>
              <w:widowControl/>
              <w:snapToGrid w:val="0"/>
              <w:spacing w:line="240" w:lineRule="auto"/>
              <w:ind w:firstLineChars="0" w:firstLine="0"/>
              <w:jc w:val="left"/>
              <w:rPr>
                <w:rFonts w:eastAsia="SimSun"/>
              </w:rPr>
            </w:pPr>
            <w:r>
              <w:rPr>
                <w:rFonts w:eastAsia="SimSun" w:hint="eastAsia"/>
                <w:szCs w:val="24"/>
                <w:lang w:val="en-US" w:bidi="ar"/>
              </w:rPr>
              <w:t>C</w:t>
            </w:r>
            <w:r>
              <w:rPr>
                <w:rFonts w:eastAsia="SimSun"/>
                <w:szCs w:val="24"/>
                <w:lang w:val="en-US" w:bidi="ar"/>
              </w:rPr>
              <w:t>ombined effect of multiple institutional supports created a compound signal of legitimacy and resilience, enhancing the supplier’s position more than any single intervention.</w:t>
            </w:r>
          </w:p>
        </w:tc>
      </w:tr>
      <w:tr w:rsidR="00AD548A" w14:paraId="0DC92534" w14:textId="77777777">
        <w:trPr>
          <w:tblCellSpacing w:w="15" w:type="dxa"/>
          <w:jc w:val="center"/>
        </w:trPr>
        <w:tc>
          <w:tcPr>
            <w:tcW w:w="2254" w:type="dxa"/>
            <w:vAlign w:val="center"/>
          </w:tcPr>
          <w:p w14:paraId="3CFA8B4A" w14:textId="77777777" w:rsidR="00AD548A" w:rsidRDefault="00000000">
            <w:pPr>
              <w:widowControl/>
              <w:snapToGrid w:val="0"/>
              <w:spacing w:line="240" w:lineRule="auto"/>
              <w:ind w:firstLineChars="0" w:firstLine="0"/>
              <w:jc w:val="left"/>
              <w:rPr>
                <w:rFonts w:eastAsia="SimSun"/>
              </w:rPr>
            </w:pPr>
            <w:r>
              <w:rPr>
                <w:rStyle w:val="Strong"/>
                <w:rFonts w:eastAsia="SimSun"/>
                <w:szCs w:val="24"/>
                <w:lang w:val="en-US" w:bidi="ar"/>
              </w:rPr>
              <w:t xml:space="preserve">Altered </w:t>
            </w:r>
            <w:r>
              <w:rPr>
                <w:rStyle w:val="Strong"/>
                <w:rFonts w:eastAsia="SimSun" w:hint="eastAsia"/>
                <w:szCs w:val="24"/>
                <w:lang w:val="en-US" w:bidi="ar"/>
              </w:rPr>
              <w:t>evaluation</w:t>
            </w:r>
          </w:p>
        </w:tc>
        <w:tc>
          <w:tcPr>
            <w:tcW w:w="4173" w:type="dxa"/>
            <w:vAlign w:val="center"/>
          </w:tcPr>
          <w:p w14:paraId="72BE781C" w14:textId="77777777" w:rsidR="00AD548A" w:rsidRDefault="00000000">
            <w:pPr>
              <w:widowControl/>
              <w:snapToGrid w:val="0"/>
              <w:spacing w:line="240" w:lineRule="auto"/>
              <w:ind w:firstLineChars="0" w:firstLine="0"/>
              <w:jc w:val="left"/>
              <w:rPr>
                <w:rStyle w:val="Emphasis"/>
                <w:rFonts w:eastAsia="SimSun"/>
                <w:szCs w:val="24"/>
                <w:lang w:val="en-US" w:bidi="ar"/>
              </w:rPr>
            </w:pPr>
            <w:r>
              <w:rPr>
                <w:rStyle w:val="Emphasis"/>
                <w:rFonts w:eastAsia="SimSun"/>
                <w:szCs w:val="24"/>
                <w:lang w:val="en-US" w:bidi="ar"/>
              </w:rPr>
              <w:t>“After we got the official credit endorsement, they stopped threatening to withhold payment over minor delays. They knew their ‘low-credit’ argument was gone.”</w:t>
            </w:r>
            <w:r>
              <w:rPr>
                <w:rFonts w:eastAsia="SimSun"/>
                <w:szCs w:val="24"/>
                <w:lang w:val="en-US" w:bidi="ar"/>
              </w:rPr>
              <w:t xml:space="preserve"> (SME4)</w:t>
            </w:r>
          </w:p>
          <w:p w14:paraId="1012CF66" w14:textId="77777777" w:rsidR="00AD548A" w:rsidRDefault="00000000">
            <w:pPr>
              <w:widowControl/>
              <w:snapToGrid w:val="0"/>
              <w:spacing w:line="240" w:lineRule="auto"/>
              <w:ind w:firstLineChars="0" w:firstLine="0"/>
              <w:jc w:val="left"/>
              <w:rPr>
                <w:rFonts w:eastAsia="SimSun"/>
              </w:rPr>
            </w:pPr>
            <w:r>
              <w:rPr>
                <w:rStyle w:val="Emphasis"/>
                <w:rFonts w:eastAsia="SimSun"/>
                <w:szCs w:val="24"/>
                <w:lang w:val="en-US" w:bidi="ar"/>
              </w:rPr>
              <w:t>“With the international platform, we had real alternatives. I could finally push back on their pricing pressure because walking away was a real option.”</w:t>
            </w:r>
            <w:r>
              <w:rPr>
                <w:rFonts w:eastAsia="SimSun"/>
                <w:szCs w:val="24"/>
                <w:lang w:val="en-US" w:bidi="ar"/>
              </w:rPr>
              <w:t xml:space="preserve"> (SME8)</w:t>
            </w:r>
          </w:p>
        </w:tc>
        <w:tc>
          <w:tcPr>
            <w:tcW w:w="4064" w:type="dxa"/>
            <w:vAlign w:val="center"/>
          </w:tcPr>
          <w:p w14:paraId="3CAB2E08" w14:textId="77777777" w:rsidR="00AD548A" w:rsidRDefault="00000000">
            <w:pPr>
              <w:widowControl/>
              <w:snapToGrid w:val="0"/>
              <w:spacing w:line="240" w:lineRule="auto"/>
              <w:ind w:firstLineChars="0" w:firstLine="0"/>
              <w:jc w:val="left"/>
              <w:rPr>
                <w:rStyle w:val="Emphasis"/>
                <w:rFonts w:eastAsia="SimSun"/>
                <w:szCs w:val="24"/>
                <w:lang w:val="en-US" w:bidi="ar"/>
              </w:rPr>
            </w:pPr>
            <w:r>
              <w:rPr>
                <w:rStyle w:val="Emphasis"/>
                <w:rFonts w:eastAsia="SimSun"/>
                <w:szCs w:val="24"/>
                <w:lang w:val="en-US" w:bidi="ar"/>
              </w:rPr>
              <w:t>“The surprise audits made us review all our payment terms. The risk of being flagged for a ‘delayed payment’ violation wasn’t worth the marginal cash flow benefit.”</w:t>
            </w:r>
            <w:r>
              <w:rPr>
                <w:rFonts w:eastAsia="SimSun"/>
                <w:szCs w:val="24"/>
                <w:lang w:val="en-US" w:bidi="ar"/>
              </w:rPr>
              <w:t xml:space="preserve"> (BUYER2)</w:t>
            </w:r>
          </w:p>
          <w:p w14:paraId="0E11C8AB" w14:textId="77777777" w:rsidR="00AD548A" w:rsidRDefault="00000000">
            <w:pPr>
              <w:widowControl/>
              <w:snapToGrid w:val="0"/>
              <w:spacing w:line="240" w:lineRule="auto"/>
              <w:ind w:firstLineChars="0" w:firstLine="0"/>
              <w:jc w:val="left"/>
              <w:rPr>
                <w:rFonts w:eastAsia="SimSun"/>
              </w:rPr>
            </w:pPr>
            <w:r>
              <w:rPr>
                <w:rStyle w:val="Emphasis"/>
                <w:rFonts w:eastAsia="SimSun"/>
                <w:szCs w:val="24"/>
                <w:lang w:val="en-US" w:bidi="ar"/>
              </w:rPr>
              <w:t>“We realized our key supplier was attending international matchmaking events. The threat of replacing them became hollow; we shifted to negotiating extensions.”</w:t>
            </w:r>
            <w:r>
              <w:rPr>
                <w:rFonts w:eastAsia="SimSun"/>
                <w:szCs w:val="24"/>
                <w:lang w:val="en-US" w:bidi="ar"/>
              </w:rPr>
              <w:t xml:space="preserve"> (BUYER4)</w:t>
            </w:r>
          </w:p>
        </w:tc>
        <w:tc>
          <w:tcPr>
            <w:tcW w:w="4516" w:type="dxa"/>
            <w:vAlign w:val="center"/>
          </w:tcPr>
          <w:p w14:paraId="5B4C00D7" w14:textId="77777777" w:rsidR="00AD548A" w:rsidRDefault="00000000">
            <w:pPr>
              <w:widowControl/>
              <w:snapToGrid w:val="0"/>
              <w:spacing w:line="240" w:lineRule="auto"/>
              <w:ind w:firstLineChars="0" w:firstLine="0"/>
              <w:jc w:val="left"/>
              <w:rPr>
                <w:rFonts w:eastAsia="SimSun"/>
              </w:rPr>
            </w:pPr>
            <w:r>
              <w:rPr>
                <w:rFonts w:eastAsia="SimSun" w:hint="eastAsia"/>
                <w:szCs w:val="24"/>
                <w:lang w:val="en-US" w:bidi="ar"/>
              </w:rPr>
              <w:t>D</w:t>
            </w:r>
            <w:r>
              <w:rPr>
                <w:rFonts w:eastAsia="SimSun"/>
                <w:szCs w:val="24"/>
                <w:lang w:val="en-US" w:bidi="ar"/>
              </w:rPr>
              <w:t>irect change in buyer behavior due to increased costs and diminished leverage , evidencing the altered cost-benefit analysis.</w:t>
            </w:r>
            <w:r>
              <w:rPr>
                <w:rFonts w:eastAsia="SimSun" w:hint="eastAsia"/>
                <w:szCs w:val="24"/>
                <w:lang w:val="en-US" w:bidi="ar"/>
              </w:rPr>
              <w:t xml:space="preserve"> R</w:t>
            </w:r>
            <w:r>
              <w:rPr>
                <w:rFonts w:eastAsia="SimSun"/>
                <w:szCs w:val="24"/>
                <w:lang w:val="en-US" w:bidi="ar"/>
              </w:rPr>
              <w:t>educed supplier dependency altering the fundamental bargaining dynamic. The buyer’s threat of replacement was constrained by the supplier’s new alternatives.</w:t>
            </w:r>
          </w:p>
        </w:tc>
      </w:tr>
      <w:tr w:rsidR="00AD548A" w14:paraId="2E42EC83" w14:textId="77777777">
        <w:trPr>
          <w:tblCellSpacing w:w="15" w:type="dxa"/>
          <w:jc w:val="center"/>
        </w:trPr>
        <w:tc>
          <w:tcPr>
            <w:tcW w:w="2254" w:type="dxa"/>
            <w:vAlign w:val="center"/>
          </w:tcPr>
          <w:p w14:paraId="78A50159" w14:textId="77777777" w:rsidR="00AD548A" w:rsidRDefault="00000000">
            <w:pPr>
              <w:widowControl/>
              <w:snapToGrid w:val="0"/>
              <w:spacing w:line="240" w:lineRule="auto"/>
              <w:ind w:firstLineChars="0" w:firstLine="0"/>
              <w:jc w:val="left"/>
              <w:rPr>
                <w:rFonts w:eastAsia="SimSun"/>
              </w:rPr>
            </w:pPr>
            <w:r>
              <w:rPr>
                <w:rStyle w:val="Strong"/>
                <w:rFonts w:eastAsia="SimSun"/>
                <w:szCs w:val="24"/>
                <w:lang w:val="en-US" w:bidi="ar"/>
              </w:rPr>
              <w:t xml:space="preserve">Temporary </w:t>
            </w:r>
            <w:r>
              <w:rPr>
                <w:rStyle w:val="Strong"/>
                <w:rFonts w:eastAsia="SimSun" w:hint="eastAsia"/>
                <w:szCs w:val="24"/>
                <w:lang w:val="en-US" w:bidi="ar"/>
              </w:rPr>
              <w:t>p</w:t>
            </w:r>
            <w:r>
              <w:rPr>
                <w:rStyle w:val="Strong"/>
                <w:rFonts w:eastAsia="SimSun"/>
                <w:szCs w:val="24"/>
                <w:lang w:val="en-US" w:bidi="ar"/>
              </w:rPr>
              <w:t xml:space="preserve">rivilege </w:t>
            </w:r>
            <w:r>
              <w:rPr>
                <w:rStyle w:val="Strong"/>
                <w:rFonts w:eastAsia="SimSun" w:hint="eastAsia"/>
                <w:szCs w:val="24"/>
                <w:lang w:val="en-US" w:bidi="ar"/>
              </w:rPr>
              <w:t>s</w:t>
            </w:r>
            <w:r>
              <w:rPr>
                <w:rStyle w:val="Strong"/>
                <w:rFonts w:eastAsia="SimSun"/>
                <w:szCs w:val="24"/>
                <w:lang w:val="en-US" w:bidi="ar"/>
              </w:rPr>
              <w:t>uspension</w:t>
            </w:r>
          </w:p>
        </w:tc>
        <w:tc>
          <w:tcPr>
            <w:tcW w:w="4173" w:type="dxa"/>
            <w:vAlign w:val="center"/>
          </w:tcPr>
          <w:p w14:paraId="6D319BC8" w14:textId="77777777" w:rsidR="00AD548A" w:rsidRDefault="00000000">
            <w:pPr>
              <w:widowControl/>
              <w:snapToGrid w:val="0"/>
              <w:spacing w:line="240" w:lineRule="auto"/>
              <w:ind w:firstLineChars="0" w:firstLine="0"/>
              <w:jc w:val="left"/>
              <w:rPr>
                <w:rStyle w:val="Emphasis"/>
                <w:rFonts w:eastAsia="SimSun"/>
                <w:szCs w:val="24"/>
                <w:lang w:val="en-US" w:bidi="ar"/>
              </w:rPr>
            </w:pPr>
            <w:r>
              <w:rPr>
                <w:rStyle w:val="Emphasis"/>
                <w:rFonts w:eastAsia="SimSun"/>
                <w:szCs w:val="24"/>
                <w:lang w:val="en-US" w:bidi="ar"/>
              </w:rPr>
              <w:t>“For decades, the big players got the tax breaks. For these two years, that stream flowed to us. It didn’t make us bigger than them, but it forced them to the table as equals for that time.”</w:t>
            </w:r>
            <w:r>
              <w:rPr>
                <w:rFonts w:eastAsia="SimSun"/>
                <w:szCs w:val="24"/>
                <w:lang w:val="en-US" w:bidi="ar"/>
              </w:rPr>
              <w:t xml:space="preserve"> (SME10)</w:t>
            </w:r>
          </w:p>
          <w:p w14:paraId="23322997" w14:textId="77777777" w:rsidR="00AD548A" w:rsidRDefault="00000000">
            <w:pPr>
              <w:widowControl/>
              <w:snapToGrid w:val="0"/>
              <w:spacing w:line="240" w:lineRule="auto"/>
              <w:ind w:firstLineChars="0" w:firstLine="0"/>
              <w:jc w:val="left"/>
              <w:rPr>
                <w:rFonts w:eastAsia="SimSun"/>
              </w:rPr>
            </w:pPr>
            <w:r>
              <w:rPr>
                <w:rStyle w:val="Emphasis"/>
                <w:rFonts w:eastAsia="SimSun"/>
                <w:szCs w:val="24"/>
                <w:lang w:val="en-US" w:bidi="ar"/>
              </w:rPr>
              <w:t xml:space="preserve">“The legal team from the association intervened in our contract renegotiation. For that negotiation, their standard </w:t>
            </w:r>
            <w:r>
              <w:rPr>
                <w:rStyle w:val="Emphasis"/>
                <w:rFonts w:eastAsia="SimSun"/>
                <w:szCs w:val="24"/>
                <w:lang w:val="en-US" w:bidi="ar"/>
              </w:rPr>
              <w:lastRenderedPageBreak/>
              <w:t>boilerplate clauses were off the table. It reset the rules just for that moment.”</w:t>
            </w:r>
            <w:r>
              <w:rPr>
                <w:rFonts w:eastAsia="SimSun"/>
                <w:szCs w:val="24"/>
                <w:lang w:val="en-US" w:bidi="ar"/>
              </w:rPr>
              <w:t xml:space="preserve"> (SME9)</w:t>
            </w:r>
          </w:p>
        </w:tc>
        <w:tc>
          <w:tcPr>
            <w:tcW w:w="4064" w:type="dxa"/>
            <w:vAlign w:val="center"/>
          </w:tcPr>
          <w:p w14:paraId="567248EA" w14:textId="77777777" w:rsidR="00AD548A" w:rsidRDefault="00000000">
            <w:pPr>
              <w:widowControl/>
              <w:snapToGrid w:val="0"/>
              <w:spacing w:line="240" w:lineRule="auto"/>
              <w:ind w:firstLineChars="0" w:firstLine="0"/>
              <w:jc w:val="left"/>
              <w:rPr>
                <w:rStyle w:val="Emphasis"/>
                <w:rFonts w:eastAsia="SimSun"/>
                <w:szCs w:val="24"/>
                <w:lang w:val="en-US" w:bidi="ar"/>
              </w:rPr>
            </w:pPr>
            <w:r>
              <w:rPr>
                <w:rStyle w:val="Emphasis"/>
                <w:rFonts w:eastAsia="SimSun"/>
                <w:szCs w:val="24"/>
                <w:lang w:val="en-US" w:bidi="ar"/>
              </w:rPr>
              <w:lastRenderedPageBreak/>
              <w:t>“It was a clear policy shift. We were told, directly, that support was being prioritized for SMEs to ‘stabilize the base of the supply chain.’ Our historical access was put on hold.”</w:t>
            </w:r>
            <w:r>
              <w:rPr>
                <w:rFonts w:eastAsia="SimSun"/>
                <w:szCs w:val="24"/>
                <w:lang w:val="en-US" w:bidi="ar"/>
              </w:rPr>
              <w:t xml:space="preserve"> (BUYER1)</w:t>
            </w:r>
          </w:p>
          <w:p w14:paraId="796428A6" w14:textId="77777777" w:rsidR="00AD548A" w:rsidRDefault="00000000">
            <w:pPr>
              <w:widowControl/>
              <w:snapToGrid w:val="0"/>
              <w:spacing w:line="240" w:lineRule="auto"/>
              <w:ind w:firstLineChars="0" w:firstLine="0"/>
              <w:jc w:val="left"/>
              <w:rPr>
                <w:rFonts w:eastAsia="SimSun"/>
              </w:rPr>
            </w:pPr>
            <w:r>
              <w:rPr>
                <w:rStyle w:val="Emphasis"/>
                <w:rFonts w:eastAsia="SimSun"/>
                <w:szCs w:val="24"/>
                <w:lang w:val="en-US" w:bidi="ar"/>
              </w:rPr>
              <w:t xml:space="preserve">“We had to renegotiate contracts under the new government guidelines. Our usual terms were non-starters. It was a </w:t>
            </w:r>
            <w:r>
              <w:rPr>
                <w:rStyle w:val="Emphasis"/>
                <w:rFonts w:eastAsia="SimSun"/>
                <w:szCs w:val="24"/>
                <w:lang w:val="en-US" w:bidi="ar"/>
              </w:rPr>
              <w:lastRenderedPageBreak/>
              <w:t>temporary but total reset of the framework.”</w:t>
            </w:r>
            <w:r>
              <w:rPr>
                <w:rFonts w:eastAsia="SimSun"/>
                <w:szCs w:val="24"/>
                <w:lang w:val="en-US" w:bidi="ar"/>
              </w:rPr>
              <w:t xml:space="preserve"> (BUYER2)</w:t>
            </w:r>
          </w:p>
        </w:tc>
        <w:tc>
          <w:tcPr>
            <w:tcW w:w="4516" w:type="dxa"/>
            <w:vAlign w:val="center"/>
          </w:tcPr>
          <w:p w14:paraId="12785AE0" w14:textId="77777777" w:rsidR="00AD548A" w:rsidRDefault="00000000">
            <w:pPr>
              <w:widowControl/>
              <w:snapToGrid w:val="0"/>
              <w:spacing w:line="240" w:lineRule="auto"/>
              <w:ind w:firstLineChars="0" w:firstLine="0"/>
              <w:jc w:val="left"/>
              <w:rPr>
                <w:rFonts w:eastAsia="SimSun"/>
              </w:rPr>
            </w:pPr>
            <w:r>
              <w:rPr>
                <w:rFonts w:eastAsia="SimSun" w:hint="eastAsia"/>
                <w:szCs w:val="24"/>
                <w:lang w:val="en-US" w:bidi="ar"/>
              </w:rPr>
              <w:lastRenderedPageBreak/>
              <w:t>C</w:t>
            </w:r>
            <w:r>
              <w:rPr>
                <w:rFonts w:eastAsia="SimSun"/>
                <w:szCs w:val="24"/>
                <w:lang w:val="en-US" w:bidi="ar"/>
              </w:rPr>
              <w:t xml:space="preserve">risis-driven suspension of historical structural advantages, </w:t>
            </w:r>
            <w:r>
              <w:rPr>
                <w:rFonts w:eastAsia="SimSun" w:hint="eastAsia"/>
                <w:szCs w:val="24"/>
                <w:lang w:val="en-US" w:bidi="ar"/>
              </w:rPr>
              <w:t>I</w:t>
            </w:r>
            <w:r>
              <w:rPr>
                <w:rFonts w:eastAsia="SimSun"/>
                <w:szCs w:val="24"/>
                <w:lang w:val="en-US" w:bidi="ar"/>
              </w:rPr>
              <w:t>nstitutional actors temporarily overrode standard, buyer-favored procedural rules (a form of privilege), altering the process of power enactment.</w:t>
            </w:r>
          </w:p>
        </w:tc>
      </w:tr>
      <w:tr w:rsidR="00AD548A" w14:paraId="79AE83CF" w14:textId="77777777">
        <w:trPr>
          <w:tblCellSpacing w:w="15" w:type="dxa"/>
          <w:jc w:val="center"/>
        </w:trPr>
        <w:tc>
          <w:tcPr>
            <w:tcW w:w="2254" w:type="dxa"/>
            <w:vAlign w:val="center"/>
          </w:tcPr>
          <w:p w14:paraId="58782CB7" w14:textId="77777777" w:rsidR="00AD548A" w:rsidRDefault="00000000">
            <w:pPr>
              <w:widowControl/>
              <w:snapToGrid w:val="0"/>
              <w:spacing w:line="240" w:lineRule="auto"/>
              <w:ind w:firstLineChars="0" w:firstLine="0"/>
              <w:jc w:val="left"/>
              <w:rPr>
                <w:rStyle w:val="Strong"/>
                <w:rFonts w:eastAsia="SimSun"/>
                <w:szCs w:val="24"/>
                <w:lang w:val="en-US" w:bidi="ar"/>
              </w:rPr>
            </w:pPr>
            <w:r>
              <w:rPr>
                <w:rStyle w:val="Strong"/>
                <w:rFonts w:eastAsia="SimSun" w:hint="eastAsia"/>
                <w:szCs w:val="24"/>
                <w:lang w:val="en-US" w:bidi="ar"/>
              </w:rPr>
              <w:t>Industry norm transformation</w:t>
            </w:r>
          </w:p>
        </w:tc>
        <w:tc>
          <w:tcPr>
            <w:tcW w:w="4173" w:type="dxa"/>
            <w:vAlign w:val="center"/>
          </w:tcPr>
          <w:p w14:paraId="15583B21" w14:textId="77777777" w:rsidR="00AD548A" w:rsidRDefault="00000000">
            <w:pPr>
              <w:widowControl/>
              <w:snapToGrid w:val="0"/>
              <w:spacing w:line="240" w:lineRule="auto"/>
              <w:ind w:firstLineChars="0" w:firstLine="0"/>
              <w:jc w:val="left"/>
              <w:rPr>
                <w:rStyle w:val="Emphasis"/>
                <w:rFonts w:eastAsia="SimSun"/>
                <w:szCs w:val="24"/>
                <w:lang w:val="en-US" w:bidi="ar"/>
              </w:rPr>
            </w:pPr>
            <w:r>
              <w:rPr>
                <w:rStyle w:val="Emphasis"/>
                <w:rFonts w:eastAsia="SimSun"/>
                <w:szCs w:val="24"/>
                <w:lang w:val="en-US" w:bidi="ar"/>
              </w:rPr>
              <w:t>“Before, delaying our payments was just ‘how things worked’ with them. Now, with all the new rules and everyone talking about protecting small businesses, it feels like that old way is no longer acceptable. The whole atmosphere has changed.” (SME3)</w:t>
            </w:r>
          </w:p>
        </w:tc>
        <w:tc>
          <w:tcPr>
            <w:tcW w:w="4064" w:type="dxa"/>
            <w:vAlign w:val="center"/>
          </w:tcPr>
          <w:p w14:paraId="74E121E0" w14:textId="77777777" w:rsidR="00AD548A" w:rsidRDefault="00000000">
            <w:pPr>
              <w:widowControl/>
              <w:snapToGrid w:val="0"/>
              <w:spacing w:line="240" w:lineRule="auto"/>
              <w:ind w:firstLineChars="0" w:firstLine="0"/>
              <w:jc w:val="left"/>
              <w:rPr>
                <w:rStyle w:val="Emphasis"/>
                <w:rFonts w:eastAsia="SimSun"/>
                <w:szCs w:val="24"/>
                <w:lang w:val="en-US" w:bidi="ar"/>
              </w:rPr>
            </w:pPr>
            <w:r>
              <w:rPr>
                <w:rStyle w:val="Emphasis"/>
                <w:rFonts w:eastAsia="SimSun"/>
                <w:szCs w:val="24"/>
                <w:lang w:val="en-US" w:bidi="ar"/>
              </w:rPr>
              <w:t>“You could feel the shift. It wasn’t just about our company or our suppliers. Every meeting, every industry update highlighted support for SMEs. It became the new normal to expect scrutiny and to factor in their support packages. You couldn’t act like it was 2019 anymore.” (BUYER4)</w:t>
            </w:r>
          </w:p>
        </w:tc>
        <w:tc>
          <w:tcPr>
            <w:tcW w:w="4516" w:type="dxa"/>
            <w:vAlign w:val="center"/>
          </w:tcPr>
          <w:p w14:paraId="7BDD73C0" w14:textId="77777777" w:rsidR="00AD548A" w:rsidRDefault="00000000">
            <w:pPr>
              <w:widowControl/>
              <w:snapToGrid w:val="0"/>
              <w:spacing w:line="240" w:lineRule="auto"/>
              <w:ind w:firstLineChars="0" w:firstLine="0"/>
              <w:jc w:val="left"/>
              <w:rPr>
                <w:rFonts w:eastAsia="SimSun"/>
                <w:szCs w:val="24"/>
                <w:lang w:val="en-US" w:bidi="ar"/>
              </w:rPr>
            </w:pPr>
            <w:r>
              <w:rPr>
                <w:rFonts w:eastAsia="SimSun" w:hint="eastAsia"/>
                <w:szCs w:val="24"/>
                <w:lang w:val="en-US" w:bidi="ar"/>
              </w:rPr>
              <w:t>Institutional interventions transcended individual cases to reshape field-level norms. Overt opportunism became illegitimate and SME support was legitimized, creating a self-reinforcing social barrier against power abuse.</w:t>
            </w:r>
          </w:p>
        </w:tc>
      </w:tr>
      <w:tr w:rsidR="00AD548A" w14:paraId="7E80E7E1" w14:textId="77777777">
        <w:trPr>
          <w:tblCellSpacing w:w="15" w:type="dxa"/>
          <w:jc w:val="center"/>
        </w:trPr>
        <w:tc>
          <w:tcPr>
            <w:tcW w:w="2254" w:type="dxa"/>
            <w:tcBorders>
              <w:bottom w:val="single" w:sz="12" w:space="0" w:color="auto"/>
            </w:tcBorders>
            <w:vAlign w:val="center"/>
          </w:tcPr>
          <w:p w14:paraId="37038E2B" w14:textId="77777777" w:rsidR="00AD548A" w:rsidRDefault="00000000">
            <w:pPr>
              <w:widowControl/>
              <w:snapToGrid w:val="0"/>
              <w:spacing w:line="240" w:lineRule="auto"/>
              <w:ind w:firstLineChars="0" w:firstLine="0"/>
              <w:jc w:val="left"/>
              <w:rPr>
                <w:rFonts w:eastAsia="SimSun"/>
              </w:rPr>
            </w:pPr>
            <w:r>
              <w:rPr>
                <w:rStyle w:val="Strong"/>
                <w:rFonts w:eastAsia="SimSun"/>
                <w:szCs w:val="24"/>
                <w:lang w:val="en-US" w:bidi="ar"/>
              </w:rPr>
              <w:t>Outcome</w:t>
            </w:r>
          </w:p>
        </w:tc>
        <w:tc>
          <w:tcPr>
            <w:tcW w:w="4173" w:type="dxa"/>
            <w:tcBorders>
              <w:bottom w:val="single" w:sz="12" w:space="0" w:color="auto"/>
            </w:tcBorders>
            <w:vAlign w:val="center"/>
          </w:tcPr>
          <w:p w14:paraId="1E71C5BD" w14:textId="77777777" w:rsidR="00AD548A" w:rsidRDefault="00000000">
            <w:pPr>
              <w:widowControl/>
              <w:snapToGrid w:val="0"/>
              <w:spacing w:line="240" w:lineRule="auto"/>
              <w:ind w:firstLineChars="0" w:firstLine="0"/>
              <w:jc w:val="left"/>
              <w:rPr>
                <w:rFonts w:eastAsia="SimSun"/>
              </w:rPr>
            </w:pPr>
            <w:r>
              <w:rPr>
                <w:rStyle w:val="Emphasis"/>
                <w:rFonts w:eastAsia="SimSun"/>
                <w:szCs w:val="24"/>
                <w:lang w:val="en-US" w:bidi="ar"/>
              </w:rPr>
              <w:t>“The utility support didn’t make us bigger, but it kept our lights on. It meant when they demanded a price cut, we weren’t negotiating from a position of existential fear.”</w:t>
            </w:r>
            <w:r>
              <w:rPr>
                <w:rFonts w:eastAsia="SimSun"/>
                <w:szCs w:val="24"/>
                <w:lang w:val="en-US" w:bidi="ar"/>
              </w:rPr>
              <w:t xml:space="preserve"> (SME2)</w:t>
            </w:r>
          </w:p>
        </w:tc>
        <w:tc>
          <w:tcPr>
            <w:tcW w:w="4064" w:type="dxa"/>
            <w:tcBorders>
              <w:bottom w:val="single" w:sz="12" w:space="0" w:color="auto"/>
            </w:tcBorders>
            <w:vAlign w:val="center"/>
          </w:tcPr>
          <w:p w14:paraId="0DBBAD65" w14:textId="77777777" w:rsidR="00AD548A" w:rsidRDefault="00000000">
            <w:pPr>
              <w:widowControl/>
              <w:snapToGrid w:val="0"/>
              <w:spacing w:line="240" w:lineRule="auto"/>
              <w:ind w:firstLineChars="0" w:firstLine="0"/>
              <w:jc w:val="left"/>
              <w:rPr>
                <w:rFonts w:eastAsia="SimSun"/>
              </w:rPr>
            </w:pPr>
            <w:r>
              <w:rPr>
                <w:rStyle w:val="Emphasis"/>
                <w:rFonts w:eastAsia="SimSun"/>
                <w:szCs w:val="24"/>
                <w:lang w:val="en-US" w:bidi="ar"/>
              </w:rPr>
              <w:t>“Their resilience surprised us. Even small suppliers had contingency plans and backup resources we didn’t expect. It made purely coercive tactics ineffective and counterproductive.”</w:t>
            </w:r>
            <w:r>
              <w:rPr>
                <w:rFonts w:eastAsia="SimSun"/>
                <w:szCs w:val="24"/>
                <w:lang w:val="en-US" w:bidi="ar"/>
              </w:rPr>
              <w:t xml:space="preserve"> (BUYER1)</w:t>
            </w:r>
          </w:p>
        </w:tc>
        <w:tc>
          <w:tcPr>
            <w:tcW w:w="4516" w:type="dxa"/>
            <w:tcBorders>
              <w:bottom w:val="single" w:sz="12" w:space="0" w:color="auto"/>
            </w:tcBorders>
            <w:vAlign w:val="center"/>
          </w:tcPr>
          <w:p w14:paraId="73F7A4F9" w14:textId="77777777" w:rsidR="00AD548A" w:rsidRDefault="00000000">
            <w:pPr>
              <w:widowControl/>
              <w:snapToGrid w:val="0"/>
              <w:spacing w:line="240" w:lineRule="auto"/>
              <w:ind w:firstLineChars="0" w:firstLine="0"/>
              <w:jc w:val="left"/>
              <w:rPr>
                <w:rFonts w:eastAsia="SimSun"/>
              </w:rPr>
            </w:pPr>
            <w:r>
              <w:rPr>
                <w:rFonts w:eastAsia="SimSun" w:hint="eastAsia"/>
                <w:szCs w:val="24"/>
                <w:lang w:val="en-US" w:bidi="ar"/>
              </w:rPr>
              <w:t>I</w:t>
            </w:r>
            <w:r>
              <w:rPr>
                <w:rFonts w:eastAsia="SimSun"/>
                <w:szCs w:val="24"/>
                <w:lang w:val="en-US" w:bidi="ar"/>
              </w:rPr>
              <w:t>nstitutional support enhanced supplier resilience, reducing the efficacy and utility of the buyer’s coercive power without erasing its source.</w:t>
            </w:r>
          </w:p>
        </w:tc>
      </w:tr>
    </w:tbl>
    <w:p w14:paraId="324C93A8" w14:textId="77777777" w:rsidR="00AD548A" w:rsidRDefault="00000000">
      <w:pPr>
        <w:sectPr w:rsidR="00AD548A">
          <w:pgSz w:w="16838" w:h="11906" w:orient="landscape"/>
          <w:pgMar w:top="1803" w:right="1440" w:bottom="1803" w:left="1440" w:header="851" w:footer="992" w:gutter="0"/>
          <w:cols w:space="0"/>
          <w:docGrid w:type="lines" w:linePitch="332"/>
        </w:sectPr>
      </w:pPr>
      <w:r>
        <w:br w:type="page"/>
      </w:r>
    </w:p>
    <w:p w14:paraId="3EC963AE" w14:textId="77777777" w:rsidR="00AD548A" w:rsidRDefault="00000000">
      <w:pPr>
        <w:spacing w:line="276" w:lineRule="auto"/>
        <w:ind w:leftChars="-300" w:left="-720"/>
        <w:jc w:val="center"/>
        <w:rPr>
          <w:b/>
          <w:bCs/>
        </w:rPr>
      </w:pPr>
      <w:r>
        <w:rPr>
          <w:rFonts w:hint="eastAsia"/>
          <w:b/>
          <w:bCs/>
        </w:rPr>
        <w:lastRenderedPageBreak/>
        <w:t>Tables</w:t>
      </w:r>
    </w:p>
    <w:p w14:paraId="4F01E745" w14:textId="77777777" w:rsidR="00AD548A" w:rsidRDefault="00AD548A">
      <w:pPr>
        <w:spacing w:line="276" w:lineRule="auto"/>
        <w:ind w:leftChars="-300" w:left="-720"/>
        <w:jc w:val="center"/>
        <w:rPr>
          <w:b/>
          <w:bCs/>
        </w:rPr>
      </w:pPr>
    </w:p>
    <w:p w14:paraId="171232D6" w14:textId="77777777" w:rsidR="00AD548A" w:rsidRDefault="00000000">
      <w:pPr>
        <w:keepNext/>
        <w:widowControl/>
        <w:spacing w:after="160"/>
        <w:ind w:firstLineChars="0" w:firstLine="0"/>
        <w:jc w:val="center"/>
        <w:rPr>
          <w:rFonts w:eastAsia="SimHei"/>
          <w:b/>
          <w:kern w:val="2"/>
          <w:szCs w:val="24"/>
          <w:lang w:eastAsia="en-US"/>
        </w:rPr>
      </w:pPr>
      <w:r>
        <w:rPr>
          <w:rFonts w:eastAsia="SimHei"/>
          <w:b/>
          <w:kern w:val="2"/>
          <w:szCs w:val="24"/>
          <w:lang w:eastAsia="en-US"/>
        </w:rPr>
        <w:t xml:space="preserve">Table </w:t>
      </w:r>
      <w:r>
        <w:rPr>
          <w:rFonts w:eastAsia="SimHei"/>
          <w:b/>
          <w:kern w:val="2"/>
          <w:szCs w:val="24"/>
        </w:rPr>
        <w:t>1</w:t>
      </w:r>
      <w:r>
        <w:rPr>
          <w:rFonts w:eastAsia="SimHei"/>
          <w:b/>
          <w:kern w:val="2"/>
          <w:szCs w:val="24"/>
          <w:lang w:eastAsia="en-US"/>
        </w:rPr>
        <w:t xml:space="preserve">: Power </w:t>
      </w:r>
      <w:r>
        <w:rPr>
          <w:rFonts w:eastAsia="SimHei"/>
          <w:b/>
          <w:kern w:val="2"/>
          <w:szCs w:val="24"/>
        </w:rPr>
        <w:t>source</w:t>
      </w:r>
      <w:r>
        <w:rPr>
          <w:rFonts w:eastAsia="SimHei"/>
          <w:b/>
          <w:kern w:val="2"/>
          <w:szCs w:val="24"/>
          <w:lang w:eastAsia="en-US"/>
        </w:rPr>
        <w:t>s</w:t>
      </w:r>
    </w:p>
    <w:tbl>
      <w:tblPr>
        <w:tblStyle w:val="13"/>
        <w:tblW w:w="1091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1814"/>
        <w:gridCol w:w="6662"/>
      </w:tblGrid>
      <w:tr w:rsidR="00AD548A" w14:paraId="5C98DE2A" w14:textId="77777777">
        <w:trPr>
          <w:jc w:val="center"/>
        </w:trPr>
        <w:tc>
          <w:tcPr>
            <w:tcW w:w="2439" w:type="dxa"/>
            <w:tcBorders>
              <w:top w:val="single" w:sz="4" w:space="0" w:color="auto"/>
              <w:bottom w:val="single" w:sz="4" w:space="0" w:color="auto"/>
            </w:tcBorders>
            <w:shd w:val="clear" w:color="auto" w:fill="EDEDED" w:themeFill="accent3" w:themeFillTint="33"/>
          </w:tcPr>
          <w:p w14:paraId="3034FD61" w14:textId="77777777" w:rsidR="00AD548A" w:rsidRDefault="00000000">
            <w:pPr>
              <w:widowControl/>
              <w:spacing w:after="160" w:line="240" w:lineRule="auto"/>
              <w:ind w:firstLineChars="0" w:firstLine="0"/>
              <w:rPr>
                <w:rFonts w:eastAsiaTheme="minorEastAsia"/>
                <w:b/>
                <w:bCs/>
                <w:kern w:val="2"/>
                <w:szCs w:val="24"/>
              </w:rPr>
            </w:pPr>
            <w:r>
              <w:rPr>
                <w:rFonts w:eastAsiaTheme="minorEastAsia"/>
                <w:b/>
                <w:bCs/>
                <w:kern w:val="2"/>
                <w:szCs w:val="24"/>
              </w:rPr>
              <w:t>Type of power</w:t>
            </w:r>
          </w:p>
        </w:tc>
        <w:tc>
          <w:tcPr>
            <w:tcW w:w="1814" w:type="dxa"/>
            <w:tcBorders>
              <w:top w:val="single" w:sz="4" w:space="0" w:color="auto"/>
              <w:bottom w:val="single" w:sz="4" w:space="0" w:color="auto"/>
            </w:tcBorders>
            <w:shd w:val="clear" w:color="auto" w:fill="EDEDED" w:themeFill="accent3" w:themeFillTint="33"/>
          </w:tcPr>
          <w:p w14:paraId="7BE95092" w14:textId="77777777" w:rsidR="00AD548A" w:rsidRDefault="00000000">
            <w:pPr>
              <w:widowControl/>
              <w:spacing w:after="160" w:line="240" w:lineRule="auto"/>
              <w:ind w:firstLineChars="0" w:firstLine="0"/>
              <w:rPr>
                <w:rFonts w:eastAsiaTheme="minorEastAsia"/>
                <w:b/>
                <w:bCs/>
                <w:kern w:val="2"/>
                <w:szCs w:val="24"/>
              </w:rPr>
            </w:pPr>
            <w:r>
              <w:rPr>
                <w:rFonts w:eastAsiaTheme="minorEastAsia"/>
                <w:b/>
                <w:bCs/>
                <w:kern w:val="2"/>
                <w:szCs w:val="24"/>
              </w:rPr>
              <w:t>Power source</w:t>
            </w:r>
          </w:p>
        </w:tc>
        <w:tc>
          <w:tcPr>
            <w:tcW w:w="6662" w:type="dxa"/>
            <w:tcBorders>
              <w:top w:val="single" w:sz="4" w:space="0" w:color="auto"/>
              <w:bottom w:val="single" w:sz="4" w:space="0" w:color="auto"/>
            </w:tcBorders>
            <w:shd w:val="clear" w:color="auto" w:fill="EDEDED" w:themeFill="accent3" w:themeFillTint="33"/>
          </w:tcPr>
          <w:p w14:paraId="40C4E52E" w14:textId="77777777" w:rsidR="00AD548A" w:rsidRDefault="00000000">
            <w:pPr>
              <w:widowControl/>
              <w:spacing w:after="160" w:line="240" w:lineRule="auto"/>
              <w:ind w:firstLineChars="0" w:firstLine="0"/>
              <w:rPr>
                <w:rFonts w:eastAsiaTheme="minorEastAsia"/>
                <w:b/>
                <w:bCs/>
                <w:kern w:val="2"/>
                <w:szCs w:val="24"/>
              </w:rPr>
            </w:pPr>
            <w:r>
              <w:rPr>
                <w:rFonts w:eastAsiaTheme="minorEastAsia"/>
                <w:b/>
                <w:bCs/>
                <w:kern w:val="2"/>
                <w:szCs w:val="24"/>
              </w:rPr>
              <w:t xml:space="preserve">Explanation </w:t>
            </w:r>
          </w:p>
        </w:tc>
      </w:tr>
      <w:tr w:rsidR="00AD548A" w14:paraId="2FF14E27" w14:textId="77777777">
        <w:trPr>
          <w:jc w:val="center"/>
        </w:trPr>
        <w:tc>
          <w:tcPr>
            <w:tcW w:w="2439" w:type="dxa"/>
            <w:tcBorders>
              <w:top w:val="single" w:sz="4" w:space="0" w:color="auto"/>
            </w:tcBorders>
          </w:tcPr>
          <w:p w14:paraId="6F8FE3E5"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Mediated</w:t>
            </w:r>
          </w:p>
        </w:tc>
        <w:tc>
          <w:tcPr>
            <w:tcW w:w="1814" w:type="dxa"/>
            <w:tcBorders>
              <w:top w:val="single" w:sz="4" w:space="0" w:color="auto"/>
            </w:tcBorders>
          </w:tcPr>
          <w:p w14:paraId="7E26C4F2"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Reward</w:t>
            </w:r>
          </w:p>
        </w:tc>
        <w:tc>
          <w:tcPr>
            <w:tcW w:w="6662" w:type="dxa"/>
            <w:tcBorders>
              <w:top w:val="single" w:sz="4" w:space="0" w:color="auto"/>
            </w:tcBorders>
          </w:tcPr>
          <w:p w14:paraId="305E6263"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The stronger party could reward the weaker party that acts as expected</w:t>
            </w:r>
          </w:p>
        </w:tc>
      </w:tr>
      <w:tr w:rsidR="00AD548A" w14:paraId="4A343D47" w14:textId="77777777">
        <w:trPr>
          <w:jc w:val="center"/>
        </w:trPr>
        <w:tc>
          <w:tcPr>
            <w:tcW w:w="2439" w:type="dxa"/>
          </w:tcPr>
          <w:p w14:paraId="574FEE01" w14:textId="77777777" w:rsidR="00AD548A" w:rsidRDefault="00AD548A">
            <w:pPr>
              <w:widowControl/>
              <w:spacing w:after="160" w:line="240" w:lineRule="auto"/>
              <w:ind w:firstLineChars="0" w:firstLine="0"/>
              <w:rPr>
                <w:rFonts w:eastAsiaTheme="minorEastAsia"/>
                <w:kern w:val="2"/>
                <w:szCs w:val="24"/>
              </w:rPr>
            </w:pPr>
          </w:p>
        </w:tc>
        <w:tc>
          <w:tcPr>
            <w:tcW w:w="1814" w:type="dxa"/>
          </w:tcPr>
          <w:p w14:paraId="306A9347"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Coercive</w:t>
            </w:r>
          </w:p>
        </w:tc>
        <w:tc>
          <w:tcPr>
            <w:tcW w:w="6662" w:type="dxa"/>
          </w:tcPr>
          <w:p w14:paraId="03A0C863"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The stronger party could punish the weaker party that does not act as expected</w:t>
            </w:r>
          </w:p>
        </w:tc>
      </w:tr>
      <w:tr w:rsidR="00AD548A" w14:paraId="4ABA0F41" w14:textId="77777777">
        <w:trPr>
          <w:jc w:val="center"/>
        </w:trPr>
        <w:tc>
          <w:tcPr>
            <w:tcW w:w="2439" w:type="dxa"/>
          </w:tcPr>
          <w:p w14:paraId="511FB94A"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Non-mediated</w:t>
            </w:r>
          </w:p>
        </w:tc>
        <w:tc>
          <w:tcPr>
            <w:tcW w:w="1814" w:type="dxa"/>
          </w:tcPr>
          <w:p w14:paraId="49142652"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Expert</w:t>
            </w:r>
          </w:p>
        </w:tc>
        <w:tc>
          <w:tcPr>
            <w:tcW w:w="6662" w:type="dxa"/>
          </w:tcPr>
          <w:p w14:paraId="250EFAD9"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 xml:space="preserve">A stronger party has the knowledge and skills desired by the weaker party </w:t>
            </w:r>
          </w:p>
        </w:tc>
      </w:tr>
      <w:tr w:rsidR="00AD548A" w14:paraId="0B34088D" w14:textId="77777777">
        <w:trPr>
          <w:jc w:val="center"/>
        </w:trPr>
        <w:tc>
          <w:tcPr>
            <w:tcW w:w="2439" w:type="dxa"/>
          </w:tcPr>
          <w:p w14:paraId="5EE801D6" w14:textId="77777777" w:rsidR="00AD548A" w:rsidRDefault="00AD548A">
            <w:pPr>
              <w:widowControl/>
              <w:spacing w:after="160" w:line="240" w:lineRule="auto"/>
              <w:ind w:firstLineChars="0" w:firstLine="0"/>
              <w:rPr>
                <w:rFonts w:eastAsiaTheme="minorEastAsia"/>
                <w:kern w:val="2"/>
                <w:szCs w:val="24"/>
              </w:rPr>
            </w:pPr>
          </w:p>
        </w:tc>
        <w:tc>
          <w:tcPr>
            <w:tcW w:w="1814" w:type="dxa"/>
          </w:tcPr>
          <w:p w14:paraId="059B44B0"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 xml:space="preserve">Informational </w:t>
            </w:r>
          </w:p>
        </w:tc>
        <w:tc>
          <w:tcPr>
            <w:tcW w:w="6662" w:type="dxa"/>
          </w:tcPr>
          <w:p w14:paraId="30A6D487"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 xml:space="preserve">A stronger party has desired information or expertise </w:t>
            </w:r>
          </w:p>
        </w:tc>
      </w:tr>
      <w:tr w:rsidR="00AD548A" w14:paraId="542826C3" w14:textId="77777777">
        <w:trPr>
          <w:jc w:val="center"/>
        </w:trPr>
        <w:tc>
          <w:tcPr>
            <w:tcW w:w="2439" w:type="dxa"/>
          </w:tcPr>
          <w:p w14:paraId="6638C3F7" w14:textId="77777777" w:rsidR="00AD548A" w:rsidRDefault="00AD548A">
            <w:pPr>
              <w:widowControl/>
              <w:spacing w:after="160" w:line="240" w:lineRule="auto"/>
              <w:ind w:firstLineChars="0" w:firstLine="0"/>
              <w:rPr>
                <w:rFonts w:eastAsiaTheme="minorEastAsia"/>
                <w:kern w:val="2"/>
                <w:szCs w:val="24"/>
              </w:rPr>
            </w:pPr>
          </w:p>
        </w:tc>
        <w:tc>
          <w:tcPr>
            <w:tcW w:w="1814" w:type="dxa"/>
          </w:tcPr>
          <w:p w14:paraId="2AC2C428"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Referent</w:t>
            </w:r>
          </w:p>
        </w:tc>
        <w:tc>
          <w:tcPr>
            <w:tcW w:w="6662" w:type="dxa"/>
          </w:tcPr>
          <w:p w14:paraId="0CEBFBD1"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The weaker party desires to be identified by the stronger party</w:t>
            </w:r>
          </w:p>
        </w:tc>
      </w:tr>
      <w:tr w:rsidR="00AD548A" w14:paraId="34436AA2" w14:textId="77777777">
        <w:trPr>
          <w:jc w:val="center"/>
        </w:trPr>
        <w:tc>
          <w:tcPr>
            <w:tcW w:w="2439" w:type="dxa"/>
          </w:tcPr>
          <w:p w14:paraId="2363FCA1" w14:textId="77777777" w:rsidR="00AD548A" w:rsidRDefault="00AD548A">
            <w:pPr>
              <w:widowControl/>
              <w:spacing w:after="160" w:line="240" w:lineRule="auto"/>
              <w:ind w:firstLineChars="0" w:firstLine="0"/>
              <w:rPr>
                <w:rFonts w:eastAsiaTheme="minorEastAsia"/>
                <w:kern w:val="2"/>
                <w:szCs w:val="24"/>
              </w:rPr>
            </w:pPr>
          </w:p>
        </w:tc>
        <w:tc>
          <w:tcPr>
            <w:tcW w:w="1814" w:type="dxa"/>
          </w:tcPr>
          <w:p w14:paraId="4DDF74A5"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 xml:space="preserve">Legitimate </w:t>
            </w:r>
          </w:p>
        </w:tc>
        <w:tc>
          <w:tcPr>
            <w:tcW w:w="6662" w:type="dxa"/>
          </w:tcPr>
          <w:p w14:paraId="108AB4B6" w14:textId="77777777" w:rsidR="00AD548A" w:rsidRDefault="00000000">
            <w:pPr>
              <w:widowControl/>
              <w:spacing w:after="160" w:line="240" w:lineRule="auto"/>
              <w:ind w:firstLineChars="0" w:firstLine="0"/>
              <w:rPr>
                <w:rFonts w:eastAsiaTheme="minorEastAsia"/>
                <w:kern w:val="2"/>
                <w:szCs w:val="24"/>
              </w:rPr>
            </w:pPr>
            <w:r>
              <w:rPr>
                <w:rFonts w:eastAsiaTheme="minorEastAsia"/>
                <w:kern w:val="2"/>
                <w:szCs w:val="24"/>
              </w:rPr>
              <w:t>The weaker party believes that, the stronger party has the natural right to exert influences</w:t>
            </w:r>
          </w:p>
        </w:tc>
      </w:tr>
    </w:tbl>
    <w:p w14:paraId="195E8B64" w14:textId="77777777" w:rsidR="00AD548A" w:rsidRDefault="00000000">
      <w:pPr>
        <w:widowControl/>
        <w:spacing w:after="160" w:line="240" w:lineRule="auto"/>
        <w:ind w:firstLineChars="0" w:firstLine="0"/>
        <w:jc w:val="center"/>
        <w:rPr>
          <w:rFonts w:eastAsiaTheme="minorEastAsia"/>
          <w:kern w:val="2"/>
          <w:sz w:val="20"/>
          <w:szCs w:val="20"/>
        </w:rPr>
      </w:pPr>
      <w:r>
        <w:rPr>
          <w:rFonts w:eastAsiaTheme="minorEastAsia"/>
          <w:kern w:val="2"/>
          <w:sz w:val="20"/>
          <w:szCs w:val="20"/>
        </w:rPr>
        <w:t>Source: Adapted from French and Raven (1959).</w:t>
      </w:r>
    </w:p>
    <w:p w14:paraId="5B163A31" w14:textId="77777777" w:rsidR="00AD548A" w:rsidRDefault="00000000">
      <w:pPr>
        <w:jc w:val="center"/>
        <w:rPr>
          <w:b/>
          <w:bCs/>
          <w:lang w:val="en-US"/>
        </w:rPr>
      </w:pPr>
      <w:r>
        <w:br w:type="page"/>
      </w:r>
      <w:r>
        <w:rPr>
          <w:rFonts w:hint="eastAsia"/>
          <w:b/>
          <w:bCs/>
          <w:lang w:val="en-US"/>
        </w:rPr>
        <w:lastRenderedPageBreak/>
        <w:t>Table 2 Streams of power balancing tactics</w:t>
      </w:r>
    </w:p>
    <w:tbl>
      <w:tblPr>
        <w:tblStyle w:val="TableGrid"/>
        <w:tblW w:w="14174" w:type="dxa"/>
        <w:jc w:val="center"/>
        <w:tblLook w:val="04A0" w:firstRow="1" w:lastRow="0" w:firstColumn="1" w:lastColumn="0" w:noHBand="0" w:noVBand="1"/>
      </w:tblPr>
      <w:tblGrid>
        <w:gridCol w:w="2955"/>
        <w:gridCol w:w="2354"/>
        <w:gridCol w:w="6585"/>
        <w:gridCol w:w="2280"/>
      </w:tblGrid>
      <w:tr w:rsidR="00AD548A" w14:paraId="0446B564" w14:textId="77777777">
        <w:trPr>
          <w:tblHeader/>
          <w:jc w:val="center"/>
        </w:trPr>
        <w:tc>
          <w:tcPr>
            <w:tcW w:w="2955" w:type="dxa"/>
            <w:tcBorders>
              <w:top w:val="single" w:sz="12" w:space="0" w:color="auto"/>
              <w:left w:val="nil"/>
              <w:bottom w:val="single" w:sz="4" w:space="0" w:color="auto"/>
              <w:right w:val="nil"/>
            </w:tcBorders>
            <w:shd w:val="clear" w:color="auto" w:fill="CFCDCD" w:themeFill="background2" w:themeFillShade="E5"/>
            <w:vAlign w:val="center"/>
          </w:tcPr>
          <w:p w14:paraId="7EC352D9" w14:textId="77777777" w:rsidR="00AD548A" w:rsidRDefault="00000000">
            <w:pPr>
              <w:snapToGrid w:val="0"/>
              <w:spacing w:line="240" w:lineRule="auto"/>
              <w:ind w:firstLineChars="0" w:firstLine="0"/>
              <w:jc w:val="center"/>
              <w:rPr>
                <w:rStyle w:val="Strong"/>
                <w:rFonts w:ascii="Arial (Theme Body CS)" w:eastAsiaTheme="minorEastAsia" w:hAnsi="Arial (Theme Body CS)" w:hint="eastAsia"/>
                <w:szCs w:val="24"/>
                <w:lang w:val="en-US"/>
              </w:rPr>
            </w:pPr>
            <w:r>
              <w:rPr>
                <w:rStyle w:val="Strong"/>
                <w:rFonts w:ascii="Arial (Theme Body CS)" w:hAnsi="Arial (Theme Body CS)" w:hint="eastAsia"/>
                <w:szCs w:val="24"/>
                <w:lang w:val="en-US"/>
              </w:rPr>
              <w:t xml:space="preserve">Streams </w:t>
            </w:r>
          </w:p>
        </w:tc>
        <w:tc>
          <w:tcPr>
            <w:tcW w:w="2354" w:type="dxa"/>
            <w:tcBorders>
              <w:top w:val="single" w:sz="12" w:space="0" w:color="auto"/>
              <w:left w:val="nil"/>
              <w:bottom w:val="single" w:sz="4" w:space="0" w:color="auto"/>
              <w:right w:val="nil"/>
            </w:tcBorders>
            <w:shd w:val="clear" w:color="auto" w:fill="CFCDCD" w:themeFill="background2" w:themeFillShade="E5"/>
            <w:vAlign w:val="center"/>
          </w:tcPr>
          <w:p w14:paraId="264E4200" w14:textId="77777777" w:rsidR="00AD548A" w:rsidRDefault="00000000">
            <w:pPr>
              <w:snapToGrid w:val="0"/>
              <w:spacing w:line="240" w:lineRule="auto"/>
              <w:ind w:firstLineChars="0" w:firstLine="0"/>
              <w:jc w:val="center"/>
              <w:rPr>
                <w:rStyle w:val="Strong"/>
                <w:rFonts w:ascii="Arial (Theme Body CS)" w:eastAsiaTheme="minorEastAsia" w:hAnsi="Arial (Theme Body CS)" w:hint="eastAsia"/>
                <w:szCs w:val="24"/>
                <w:lang w:val="en-US"/>
              </w:rPr>
            </w:pPr>
            <w:r>
              <w:rPr>
                <w:rStyle w:val="Strong"/>
                <w:rFonts w:ascii="Arial (Theme Body CS)" w:hAnsi="Arial (Theme Body CS)" w:hint="eastAsia"/>
                <w:szCs w:val="24"/>
                <w:lang w:val="en-US"/>
              </w:rPr>
              <w:t>Tactics</w:t>
            </w:r>
          </w:p>
        </w:tc>
        <w:tc>
          <w:tcPr>
            <w:tcW w:w="6585" w:type="dxa"/>
            <w:tcBorders>
              <w:top w:val="single" w:sz="12" w:space="0" w:color="auto"/>
              <w:left w:val="nil"/>
              <w:bottom w:val="single" w:sz="4" w:space="0" w:color="auto"/>
              <w:right w:val="nil"/>
            </w:tcBorders>
            <w:shd w:val="clear" w:color="auto" w:fill="CFCDCD" w:themeFill="background2" w:themeFillShade="E5"/>
            <w:vAlign w:val="center"/>
          </w:tcPr>
          <w:p w14:paraId="2346B485" w14:textId="77777777" w:rsidR="00AD548A" w:rsidRDefault="00000000">
            <w:pPr>
              <w:snapToGrid w:val="0"/>
              <w:spacing w:line="240" w:lineRule="auto"/>
              <w:ind w:firstLineChars="0" w:firstLine="0"/>
              <w:jc w:val="center"/>
              <w:rPr>
                <w:rStyle w:val="Strong"/>
                <w:rFonts w:ascii="Arial (Theme Body CS)" w:eastAsiaTheme="minorEastAsia" w:hAnsi="Arial (Theme Body CS)" w:hint="eastAsia"/>
                <w:szCs w:val="24"/>
                <w:lang w:val="en-US"/>
              </w:rPr>
            </w:pPr>
            <w:r>
              <w:rPr>
                <w:rStyle w:val="Strong"/>
                <w:rFonts w:ascii="Arial (Theme Body CS)" w:hAnsi="Arial (Theme Body CS)" w:hint="eastAsia"/>
                <w:szCs w:val="24"/>
                <w:lang w:val="en-US"/>
              </w:rPr>
              <w:t>Specific practices</w:t>
            </w:r>
          </w:p>
        </w:tc>
        <w:tc>
          <w:tcPr>
            <w:tcW w:w="2280" w:type="dxa"/>
            <w:tcBorders>
              <w:top w:val="single" w:sz="12" w:space="0" w:color="auto"/>
              <w:left w:val="nil"/>
              <w:bottom w:val="single" w:sz="4" w:space="0" w:color="auto"/>
              <w:right w:val="nil"/>
            </w:tcBorders>
            <w:shd w:val="clear" w:color="auto" w:fill="CFCDCD" w:themeFill="background2" w:themeFillShade="E5"/>
            <w:vAlign w:val="center"/>
          </w:tcPr>
          <w:p w14:paraId="6A8826D5" w14:textId="77777777" w:rsidR="00AD548A" w:rsidRDefault="00000000">
            <w:pPr>
              <w:snapToGrid w:val="0"/>
              <w:spacing w:line="240" w:lineRule="auto"/>
              <w:ind w:firstLineChars="0" w:firstLine="0"/>
              <w:jc w:val="center"/>
              <w:rPr>
                <w:rStyle w:val="Strong"/>
                <w:rFonts w:ascii="Arial (Theme Body CS)" w:eastAsiaTheme="minorEastAsia" w:hAnsi="Arial (Theme Body CS)" w:hint="eastAsia"/>
                <w:szCs w:val="24"/>
                <w:lang w:val="en-US"/>
              </w:rPr>
            </w:pPr>
            <w:r>
              <w:rPr>
                <w:rStyle w:val="Strong"/>
                <w:rFonts w:ascii="Arial (Theme Body CS)" w:hAnsi="Arial (Theme Body CS)" w:hint="eastAsia"/>
                <w:szCs w:val="24"/>
                <w:lang w:val="en-US"/>
              </w:rPr>
              <w:t>Studies (e.g.)</w:t>
            </w:r>
          </w:p>
        </w:tc>
      </w:tr>
      <w:tr w:rsidR="00AD548A" w14:paraId="65068D2F" w14:textId="77777777">
        <w:trPr>
          <w:jc w:val="center"/>
        </w:trPr>
        <w:tc>
          <w:tcPr>
            <w:tcW w:w="2955" w:type="dxa"/>
            <w:vMerge w:val="restart"/>
            <w:tcBorders>
              <w:top w:val="single" w:sz="4" w:space="0" w:color="auto"/>
              <w:left w:val="nil"/>
              <w:bottom w:val="nil"/>
              <w:right w:val="nil"/>
            </w:tcBorders>
            <w:vAlign w:val="center"/>
          </w:tcPr>
          <w:p w14:paraId="27A9620B"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hint="eastAsia"/>
                <w:b w:val="0"/>
                <w:bCs/>
                <w:szCs w:val="24"/>
                <w:lang w:val="en-US"/>
              </w:rPr>
              <w:t>I</w:t>
            </w:r>
            <w:r>
              <w:rPr>
                <w:rStyle w:val="Strong"/>
                <w:rFonts w:ascii="Arial (Theme Body CS)" w:hAnsi="Arial (Theme Body CS)"/>
                <w:b w:val="0"/>
                <w:bCs/>
                <w:szCs w:val="24"/>
              </w:rPr>
              <w:t>nternally-focused relational tactics</w:t>
            </w:r>
          </w:p>
        </w:tc>
        <w:tc>
          <w:tcPr>
            <w:tcW w:w="2354" w:type="dxa"/>
            <w:tcBorders>
              <w:top w:val="single" w:sz="4" w:space="0" w:color="auto"/>
              <w:left w:val="nil"/>
              <w:bottom w:val="nil"/>
              <w:right w:val="nil"/>
            </w:tcBorders>
            <w:vAlign w:val="center"/>
          </w:tcPr>
          <w:p w14:paraId="282319FD"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Developing Expertise and Specialization</w:t>
            </w:r>
          </w:p>
        </w:tc>
        <w:tc>
          <w:tcPr>
            <w:tcW w:w="6585" w:type="dxa"/>
            <w:tcBorders>
              <w:top w:val="single" w:sz="4" w:space="0" w:color="auto"/>
              <w:left w:val="nil"/>
              <w:bottom w:val="nil"/>
              <w:right w:val="nil"/>
            </w:tcBorders>
            <w:vAlign w:val="center"/>
          </w:tcPr>
          <w:p w14:paraId="65A8B827"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Cultivating unique skills or technological capabilities to enhance expert power and reduce replaceability</w:t>
            </w:r>
          </w:p>
        </w:tc>
        <w:tc>
          <w:tcPr>
            <w:tcW w:w="2280" w:type="dxa"/>
            <w:tcBorders>
              <w:top w:val="single" w:sz="4" w:space="0" w:color="auto"/>
              <w:left w:val="nil"/>
              <w:bottom w:val="nil"/>
              <w:right w:val="nil"/>
            </w:tcBorders>
            <w:vAlign w:val="center"/>
          </w:tcPr>
          <w:p w14:paraId="14ADA7AE"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(Lacoste and Johnsen, 2015; Cowan et al., 2015</w:t>
            </w:r>
            <w:r>
              <w:rPr>
                <w:rStyle w:val="Strong"/>
                <w:rFonts w:ascii="Arial (Theme Body CS)" w:hAnsi="Arial (Theme Body CS)" w:hint="eastAsia"/>
                <w:b w:val="0"/>
                <w:bCs/>
                <w:szCs w:val="24"/>
                <w:lang w:val="en-US"/>
              </w:rPr>
              <w:t xml:space="preserve">; </w:t>
            </w:r>
            <w:r>
              <w:rPr>
                <w:rStyle w:val="Strong"/>
                <w:rFonts w:ascii="Arial (Theme Body CS)" w:hAnsi="Arial (Theme Body CS)"/>
                <w:b w:val="0"/>
                <w:szCs w:val="24"/>
                <w:lang w:val="en-US"/>
              </w:rPr>
              <w:t>Siemieniako</w:t>
            </w:r>
            <w:r>
              <w:rPr>
                <w:rStyle w:val="Strong"/>
                <w:rFonts w:ascii="Arial (Theme Body CS)" w:hAnsi="Arial (Theme Body CS)" w:hint="eastAsia"/>
                <w:b w:val="0"/>
                <w:szCs w:val="24"/>
                <w:lang w:val="en-US"/>
              </w:rPr>
              <w:t xml:space="preserve"> et al., 2025</w:t>
            </w:r>
            <w:r>
              <w:rPr>
                <w:rStyle w:val="Strong"/>
                <w:rFonts w:ascii="Arial (Theme Body CS)" w:hAnsi="Arial (Theme Body CS)"/>
                <w:b w:val="0"/>
                <w:bCs/>
                <w:szCs w:val="24"/>
              </w:rPr>
              <w:t>)</w:t>
            </w:r>
          </w:p>
        </w:tc>
      </w:tr>
      <w:tr w:rsidR="00AD548A" w14:paraId="600A5F9B" w14:textId="77777777">
        <w:trPr>
          <w:jc w:val="center"/>
        </w:trPr>
        <w:tc>
          <w:tcPr>
            <w:tcW w:w="2955" w:type="dxa"/>
            <w:vMerge/>
            <w:tcBorders>
              <w:top w:val="nil"/>
              <w:left w:val="nil"/>
              <w:bottom w:val="nil"/>
              <w:right w:val="nil"/>
            </w:tcBorders>
            <w:vAlign w:val="center"/>
          </w:tcPr>
          <w:p w14:paraId="47632F26" w14:textId="77777777" w:rsidR="00AD548A" w:rsidRDefault="00AD548A">
            <w:pPr>
              <w:snapToGrid w:val="0"/>
              <w:spacing w:line="240" w:lineRule="auto"/>
              <w:ind w:firstLineChars="0" w:firstLine="0"/>
              <w:jc w:val="left"/>
              <w:rPr>
                <w:rStyle w:val="Strong"/>
                <w:rFonts w:ascii="Arial (Theme Body CS)" w:hAnsi="Arial (Theme Body CS)" w:hint="eastAsia"/>
                <w:b w:val="0"/>
                <w:bCs/>
                <w:szCs w:val="24"/>
              </w:rPr>
            </w:pPr>
          </w:p>
        </w:tc>
        <w:tc>
          <w:tcPr>
            <w:tcW w:w="2354" w:type="dxa"/>
            <w:tcBorders>
              <w:top w:val="nil"/>
              <w:left w:val="nil"/>
              <w:bottom w:val="nil"/>
              <w:right w:val="nil"/>
            </w:tcBorders>
            <w:vAlign w:val="center"/>
          </w:tcPr>
          <w:p w14:paraId="43148DEF"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Adopting Key Account Management</w:t>
            </w:r>
          </w:p>
        </w:tc>
        <w:tc>
          <w:tcPr>
            <w:tcW w:w="6585" w:type="dxa"/>
            <w:tcBorders>
              <w:top w:val="nil"/>
              <w:left w:val="nil"/>
              <w:bottom w:val="nil"/>
              <w:right w:val="nil"/>
            </w:tcBorders>
            <w:vAlign w:val="center"/>
          </w:tcPr>
          <w:p w14:paraId="0695EE75"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 xml:space="preserve">Tailoring services and building deep, strategic relationships with powerful buyers to create switching costs and foster interdependence </w:t>
            </w:r>
          </w:p>
        </w:tc>
        <w:tc>
          <w:tcPr>
            <w:tcW w:w="2280" w:type="dxa"/>
            <w:tcBorders>
              <w:top w:val="nil"/>
              <w:left w:val="nil"/>
              <w:bottom w:val="nil"/>
              <w:right w:val="nil"/>
            </w:tcBorders>
            <w:vAlign w:val="center"/>
          </w:tcPr>
          <w:p w14:paraId="40E9AFCF"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(Meehan and Wright, 2012</w:t>
            </w:r>
            <w:r>
              <w:rPr>
                <w:rStyle w:val="Strong"/>
                <w:rFonts w:ascii="Arial (Theme Body CS)" w:hAnsi="Arial (Theme Body CS)" w:hint="eastAsia"/>
                <w:b w:val="0"/>
                <w:bCs/>
                <w:szCs w:val="24"/>
                <w:lang w:val="en-US"/>
              </w:rPr>
              <w:t xml:space="preserve">; </w:t>
            </w:r>
            <w:r>
              <w:rPr>
                <w:rStyle w:val="Strong"/>
                <w:rFonts w:ascii="Arial (Theme Body CS)" w:hAnsi="Arial (Theme Body CS)"/>
                <w:b w:val="0"/>
              </w:rPr>
              <w:t>Mitręga</w:t>
            </w:r>
            <w:r>
              <w:rPr>
                <w:rStyle w:val="Strong"/>
                <w:rFonts w:ascii="Arial (Theme Body CS)" w:hAnsi="Arial (Theme Body CS)" w:hint="eastAsia"/>
                <w:b w:val="0"/>
                <w:lang w:val="en-US"/>
              </w:rPr>
              <w:t>, 2023</w:t>
            </w:r>
            <w:r>
              <w:rPr>
                <w:rStyle w:val="Strong"/>
                <w:rFonts w:ascii="Arial (Theme Body CS)" w:hAnsi="Arial (Theme Body CS)"/>
                <w:b w:val="0"/>
                <w:bCs/>
                <w:szCs w:val="24"/>
              </w:rPr>
              <w:t>)</w:t>
            </w:r>
          </w:p>
        </w:tc>
      </w:tr>
      <w:tr w:rsidR="00AD548A" w14:paraId="6D4E9547" w14:textId="77777777">
        <w:trPr>
          <w:jc w:val="center"/>
        </w:trPr>
        <w:tc>
          <w:tcPr>
            <w:tcW w:w="2955" w:type="dxa"/>
            <w:vMerge/>
            <w:tcBorders>
              <w:top w:val="nil"/>
              <w:left w:val="nil"/>
              <w:bottom w:val="nil"/>
              <w:right w:val="nil"/>
            </w:tcBorders>
            <w:vAlign w:val="center"/>
          </w:tcPr>
          <w:p w14:paraId="09029B1F" w14:textId="77777777" w:rsidR="00AD548A" w:rsidRDefault="00AD548A">
            <w:pPr>
              <w:snapToGrid w:val="0"/>
              <w:spacing w:line="240" w:lineRule="auto"/>
              <w:ind w:firstLineChars="0" w:firstLine="0"/>
              <w:jc w:val="left"/>
              <w:rPr>
                <w:rStyle w:val="Strong"/>
                <w:rFonts w:ascii="Arial (Theme Body CS)" w:hAnsi="Arial (Theme Body CS)" w:hint="eastAsia"/>
                <w:b w:val="0"/>
                <w:bCs/>
                <w:szCs w:val="24"/>
              </w:rPr>
            </w:pPr>
          </w:p>
        </w:tc>
        <w:tc>
          <w:tcPr>
            <w:tcW w:w="2354" w:type="dxa"/>
            <w:tcBorders>
              <w:top w:val="nil"/>
              <w:left w:val="nil"/>
              <w:bottom w:val="nil"/>
              <w:right w:val="nil"/>
            </w:tcBorders>
            <w:vAlign w:val="center"/>
          </w:tcPr>
          <w:p w14:paraId="4405B79F"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Improving Service Performance</w:t>
            </w:r>
          </w:p>
        </w:tc>
        <w:tc>
          <w:tcPr>
            <w:tcW w:w="6585" w:type="dxa"/>
            <w:tcBorders>
              <w:top w:val="nil"/>
              <w:left w:val="nil"/>
              <w:bottom w:val="nil"/>
              <w:right w:val="nil"/>
            </w:tcBorders>
            <w:vAlign w:val="center"/>
          </w:tcPr>
          <w:p w14:paraId="2A6233EB"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 xml:space="preserve">Shifting from a product-centric approach to integrating with the buyer's business processes, thereby building a competitive barrier </w:t>
            </w:r>
          </w:p>
        </w:tc>
        <w:tc>
          <w:tcPr>
            <w:tcW w:w="2280" w:type="dxa"/>
            <w:tcBorders>
              <w:top w:val="nil"/>
              <w:left w:val="nil"/>
              <w:bottom w:val="nil"/>
              <w:right w:val="nil"/>
            </w:tcBorders>
            <w:vAlign w:val="center"/>
          </w:tcPr>
          <w:p w14:paraId="146E7A18"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(Scholten and Schilder, 2015</w:t>
            </w:r>
            <w:r>
              <w:rPr>
                <w:rStyle w:val="Strong"/>
                <w:rFonts w:ascii="Arial (Theme Body CS)" w:hAnsi="Arial (Theme Body CS)" w:hint="eastAsia"/>
                <w:b w:val="0"/>
                <w:bCs/>
                <w:szCs w:val="24"/>
                <w:lang w:val="en-US"/>
              </w:rPr>
              <w:t>; Mani et al., 2025</w:t>
            </w:r>
            <w:r>
              <w:rPr>
                <w:rStyle w:val="Strong"/>
                <w:rFonts w:ascii="Arial (Theme Body CS)" w:hAnsi="Arial (Theme Body CS)"/>
                <w:b w:val="0"/>
                <w:bCs/>
                <w:szCs w:val="24"/>
              </w:rPr>
              <w:t>)</w:t>
            </w:r>
          </w:p>
        </w:tc>
      </w:tr>
      <w:tr w:rsidR="00AD548A" w14:paraId="4D59A164" w14:textId="77777777">
        <w:trPr>
          <w:jc w:val="center"/>
        </w:trPr>
        <w:tc>
          <w:tcPr>
            <w:tcW w:w="2955" w:type="dxa"/>
            <w:vMerge w:val="restart"/>
            <w:tcBorders>
              <w:top w:val="nil"/>
              <w:left w:val="nil"/>
              <w:bottom w:val="nil"/>
              <w:right w:val="nil"/>
            </w:tcBorders>
            <w:vAlign w:val="center"/>
          </w:tcPr>
          <w:p w14:paraId="7AC1A539"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hint="eastAsia"/>
                <w:b w:val="0"/>
                <w:bCs/>
                <w:szCs w:val="24"/>
                <w:lang w:val="en-US"/>
              </w:rPr>
              <w:t>E</w:t>
            </w:r>
            <w:r>
              <w:rPr>
                <w:rStyle w:val="Strong"/>
                <w:rFonts w:ascii="Arial (Theme Body CS)" w:hAnsi="Arial (Theme Body CS)"/>
                <w:b w:val="0"/>
                <w:bCs/>
                <w:szCs w:val="24"/>
              </w:rPr>
              <w:t>xternally-focused networking and portfolio tactics</w:t>
            </w:r>
          </w:p>
        </w:tc>
        <w:tc>
          <w:tcPr>
            <w:tcW w:w="2354" w:type="dxa"/>
            <w:tcBorders>
              <w:top w:val="nil"/>
              <w:left w:val="nil"/>
              <w:bottom w:val="nil"/>
              <w:right w:val="nil"/>
            </w:tcBorders>
            <w:vAlign w:val="center"/>
          </w:tcPr>
          <w:p w14:paraId="71EC7337"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Reducing Dependency</w:t>
            </w:r>
          </w:p>
        </w:tc>
        <w:tc>
          <w:tcPr>
            <w:tcW w:w="6585" w:type="dxa"/>
            <w:tcBorders>
              <w:top w:val="nil"/>
              <w:left w:val="nil"/>
              <w:bottom w:val="nil"/>
              <w:right w:val="nil"/>
            </w:tcBorders>
            <w:vAlign w:val="center"/>
          </w:tcPr>
          <w:p w14:paraId="170CFA65"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 xml:space="preserve">Diversifying the customer base or product offerings to lessen reliance on a dominant buyer </w:t>
            </w:r>
          </w:p>
        </w:tc>
        <w:tc>
          <w:tcPr>
            <w:tcW w:w="2280" w:type="dxa"/>
            <w:tcBorders>
              <w:top w:val="nil"/>
              <w:left w:val="nil"/>
              <w:bottom w:val="nil"/>
              <w:right w:val="nil"/>
            </w:tcBorders>
            <w:vAlign w:val="center"/>
          </w:tcPr>
          <w:p w14:paraId="67EEC071"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(Rehme et al., 2016; Cowan et al., 2015)</w:t>
            </w:r>
          </w:p>
        </w:tc>
      </w:tr>
      <w:tr w:rsidR="00AD548A" w14:paraId="26D10ECA" w14:textId="77777777">
        <w:trPr>
          <w:jc w:val="center"/>
        </w:trPr>
        <w:tc>
          <w:tcPr>
            <w:tcW w:w="2955" w:type="dxa"/>
            <w:vMerge/>
            <w:tcBorders>
              <w:top w:val="nil"/>
              <w:left w:val="nil"/>
              <w:bottom w:val="nil"/>
              <w:right w:val="nil"/>
            </w:tcBorders>
            <w:vAlign w:val="center"/>
          </w:tcPr>
          <w:p w14:paraId="02915A37" w14:textId="77777777" w:rsidR="00AD548A" w:rsidRDefault="00AD548A">
            <w:pPr>
              <w:snapToGrid w:val="0"/>
              <w:spacing w:line="240" w:lineRule="auto"/>
              <w:ind w:firstLineChars="0" w:firstLine="0"/>
              <w:jc w:val="left"/>
              <w:rPr>
                <w:rStyle w:val="Strong"/>
                <w:rFonts w:ascii="Arial (Theme Body CS)" w:hAnsi="Arial (Theme Body CS)" w:hint="eastAsia"/>
                <w:b w:val="0"/>
                <w:bCs/>
                <w:szCs w:val="24"/>
              </w:rPr>
            </w:pPr>
          </w:p>
        </w:tc>
        <w:tc>
          <w:tcPr>
            <w:tcW w:w="2354" w:type="dxa"/>
            <w:tcBorders>
              <w:top w:val="nil"/>
              <w:left w:val="nil"/>
              <w:bottom w:val="nil"/>
              <w:right w:val="nil"/>
            </w:tcBorders>
            <w:vAlign w:val="center"/>
          </w:tcPr>
          <w:p w14:paraId="1D3E9E24"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Building Coalition Power</w:t>
            </w:r>
          </w:p>
        </w:tc>
        <w:tc>
          <w:tcPr>
            <w:tcW w:w="6585" w:type="dxa"/>
            <w:tcBorders>
              <w:top w:val="nil"/>
              <w:left w:val="nil"/>
              <w:bottom w:val="nil"/>
              <w:right w:val="nil"/>
            </w:tcBorders>
            <w:vAlign w:val="center"/>
          </w:tcPr>
          <w:p w14:paraId="06457A5D"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Forming alliances with other suppliers or engaging with professional associations to amplify influence</w:t>
            </w:r>
          </w:p>
        </w:tc>
        <w:tc>
          <w:tcPr>
            <w:tcW w:w="2280" w:type="dxa"/>
            <w:tcBorders>
              <w:top w:val="nil"/>
              <w:left w:val="nil"/>
              <w:bottom w:val="nil"/>
              <w:right w:val="nil"/>
            </w:tcBorders>
            <w:vAlign w:val="center"/>
          </w:tcPr>
          <w:p w14:paraId="3273FD81"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(Mitręga and Choi, 2021)</w:t>
            </w:r>
          </w:p>
        </w:tc>
      </w:tr>
      <w:tr w:rsidR="00AD548A" w14:paraId="0325FCC8" w14:textId="77777777">
        <w:trPr>
          <w:jc w:val="center"/>
        </w:trPr>
        <w:tc>
          <w:tcPr>
            <w:tcW w:w="2955" w:type="dxa"/>
            <w:vMerge/>
            <w:tcBorders>
              <w:top w:val="nil"/>
              <w:left w:val="nil"/>
              <w:bottom w:val="single" w:sz="12" w:space="0" w:color="auto"/>
              <w:right w:val="nil"/>
            </w:tcBorders>
            <w:vAlign w:val="center"/>
          </w:tcPr>
          <w:p w14:paraId="3D311574" w14:textId="77777777" w:rsidR="00AD548A" w:rsidRDefault="00AD548A">
            <w:pPr>
              <w:snapToGrid w:val="0"/>
              <w:spacing w:line="240" w:lineRule="auto"/>
              <w:ind w:firstLineChars="0" w:firstLine="0"/>
              <w:jc w:val="left"/>
              <w:rPr>
                <w:rStyle w:val="Strong"/>
                <w:rFonts w:ascii="Arial (Theme Body CS)" w:hAnsi="Arial (Theme Body CS)" w:hint="eastAsia"/>
                <w:b w:val="0"/>
                <w:bCs/>
                <w:szCs w:val="24"/>
              </w:rPr>
            </w:pPr>
          </w:p>
        </w:tc>
        <w:tc>
          <w:tcPr>
            <w:tcW w:w="2354" w:type="dxa"/>
            <w:tcBorders>
              <w:top w:val="nil"/>
              <w:left w:val="nil"/>
              <w:bottom w:val="single" w:sz="12" w:space="0" w:color="auto"/>
              <w:right w:val="nil"/>
            </w:tcBorders>
            <w:vAlign w:val="center"/>
          </w:tcPr>
          <w:p w14:paraId="1F10D437"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 xml:space="preserve">Leveraging a Purchasing Portfolio </w:t>
            </w:r>
          </w:p>
        </w:tc>
        <w:tc>
          <w:tcPr>
            <w:tcW w:w="6585" w:type="dxa"/>
            <w:tcBorders>
              <w:top w:val="nil"/>
              <w:left w:val="nil"/>
              <w:bottom w:val="single" w:sz="12" w:space="0" w:color="auto"/>
              <w:right w:val="nil"/>
            </w:tcBorders>
            <w:vAlign w:val="center"/>
          </w:tcPr>
          <w:p w14:paraId="63AA09FC"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From the buyer's perspective, this approach maintains competition among suppliers, a dynamic that weaker suppliers can attempt to navigate by positioning themselves strategically</w:t>
            </w:r>
          </w:p>
        </w:tc>
        <w:tc>
          <w:tcPr>
            <w:tcW w:w="2280" w:type="dxa"/>
            <w:tcBorders>
              <w:top w:val="nil"/>
              <w:left w:val="nil"/>
              <w:bottom w:val="single" w:sz="12" w:space="0" w:color="auto"/>
              <w:right w:val="nil"/>
            </w:tcBorders>
            <w:vAlign w:val="center"/>
          </w:tcPr>
          <w:p w14:paraId="0D4DF7BE" w14:textId="77777777" w:rsidR="00AD548A" w:rsidRDefault="00000000">
            <w:pPr>
              <w:snapToGrid w:val="0"/>
              <w:spacing w:line="240" w:lineRule="auto"/>
              <w:ind w:firstLineChars="0" w:firstLine="0"/>
              <w:jc w:val="left"/>
              <w:rPr>
                <w:rStyle w:val="Strong"/>
                <w:rFonts w:ascii="Arial (Theme Body CS)" w:hAnsi="Arial (Theme Body CS)" w:hint="eastAsia"/>
                <w:b w:val="0"/>
                <w:bCs/>
                <w:szCs w:val="24"/>
              </w:rPr>
            </w:pPr>
            <w:r>
              <w:rPr>
                <w:rStyle w:val="Strong"/>
                <w:rFonts w:ascii="Arial (Theme Body CS)" w:hAnsi="Arial (Theme Body CS)"/>
                <w:b w:val="0"/>
                <w:bCs/>
                <w:szCs w:val="24"/>
              </w:rPr>
              <w:t>(Han et al., 2024)</w:t>
            </w:r>
          </w:p>
        </w:tc>
      </w:tr>
    </w:tbl>
    <w:p w14:paraId="635F4671" w14:textId="77777777" w:rsidR="00AD548A" w:rsidRDefault="00AD548A">
      <w:pPr>
        <w:widowControl/>
        <w:spacing w:line="240" w:lineRule="auto"/>
        <w:ind w:firstLineChars="0" w:firstLine="0"/>
        <w:jc w:val="left"/>
        <w:sectPr w:rsidR="00AD548A">
          <w:pgSz w:w="16838" w:h="11906" w:orient="landscape"/>
          <w:pgMar w:top="1797" w:right="1440" w:bottom="1797" w:left="1440" w:header="851" w:footer="992" w:gutter="0"/>
          <w:cols w:space="425"/>
          <w:docGrid w:linePitch="312"/>
        </w:sectPr>
      </w:pPr>
    </w:p>
    <w:p w14:paraId="591E4953" w14:textId="77777777" w:rsidR="00AD548A" w:rsidRDefault="00000000">
      <w:pPr>
        <w:widowControl/>
        <w:spacing w:after="160" w:line="240" w:lineRule="auto"/>
        <w:ind w:firstLineChars="0" w:firstLine="0"/>
        <w:jc w:val="center"/>
        <w:rPr>
          <w:rFonts w:eastAsiaTheme="minorEastAsia"/>
          <w:b/>
          <w:bCs/>
          <w:kern w:val="2"/>
          <w:szCs w:val="24"/>
        </w:rPr>
      </w:pPr>
      <w:r>
        <w:rPr>
          <w:rFonts w:eastAsiaTheme="minorEastAsia" w:hint="eastAsia"/>
          <w:b/>
          <w:bCs/>
          <w:kern w:val="2"/>
          <w:szCs w:val="24"/>
        </w:rPr>
        <w:lastRenderedPageBreak/>
        <w:t>Figures</w:t>
      </w:r>
    </w:p>
    <w:p w14:paraId="79EFD1B0" w14:textId="77777777" w:rsidR="00AD548A" w:rsidRDefault="00AD548A">
      <w:pPr>
        <w:widowControl/>
        <w:spacing w:after="160" w:line="240" w:lineRule="auto"/>
        <w:ind w:firstLineChars="0" w:firstLine="0"/>
        <w:jc w:val="center"/>
        <w:rPr>
          <w:rFonts w:eastAsiaTheme="minorEastAsia"/>
          <w:b/>
          <w:bCs/>
          <w:kern w:val="2"/>
          <w:szCs w:val="24"/>
        </w:rPr>
      </w:pPr>
    </w:p>
    <w:p w14:paraId="004C334B" w14:textId="77777777" w:rsidR="00AD548A" w:rsidRDefault="00000000">
      <w:pPr>
        <w:widowControl/>
        <w:spacing w:after="160" w:line="240" w:lineRule="auto"/>
        <w:ind w:firstLineChars="0" w:firstLine="0"/>
        <w:jc w:val="center"/>
        <w:rPr>
          <w:rFonts w:eastAsiaTheme="minorEastAsia"/>
          <w:b/>
          <w:bCs/>
          <w:kern w:val="2"/>
          <w:szCs w:val="24"/>
        </w:rPr>
      </w:pPr>
      <w:r>
        <w:rPr>
          <w:rFonts w:eastAsiaTheme="minorEastAsia" w:hint="eastAsia"/>
          <w:b/>
          <w:bCs/>
          <w:kern w:val="2"/>
          <w:szCs w:val="24"/>
        </w:rPr>
        <w:t>Figure 1 Data structure</w:t>
      </w:r>
    </w:p>
    <w:p w14:paraId="06587C85" w14:textId="77777777" w:rsidR="00AD548A" w:rsidRDefault="00000000">
      <w:pPr>
        <w:widowControl/>
        <w:spacing w:after="160" w:line="240" w:lineRule="auto"/>
        <w:ind w:firstLineChars="0" w:firstLine="0"/>
        <w:jc w:val="center"/>
        <w:rPr>
          <w:rFonts w:eastAsiaTheme="minorEastAsia"/>
          <w:kern w:val="2"/>
          <w:sz w:val="20"/>
          <w:szCs w:val="20"/>
        </w:rPr>
      </w:pPr>
      <w:r>
        <w:rPr>
          <w:noProof/>
        </w:rPr>
        <w:drawing>
          <wp:inline distT="0" distB="0" distL="114300" distR="114300" wp14:anchorId="5AB15C82" wp14:editId="6136D286">
            <wp:extent cx="8855075" cy="4347845"/>
            <wp:effectExtent l="0" t="0" r="317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8855075" cy="4347845"/>
                    </a:xfrm>
                    <a:prstGeom prst="rect">
                      <a:avLst/>
                    </a:prstGeom>
                    <a:noFill/>
                    <a:ln>
                      <a:noFill/>
                    </a:ln>
                  </pic:spPr>
                </pic:pic>
              </a:graphicData>
            </a:graphic>
          </wp:inline>
        </w:drawing>
      </w:r>
    </w:p>
    <w:p w14:paraId="0BADBD9B" w14:textId="77777777" w:rsidR="00AD548A" w:rsidRDefault="00AD548A">
      <w:pPr>
        <w:widowControl/>
        <w:spacing w:after="160" w:line="278" w:lineRule="auto"/>
        <w:ind w:firstLineChars="0" w:firstLine="0"/>
        <w:jc w:val="left"/>
        <w:rPr>
          <w:rFonts w:eastAsiaTheme="minorEastAsia"/>
          <w:b/>
          <w:bCs/>
          <w:lang w:val="en-US"/>
        </w:rPr>
        <w:sectPr w:rsidR="00AD548A">
          <w:pgSz w:w="16838" w:h="11906" w:orient="landscape"/>
          <w:pgMar w:top="1797" w:right="1440" w:bottom="1797" w:left="1440" w:header="851" w:footer="992" w:gutter="0"/>
          <w:cols w:space="425"/>
          <w:docGrid w:linePitch="312"/>
        </w:sectPr>
      </w:pPr>
    </w:p>
    <w:p w14:paraId="234FA981" w14:textId="77777777" w:rsidR="00AD548A" w:rsidRDefault="00000000">
      <w:pPr>
        <w:widowControl/>
        <w:spacing w:after="160" w:line="240" w:lineRule="auto"/>
        <w:ind w:firstLineChars="0" w:firstLine="0"/>
        <w:jc w:val="center"/>
        <w:rPr>
          <w:rFonts w:eastAsiaTheme="minorEastAsia"/>
          <w:b/>
          <w:bCs/>
          <w:lang w:val="en-US"/>
        </w:rPr>
      </w:pPr>
      <w:r>
        <w:rPr>
          <w:rFonts w:eastAsiaTheme="minorEastAsia" w:hint="eastAsia"/>
          <w:b/>
          <w:bCs/>
          <w:lang w:val="en-US"/>
        </w:rPr>
        <w:lastRenderedPageBreak/>
        <w:t xml:space="preserve">Figure 2 </w:t>
      </w:r>
      <w:r>
        <w:rPr>
          <w:rFonts w:eastAsiaTheme="minorEastAsia"/>
          <w:b/>
          <w:bCs/>
          <w:lang w:val="en-US"/>
        </w:rPr>
        <w:t xml:space="preserve">Integrative model of institutional tactics and power dynamics </w:t>
      </w:r>
    </w:p>
    <w:p w14:paraId="42268461" w14:textId="77777777" w:rsidR="00AD548A" w:rsidRDefault="00000000">
      <w:pPr>
        <w:widowControl/>
        <w:spacing w:after="160" w:line="278" w:lineRule="auto"/>
        <w:ind w:firstLineChars="0" w:firstLine="0"/>
        <w:jc w:val="center"/>
        <w:rPr>
          <w:rFonts w:eastAsiaTheme="minorEastAsia"/>
          <w:b/>
          <w:bCs/>
          <w:lang w:val="en-US"/>
        </w:rPr>
      </w:pPr>
      <w:r>
        <w:rPr>
          <w:noProof/>
        </w:rPr>
        <w:drawing>
          <wp:anchor distT="0" distB="0" distL="114300" distR="114300" simplePos="0" relativeHeight="251659264" behindDoc="0" locked="0" layoutInCell="1" allowOverlap="1" wp14:anchorId="0F373CB8" wp14:editId="552110BF">
            <wp:simplePos x="0" y="0"/>
            <wp:positionH relativeFrom="column">
              <wp:posOffset>-836295</wp:posOffset>
            </wp:positionH>
            <wp:positionV relativeFrom="paragraph">
              <wp:posOffset>66040</wp:posOffset>
            </wp:positionV>
            <wp:extent cx="6936740" cy="5259070"/>
            <wp:effectExtent l="0" t="0" r="6985" b="825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6936740" cy="5259070"/>
                    </a:xfrm>
                    <a:prstGeom prst="rect">
                      <a:avLst/>
                    </a:prstGeom>
                    <a:noFill/>
                    <a:ln>
                      <a:noFill/>
                    </a:ln>
                  </pic:spPr>
                </pic:pic>
              </a:graphicData>
            </a:graphic>
          </wp:anchor>
        </w:drawing>
      </w:r>
    </w:p>
    <w:sectPr w:rsidR="00AD548A">
      <w:pgSz w:w="11906" w:h="16838"/>
      <w:pgMar w:top="1440" w:right="1797" w:bottom="1440" w:left="1797"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42C7A" w14:textId="77777777" w:rsidR="00BF3C4A" w:rsidRDefault="00BF3C4A">
      <w:pPr>
        <w:spacing w:line="240" w:lineRule="auto"/>
      </w:pPr>
      <w:r>
        <w:separator/>
      </w:r>
    </w:p>
  </w:endnote>
  <w:endnote w:type="continuationSeparator" w:id="0">
    <w:p w14:paraId="577E6CC5" w14:textId="77777777" w:rsidR="00BF3C4A" w:rsidRDefault="00BF3C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default"/>
    <w:sig w:usb0="00000000" w:usb1="00000000" w:usb2="00000000" w:usb3="00000000" w:csb0="000001BF" w:csb1="00000000"/>
  </w:font>
  <w:font w:name="Vrinda">
    <w:panose1 w:val="00000400000000000000"/>
    <w:charset w:val="00"/>
    <w:family w:val="swiss"/>
    <w:pitch w:val="variable"/>
    <w:sig w:usb0="00010003" w:usb1="00000000" w:usb2="00000000" w:usb3="00000000" w:csb0="00000001" w:csb1="00000000"/>
  </w:font>
  <w:font w:name="Arial (Theme Body CS)">
    <w:altName w:val="Times New Roman"/>
    <w:charset w:val="00"/>
    <w:family w:val="roman"/>
    <w:pitch w:val="default"/>
  </w:font>
  <w:font w:name="MyriadPro-Bold">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A29A" w14:textId="77777777" w:rsidR="00AD548A" w:rsidRDefault="00AD54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923505"/>
    </w:sdtPr>
    <w:sdtContent>
      <w:p w14:paraId="39FA3EFB" w14:textId="77777777" w:rsidR="00AD548A" w:rsidRDefault="00000000">
        <w:pPr>
          <w:pStyle w:val="Foo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911414"/>
    </w:sdtPr>
    <w:sdtContent>
      <w:p w14:paraId="28C7F842" w14:textId="77777777" w:rsidR="00AD548A" w:rsidRDefault="00000000">
        <w:pPr>
          <w:pStyle w:val="Footer"/>
        </w:pPr>
        <w:r>
          <w:fldChar w:fldCharType="begin"/>
        </w:r>
        <w:r>
          <w:instrText>PAGE   \* MERGEFORMAT</w:instrText>
        </w:r>
        <w:r>
          <w:fldChar w:fldCharType="separate"/>
        </w:r>
        <w:r>
          <w:rPr>
            <w:lang w:val="zh-CN" w:eastAsia="zh-CN"/>
          </w:rPr>
          <w:t>2</w:t>
        </w:r>
        <w:r>
          <w:fldChar w:fldCharType="end"/>
        </w:r>
      </w:p>
    </w:sdtContent>
  </w:sdt>
  <w:p w14:paraId="1A8BD3FC" w14:textId="77777777" w:rsidR="00AD548A" w:rsidRDefault="00AD548A">
    <w:pPr>
      <w:pStyle w:val="Footer"/>
    </w:pPr>
  </w:p>
  <w:p w14:paraId="015017C5" w14:textId="77777777" w:rsidR="00AD548A" w:rsidRDefault="00AD548A"/>
  <w:p w14:paraId="78AC98A6" w14:textId="77777777" w:rsidR="00AD548A" w:rsidRDefault="00AD54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27B63" w14:textId="77777777" w:rsidR="00BF3C4A" w:rsidRDefault="00BF3C4A">
      <w:r>
        <w:separator/>
      </w:r>
    </w:p>
  </w:footnote>
  <w:footnote w:type="continuationSeparator" w:id="0">
    <w:p w14:paraId="6EB50F69" w14:textId="77777777" w:rsidR="00BF3C4A" w:rsidRDefault="00BF3C4A">
      <w:r>
        <w:continuationSeparator/>
      </w:r>
    </w:p>
  </w:footnote>
  <w:footnote w:id="1">
    <w:p w14:paraId="1AD7184F" w14:textId="77777777" w:rsidR="00AD548A" w:rsidRDefault="00000000">
      <w:pPr>
        <w:pStyle w:val="FootnoteText"/>
        <w:ind w:firstLine="360"/>
      </w:pPr>
      <w:r>
        <w:rPr>
          <w:rStyle w:val="FootnoteReference"/>
        </w:rPr>
        <w:footnoteRef/>
      </w:r>
      <w:r>
        <w:t xml:space="preserve"> Size of the sample SMEs were selected </w:t>
      </w:r>
      <w:r>
        <w:rPr>
          <w:rFonts w:hint="eastAsia"/>
        </w:rPr>
        <w:t>according to</w:t>
      </w:r>
      <w:r>
        <w:t xml:space="preserve"> the definition of SME in China (less than 1000 employees; annual turnover less than ¥400 million (approximately USD56 million))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E4A1" w14:textId="77777777" w:rsidR="00AD548A" w:rsidRDefault="00AD54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E63B3" w14:textId="77777777" w:rsidR="00AD548A" w:rsidRDefault="00AD54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CE80"/>
    <w:multiLevelType w:val="singleLevel"/>
    <w:tmpl w:val="0966CE80"/>
    <w:lvl w:ilvl="0">
      <w:start w:val="2"/>
      <w:numFmt w:val="decimal"/>
      <w:suff w:val="space"/>
      <w:lvlText w:val="%1."/>
      <w:lvlJc w:val="left"/>
    </w:lvl>
  </w:abstractNum>
  <w:abstractNum w:abstractNumId="1" w15:restartNumberingAfterBreak="0">
    <w:nsid w:val="350B36B6"/>
    <w:multiLevelType w:val="multilevel"/>
    <w:tmpl w:val="350B36B6"/>
    <w:lvl w:ilvl="0">
      <w:start w:val="1"/>
      <w:numFmt w:val="decimal"/>
      <w:pStyle w:val="EEList-Number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E696974"/>
    <w:multiLevelType w:val="multilevel"/>
    <w:tmpl w:val="4E696974"/>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 w15:restartNumberingAfterBreak="0">
    <w:nsid w:val="703744A6"/>
    <w:multiLevelType w:val="multilevel"/>
    <w:tmpl w:val="703744A6"/>
    <w:lvl w:ilvl="0">
      <w:start w:val="1"/>
      <w:numFmt w:val="bullet"/>
      <w:pStyle w:val="EEList-Bullets"/>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8CD3129"/>
    <w:multiLevelType w:val="multilevel"/>
    <w:tmpl w:val="78CD3129"/>
    <w:lvl w:ilvl="0">
      <w:start w:val="1"/>
      <w:numFmt w:val="decimal"/>
      <w:pStyle w:val="ClientList"/>
      <w:lvlText w:val="%1."/>
      <w:lvlJc w:val="left"/>
      <w:pPr>
        <w:ind w:left="600" w:hanging="360"/>
      </w:pPr>
      <w:rPr>
        <w:rFonts w:hint="default"/>
      </w:rPr>
    </w:lvl>
    <w:lvl w:ilvl="1">
      <w:start w:val="1"/>
      <w:numFmt w:val="decimal"/>
      <w:isLgl/>
      <w:lvlText w:val="%1.%2."/>
      <w:lvlJc w:val="left"/>
      <w:pPr>
        <w:ind w:left="600" w:hanging="360"/>
      </w:pPr>
      <w:rPr>
        <w:rFonts w:hint="default"/>
      </w:rPr>
    </w:lvl>
    <w:lvl w:ilvl="2">
      <w:start w:val="1"/>
      <w:numFmt w:val="decimal"/>
      <w:isLgl/>
      <w:lvlText w:val="%1.%2.%3."/>
      <w:lvlJc w:val="left"/>
      <w:pPr>
        <w:ind w:left="960" w:hanging="720"/>
      </w:pPr>
      <w:rPr>
        <w:rFonts w:hint="default"/>
      </w:rPr>
    </w:lvl>
    <w:lvl w:ilvl="3">
      <w:start w:val="1"/>
      <w:numFmt w:val="decimal"/>
      <w:isLgl/>
      <w:lvlText w:val="%1.%2.%3.%4."/>
      <w:lvlJc w:val="left"/>
      <w:pPr>
        <w:ind w:left="960" w:hanging="72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320" w:hanging="1080"/>
      </w:pPr>
      <w:rPr>
        <w:rFonts w:hint="default"/>
      </w:rPr>
    </w:lvl>
    <w:lvl w:ilvl="6">
      <w:start w:val="1"/>
      <w:numFmt w:val="decimal"/>
      <w:isLgl/>
      <w:lvlText w:val="%1.%2.%3.%4.%5.%6.%7."/>
      <w:lvlJc w:val="left"/>
      <w:pPr>
        <w:ind w:left="1680" w:hanging="1440"/>
      </w:pPr>
      <w:rPr>
        <w:rFonts w:hint="default"/>
      </w:rPr>
    </w:lvl>
    <w:lvl w:ilvl="7">
      <w:start w:val="1"/>
      <w:numFmt w:val="decimal"/>
      <w:isLgl/>
      <w:lvlText w:val="%1.%2.%3.%4.%5.%6.%7.%8."/>
      <w:lvlJc w:val="left"/>
      <w:pPr>
        <w:ind w:left="1680" w:hanging="1440"/>
      </w:pPr>
      <w:rPr>
        <w:rFonts w:hint="default"/>
      </w:rPr>
    </w:lvl>
    <w:lvl w:ilvl="8">
      <w:start w:val="1"/>
      <w:numFmt w:val="decimal"/>
      <w:isLgl/>
      <w:lvlText w:val="%1.%2.%3.%4.%5.%6.%7.%8.%9."/>
      <w:lvlJc w:val="left"/>
      <w:pPr>
        <w:ind w:left="2040" w:hanging="1800"/>
      </w:pPr>
      <w:rPr>
        <w:rFonts w:hint="default"/>
      </w:rPr>
    </w:lvl>
  </w:abstractNum>
  <w:num w:numId="1" w16cid:durableId="408040734">
    <w:abstractNumId w:val="2"/>
  </w:num>
  <w:num w:numId="2" w16cid:durableId="690107448">
    <w:abstractNumId w:val="3"/>
  </w:num>
  <w:num w:numId="3" w16cid:durableId="1545562924">
    <w:abstractNumId w:val="1"/>
  </w:num>
  <w:num w:numId="4" w16cid:durableId="2139568109">
    <w:abstractNumId w:val="4"/>
  </w:num>
  <w:num w:numId="5" w16cid:durableId="125844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2sTSyMDW3tDA2MDVV0lEKTi0uzszPAykwN6gFAFOPAVYtAAAA"/>
  </w:docVars>
  <w:rsids>
    <w:rsidRoot w:val="00DB7EF8"/>
    <w:rsid w:val="00003155"/>
    <w:rsid w:val="000033F1"/>
    <w:rsid w:val="000064E2"/>
    <w:rsid w:val="00006A19"/>
    <w:rsid w:val="000074A1"/>
    <w:rsid w:val="00007AA6"/>
    <w:rsid w:val="00010759"/>
    <w:rsid w:val="0001174D"/>
    <w:rsid w:val="00012778"/>
    <w:rsid w:val="00013B29"/>
    <w:rsid w:val="00015BAD"/>
    <w:rsid w:val="00015C3C"/>
    <w:rsid w:val="000206EF"/>
    <w:rsid w:val="0002429A"/>
    <w:rsid w:val="00024CB2"/>
    <w:rsid w:val="000301FB"/>
    <w:rsid w:val="00030E1A"/>
    <w:rsid w:val="000312FF"/>
    <w:rsid w:val="000329D9"/>
    <w:rsid w:val="00033801"/>
    <w:rsid w:val="00034653"/>
    <w:rsid w:val="000361F1"/>
    <w:rsid w:val="000377DA"/>
    <w:rsid w:val="00040EF2"/>
    <w:rsid w:val="00042245"/>
    <w:rsid w:val="0004246E"/>
    <w:rsid w:val="00042A3F"/>
    <w:rsid w:val="00044482"/>
    <w:rsid w:val="00045462"/>
    <w:rsid w:val="00046BB0"/>
    <w:rsid w:val="0004753F"/>
    <w:rsid w:val="0005033B"/>
    <w:rsid w:val="00050786"/>
    <w:rsid w:val="00050F2A"/>
    <w:rsid w:val="0005197A"/>
    <w:rsid w:val="00051BAB"/>
    <w:rsid w:val="00052024"/>
    <w:rsid w:val="000521B0"/>
    <w:rsid w:val="00052A15"/>
    <w:rsid w:val="00054AA8"/>
    <w:rsid w:val="00055048"/>
    <w:rsid w:val="000568DF"/>
    <w:rsid w:val="00056EA0"/>
    <w:rsid w:val="000577CE"/>
    <w:rsid w:val="000578DD"/>
    <w:rsid w:val="0006011D"/>
    <w:rsid w:val="00060A34"/>
    <w:rsid w:val="00061BB2"/>
    <w:rsid w:val="00061C8A"/>
    <w:rsid w:val="00062427"/>
    <w:rsid w:val="000636FF"/>
    <w:rsid w:val="000701F6"/>
    <w:rsid w:val="00073C45"/>
    <w:rsid w:val="00074953"/>
    <w:rsid w:val="00075268"/>
    <w:rsid w:val="000773F4"/>
    <w:rsid w:val="00077954"/>
    <w:rsid w:val="000804C6"/>
    <w:rsid w:val="00081FC4"/>
    <w:rsid w:val="000836E3"/>
    <w:rsid w:val="00083750"/>
    <w:rsid w:val="00084E2B"/>
    <w:rsid w:val="0008544A"/>
    <w:rsid w:val="00086A7D"/>
    <w:rsid w:val="000911EE"/>
    <w:rsid w:val="0009348F"/>
    <w:rsid w:val="00094544"/>
    <w:rsid w:val="00096A90"/>
    <w:rsid w:val="00097200"/>
    <w:rsid w:val="00097A4A"/>
    <w:rsid w:val="000A0134"/>
    <w:rsid w:val="000A07B3"/>
    <w:rsid w:val="000A366E"/>
    <w:rsid w:val="000A39D5"/>
    <w:rsid w:val="000A414A"/>
    <w:rsid w:val="000A4832"/>
    <w:rsid w:val="000A69CB"/>
    <w:rsid w:val="000A7598"/>
    <w:rsid w:val="000B01B0"/>
    <w:rsid w:val="000B0DD9"/>
    <w:rsid w:val="000B1461"/>
    <w:rsid w:val="000B2D2B"/>
    <w:rsid w:val="000B2F9D"/>
    <w:rsid w:val="000B406D"/>
    <w:rsid w:val="000B4444"/>
    <w:rsid w:val="000B4E30"/>
    <w:rsid w:val="000B5B02"/>
    <w:rsid w:val="000B6E52"/>
    <w:rsid w:val="000B71CE"/>
    <w:rsid w:val="000B7216"/>
    <w:rsid w:val="000C1301"/>
    <w:rsid w:val="000C288B"/>
    <w:rsid w:val="000D032A"/>
    <w:rsid w:val="000D05BF"/>
    <w:rsid w:val="000D20EF"/>
    <w:rsid w:val="000D28C1"/>
    <w:rsid w:val="000E1F08"/>
    <w:rsid w:val="000E229C"/>
    <w:rsid w:val="000E2B49"/>
    <w:rsid w:val="000E2C88"/>
    <w:rsid w:val="000E3D46"/>
    <w:rsid w:val="000E4991"/>
    <w:rsid w:val="000F0A8B"/>
    <w:rsid w:val="000F13DA"/>
    <w:rsid w:val="000F14FF"/>
    <w:rsid w:val="000F15D3"/>
    <w:rsid w:val="000F1E17"/>
    <w:rsid w:val="000F1E9C"/>
    <w:rsid w:val="000F3002"/>
    <w:rsid w:val="000F6727"/>
    <w:rsid w:val="0010000D"/>
    <w:rsid w:val="001005ED"/>
    <w:rsid w:val="00101296"/>
    <w:rsid w:val="00101AC3"/>
    <w:rsid w:val="00102321"/>
    <w:rsid w:val="00102470"/>
    <w:rsid w:val="0010376A"/>
    <w:rsid w:val="00106ABD"/>
    <w:rsid w:val="001107C8"/>
    <w:rsid w:val="001107D9"/>
    <w:rsid w:val="0011178D"/>
    <w:rsid w:val="00111940"/>
    <w:rsid w:val="0011274B"/>
    <w:rsid w:val="00112A8B"/>
    <w:rsid w:val="00113158"/>
    <w:rsid w:val="00113DF7"/>
    <w:rsid w:val="00114370"/>
    <w:rsid w:val="00115EC9"/>
    <w:rsid w:val="00121AD8"/>
    <w:rsid w:val="001220FF"/>
    <w:rsid w:val="00126590"/>
    <w:rsid w:val="00126849"/>
    <w:rsid w:val="001269F0"/>
    <w:rsid w:val="00126D13"/>
    <w:rsid w:val="00130F80"/>
    <w:rsid w:val="001321D6"/>
    <w:rsid w:val="00135A95"/>
    <w:rsid w:val="00135B6E"/>
    <w:rsid w:val="001371FD"/>
    <w:rsid w:val="00140E8E"/>
    <w:rsid w:val="00142A83"/>
    <w:rsid w:val="00143C2C"/>
    <w:rsid w:val="00143D98"/>
    <w:rsid w:val="00145503"/>
    <w:rsid w:val="00145E36"/>
    <w:rsid w:val="001463FF"/>
    <w:rsid w:val="0015359D"/>
    <w:rsid w:val="00156A52"/>
    <w:rsid w:val="00161CA0"/>
    <w:rsid w:val="00163022"/>
    <w:rsid w:val="00172259"/>
    <w:rsid w:val="0017249C"/>
    <w:rsid w:val="001746B9"/>
    <w:rsid w:val="00174EFF"/>
    <w:rsid w:val="00175B4D"/>
    <w:rsid w:val="0018322A"/>
    <w:rsid w:val="00183D45"/>
    <w:rsid w:val="001843F6"/>
    <w:rsid w:val="001877D5"/>
    <w:rsid w:val="001900B6"/>
    <w:rsid w:val="00192D17"/>
    <w:rsid w:val="00192F8D"/>
    <w:rsid w:val="001933F2"/>
    <w:rsid w:val="00194710"/>
    <w:rsid w:val="00196C9C"/>
    <w:rsid w:val="00197ADE"/>
    <w:rsid w:val="00197B8E"/>
    <w:rsid w:val="00197CBD"/>
    <w:rsid w:val="001A1586"/>
    <w:rsid w:val="001A1EE5"/>
    <w:rsid w:val="001A3D0B"/>
    <w:rsid w:val="001A6783"/>
    <w:rsid w:val="001A7207"/>
    <w:rsid w:val="001B0CD6"/>
    <w:rsid w:val="001B1E11"/>
    <w:rsid w:val="001B1F5E"/>
    <w:rsid w:val="001B284A"/>
    <w:rsid w:val="001B4614"/>
    <w:rsid w:val="001B4703"/>
    <w:rsid w:val="001B480F"/>
    <w:rsid w:val="001B58D2"/>
    <w:rsid w:val="001B77E7"/>
    <w:rsid w:val="001B795F"/>
    <w:rsid w:val="001C0D40"/>
    <w:rsid w:val="001C27C8"/>
    <w:rsid w:val="001C3959"/>
    <w:rsid w:val="001C4709"/>
    <w:rsid w:val="001C513F"/>
    <w:rsid w:val="001C580F"/>
    <w:rsid w:val="001C647A"/>
    <w:rsid w:val="001D0263"/>
    <w:rsid w:val="001D0E8A"/>
    <w:rsid w:val="001D1617"/>
    <w:rsid w:val="001D229E"/>
    <w:rsid w:val="001D2869"/>
    <w:rsid w:val="001D39D2"/>
    <w:rsid w:val="001D623C"/>
    <w:rsid w:val="001D6B2B"/>
    <w:rsid w:val="001D74F8"/>
    <w:rsid w:val="001E0D35"/>
    <w:rsid w:val="001E146B"/>
    <w:rsid w:val="001E1E05"/>
    <w:rsid w:val="001E35BE"/>
    <w:rsid w:val="001E7187"/>
    <w:rsid w:val="001E77F3"/>
    <w:rsid w:val="001E7921"/>
    <w:rsid w:val="001F0024"/>
    <w:rsid w:val="001F1B14"/>
    <w:rsid w:val="001F256D"/>
    <w:rsid w:val="001F70B8"/>
    <w:rsid w:val="00200791"/>
    <w:rsid w:val="0020160A"/>
    <w:rsid w:val="00201A0F"/>
    <w:rsid w:val="00201D1A"/>
    <w:rsid w:val="00202044"/>
    <w:rsid w:val="0020260A"/>
    <w:rsid w:val="00203678"/>
    <w:rsid w:val="0020440C"/>
    <w:rsid w:val="00206455"/>
    <w:rsid w:val="00207DEB"/>
    <w:rsid w:val="0021205A"/>
    <w:rsid w:val="00216876"/>
    <w:rsid w:val="00222831"/>
    <w:rsid w:val="00224A98"/>
    <w:rsid w:val="00226A13"/>
    <w:rsid w:val="00227039"/>
    <w:rsid w:val="002306E9"/>
    <w:rsid w:val="00230F57"/>
    <w:rsid w:val="00230F6F"/>
    <w:rsid w:val="00231447"/>
    <w:rsid w:val="00233C3B"/>
    <w:rsid w:val="00237460"/>
    <w:rsid w:val="00237818"/>
    <w:rsid w:val="00240D72"/>
    <w:rsid w:val="002410FE"/>
    <w:rsid w:val="00241279"/>
    <w:rsid w:val="002431F8"/>
    <w:rsid w:val="0024507B"/>
    <w:rsid w:val="0024554B"/>
    <w:rsid w:val="002459DB"/>
    <w:rsid w:val="00246939"/>
    <w:rsid w:val="00246A20"/>
    <w:rsid w:val="00250BF4"/>
    <w:rsid w:val="00251AA1"/>
    <w:rsid w:val="00254271"/>
    <w:rsid w:val="00255E4C"/>
    <w:rsid w:val="00257201"/>
    <w:rsid w:val="00260D5C"/>
    <w:rsid w:val="00261167"/>
    <w:rsid w:val="002612FA"/>
    <w:rsid w:val="00263F4B"/>
    <w:rsid w:val="00265175"/>
    <w:rsid w:val="00270762"/>
    <w:rsid w:val="00271C64"/>
    <w:rsid w:val="0027369B"/>
    <w:rsid w:val="00273747"/>
    <w:rsid w:val="0027666E"/>
    <w:rsid w:val="00276DB1"/>
    <w:rsid w:val="002833AE"/>
    <w:rsid w:val="00287AC5"/>
    <w:rsid w:val="00290170"/>
    <w:rsid w:val="0029109B"/>
    <w:rsid w:val="00291C46"/>
    <w:rsid w:val="00292052"/>
    <w:rsid w:val="002A24E6"/>
    <w:rsid w:val="002A24FE"/>
    <w:rsid w:val="002A535A"/>
    <w:rsid w:val="002A64B8"/>
    <w:rsid w:val="002A6CBC"/>
    <w:rsid w:val="002B00AA"/>
    <w:rsid w:val="002B43E4"/>
    <w:rsid w:val="002B461A"/>
    <w:rsid w:val="002B509C"/>
    <w:rsid w:val="002B67B0"/>
    <w:rsid w:val="002B6F1A"/>
    <w:rsid w:val="002B7A61"/>
    <w:rsid w:val="002B7EFF"/>
    <w:rsid w:val="002C02C3"/>
    <w:rsid w:val="002C1E2A"/>
    <w:rsid w:val="002C67B1"/>
    <w:rsid w:val="002C6889"/>
    <w:rsid w:val="002C75C7"/>
    <w:rsid w:val="002C77B4"/>
    <w:rsid w:val="002C7842"/>
    <w:rsid w:val="002D3483"/>
    <w:rsid w:val="002D584E"/>
    <w:rsid w:val="002D62A8"/>
    <w:rsid w:val="002D73DF"/>
    <w:rsid w:val="002D7F61"/>
    <w:rsid w:val="002E0261"/>
    <w:rsid w:val="002E3D5C"/>
    <w:rsid w:val="002E447F"/>
    <w:rsid w:val="002E4BAA"/>
    <w:rsid w:val="002E5244"/>
    <w:rsid w:val="002E60CC"/>
    <w:rsid w:val="002F3372"/>
    <w:rsid w:val="002F33AC"/>
    <w:rsid w:val="002F343A"/>
    <w:rsid w:val="002F39CA"/>
    <w:rsid w:val="002F3FA5"/>
    <w:rsid w:val="002F419F"/>
    <w:rsid w:val="002F50DB"/>
    <w:rsid w:val="002F6F69"/>
    <w:rsid w:val="002F79CA"/>
    <w:rsid w:val="002F7D10"/>
    <w:rsid w:val="00300C26"/>
    <w:rsid w:val="003010AF"/>
    <w:rsid w:val="00301CFE"/>
    <w:rsid w:val="0030223B"/>
    <w:rsid w:val="003033EA"/>
    <w:rsid w:val="00305943"/>
    <w:rsid w:val="00305BCB"/>
    <w:rsid w:val="00307321"/>
    <w:rsid w:val="00307B2B"/>
    <w:rsid w:val="00307DAE"/>
    <w:rsid w:val="00310CAE"/>
    <w:rsid w:val="00311399"/>
    <w:rsid w:val="00311C4D"/>
    <w:rsid w:val="00311F25"/>
    <w:rsid w:val="00312199"/>
    <w:rsid w:val="003127D6"/>
    <w:rsid w:val="0031440E"/>
    <w:rsid w:val="00314CAF"/>
    <w:rsid w:val="00316B42"/>
    <w:rsid w:val="00317DA7"/>
    <w:rsid w:val="00322435"/>
    <w:rsid w:val="00325A0C"/>
    <w:rsid w:val="00327789"/>
    <w:rsid w:val="00327842"/>
    <w:rsid w:val="003303C7"/>
    <w:rsid w:val="00330A9F"/>
    <w:rsid w:val="00331957"/>
    <w:rsid w:val="00331E64"/>
    <w:rsid w:val="003321DF"/>
    <w:rsid w:val="00334632"/>
    <w:rsid w:val="0033503C"/>
    <w:rsid w:val="00335175"/>
    <w:rsid w:val="0034008E"/>
    <w:rsid w:val="00341A8C"/>
    <w:rsid w:val="00341A90"/>
    <w:rsid w:val="003426D3"/>
    <w:rsid w:val="003434D6"/>
    <w:rsid w:val="00344596"/>
    <w:rsid w:val="00347BF7"/>
    <w:rsid w:val="00350B31"/>
    <w:rsid w:val="00352998"/>
    <w:rsid w:val="0035308F"/>
    <w:rsid w:val="00354CC2"/>
    <w:rsid w:val="0035514F"/>
    <w:rsid w:val="00355796"/>
    <w:rsid w:val="00356160"/>
    <w:rsid w:val="0035664A"/>
    <w:rsid w:val="003604BA"/>
    <w:rsid w:val="003614E1"/>
    <w:rsid w:val="003619B6"/>
    <w:rsid w:val="00361C84"/>
    <w:rsid w:val="003623F5"/>
    <w:rsid w:val="00364EBF"/>
    <w:rsid w:val="003651AF"/>
    <w:rsid w:val="00366E89"/>
    <w:rsid w:val="00366F98"/>
    <w:rsid w:val="00370B37"/>
    <w:rsid w:val="00371640"/>
    <w:rsid w:val="00371C89"/>
    <w:rsid w:val="00372A32"/>
    <w:rsid w:val="00372E57"/>
    <w:rsid w:val="003730B6"/>
    <w:rsid w:val="00374E95"/>
    <w:rsid w:val="00375B38"/>
    <w:rsid w:val="00377598"/>
    <w:rsid w:val="00381B91"/>
    <w:rsid w:val="003826B6"/>
    <w:rsid w:val="00382E40"/>
    <w:rsid w:val="003837F7"/>
    <w:rsid w:val="00390774"/>
    <w:rsid w:val="003909F8"/>
    <w:rsid w:val="00390BAA"/>
    <w:rsid w:val="003911EF"/>
    <w:rsid w:val="003924D1"/>
    <w:rsid w:val="003928B8"/>
    <w:rsid w:val="003929D9"/>
    <w:rsid w:val="00392C3A"/>
    <w:rsid w:val="00392FEB"/>
    <w:rsid w:val="00392FFF"/>
    <w:rsid w:val="003936A3"/>
    <w:rsid w:val="0039411E"/>
    <w:rsid w:val="00394496"/>
    <w:rsid w:val="00394BC1"/>
    <w:rsid w:val="00396CD4"/>
    <w:rsid w:val="003A0D47"/>
    <w:rsid w:val="003A23FF"/>
    <w:rsid w:val="003A28EC"/>
    <w:rsid w:val="003A4093"/>
    <w:rsid w:val="003A4D98"/>
    <w:rsid w:val="003A6A68"/>
    <w:rsid w:val="003A7E0D"/>
    <w:rsid w:val="003A7FDE"/>
    <w:rsid w:val="003B0FCC"/>
    <w:rsid w:val="003B270B"/>
    <w:rsid w:val="003B2938"/>
    <w:rsid w:val="003C4AE5"/>
    <w:rsid w:val="003C511B"/>
    <w:rsid w:val="003C5CFF"/>
    <w:rsid w:val="003C7D45"/>
    <w:rsid w:val="003D023A"/>
    <w:rsid w:val="003D08D1"/>
    <w:rsid w:val="003D106C"/>
    <w:rsid w:val="003D15CB"/>
    <w:rsid w:val="003D6B0C"/>
    <w:rsid w:val="003E0975"/>
    <w:rsid w:val="003E1510"/>
    <w:rsid w:val="003E1988"/>
    <w:rsid w:val="003E2C57"/>
    <w:rsid w:val="003E7696"/>
    <w:rsid w:val="003F0660"/>
    <w:rsid w:val="003F1A40"/>
    <w:rsid w:val="003F1FBD"/>
    <w:rsid w:val="003F5683"/>
    <w:rsid w:val="003F6D8F"/>
    <w:rsid w:val="003F785E"/>
    <w:rsid w:val="00401B59"/>
    <w:rsid w:val="00402521"/>
    <w:rsid w:val="00403DD4"/>
    <w:rsid w:val="00404269"/>
    <w:rsid w:val="0040449C"/>
    <w:rsid w:val="004057DC"/>
    <w:rsid w:val="0040607A"/>
    <w:rsid w:val="00406663"/>
    <w:rsid w:val="00407708"/>
    <w:rsid w:val="00407A7E"/>
    <w:rsid w:val="004104F4"/>
    <w:rsid w:val="00412020"/>
    <w:rsid w:val="00412BB1"/>
    <w:rsid w:val="00414714"/>
    <w:rsid w:val="004147D7"/>
    <w:rsid w:val="00415266"/>
    <w:rsid w:val="004157C3"/>
    <w:rsid w:val="00416620"/>
    <w:rsid w:val="00417EA9"/>
    <w:rsid w:val="00420288"/>
    <w:rsid w:val="004204C4"/>
    <w:rsid w:val="00422786"/>
    <w:rsid w:val="00424E14"/>
    <w:rsid w:val="0042646B"/>
    <w:rsid w:val="0043299C"/>
    <w:rsid w:val="00434755"/>
    <w:rsid w:val="004352B1"/>
    <w:rsid w:val="00435D51"/>
    <w:rsid w:val="00440E16"/>
    <w:rsid w:val="00441E82"/>
    <w:rsid w:val="00442E80"/>
    <w:rsid w:val="0044303D"/>
    <w:rsid w:val="004452F2"/>
    <w:rsid w:val="00445884"/>
    <w:rsid w:val="00445934"/>
    <w:rsid w:val="00445CCE"/>
    <w:rsid w:val="00450600"/>
    <w:rsid w:val="0045069F"/>
    <w:rsid w:val="0045192C"/>
    <w:rsid w:val="0045247C"/>
    <w:rsid w:val="004524A0"/>
    <w:rsid w:val="004536D4"/>
    <w:rsid w:val="0045479A"/>
    <w:rsid w:val="004568C2"/>
    <w:rsid w:val="00457D05"/>
    <w:rsid w:val="004617DF"/>
    <w:rsid w:val="004621A2"/>
    <w:rsid w:val="00465954"/>
    <w:rsid w:val="0047023F"/>
    <w:rsid w:val="00472B52"/>
    <w:rsid w:val="00474BFE"/>
    <w:rsid w:val="0047629F"/>
    <w:rsid w:val="004765CC"/>
    <w:rsid w:val="00477056"/>
    <w:rsid w:val="004775BF"/>
    <w:rsid w:val="00477D84"/>
    <w:rsid w:val="00477FAC"/>
    <w:rsid w:val="004808EA"/>
    <w:rsid w:val="00481CC1"/>
    <w:rsid w:val="00483912"/>
    <w:rsid w:val="00484B7A"/>
    <w:rsid w:val="0048508B"/>
    <w:rsid w:val="00486385"/>
    <w:rsid w:val="00486A7B"/>
    <w:rsid w:val="00487C46"/>
    <w:rsid w:val="00494421"/>
    <w:rsid w:val="00494D43"/>
    <w:rsid w:val="0049686F"/>
    <w:rsid w:val="004A0154"/>
    <w:rsid w:val="004A184B"/>
    <w:rsid w:val="004A1C44"/>
    <w:rsid w:val="004A393C"/>
    <w:rsid w:val="004A57B3"/>
    <w:rsid w:val="004A5DE8"/>
    <w:rsid w:val="004A6056"/>
    <w:rsid w:val="004A70AE"/>
    <w:rsid w:val="004A7F78"/>
    <w:rsid w:val="004B2FF4"/>
    <w:rsid w:val="004B52E9"/>
    <w:rsid w:val="004B5AC8"/>
    <w:rsid w:val="004C0078"/>
    <w:rsid w:val="004C0914"/>
    <w:rsid w:val="004C1469"/>
    <w:rsid w:val="004C242B"/>
    <w:rsid w:val="004C3EB4"/>
    <w:rsid w:val="004C5082"/>
    <w:rsid w:val="004D11E3"/>
    <w:rsid w:val="004D26D2"/>
    <w:rsid w:val="004D33F2"/>
    <w:rsid w:val="004D34E6"/>
    <w:rsid w:val="004D7D62"/>
    <w:rsid w:val="004E086B"/>
    <w:rsid w:val="004E0AB1"/>
    <w:rsid w:val="004E1440"/>
    <w:rsid w:val="004E166D"/>
    <w:rsid w:val="004E1BEA"/>
    <w:rsid w:val="004E2080"/>
    <w:rsid w:val="004E4127"/>
    <w:rsid w:val="004E4ED8"/>
    <w:rsid w:val="004E7438"/>
    <w:rsid w:val="004E75AC"/>
    <w:rsid w:val="004F30F6"/>
    <w:rsid w:val="004F3BFC"/>
    <w:rsid w:val="004F4615"/>
    <w:rsid w:val="004F4A43"/>
    <w:rsid w:val="004F56C0"/>
    <w:rsid w:val="004F5D45"/>
    <w:rsid w:val="004F6991"/>
    <w:rsid w:val="00500A1F"/>
    <w:rsid w:val="00501791"/>
    <w:rsid w:val="00502E93"/>
    <w:rsid w:val="005033A9"/>
    <w:rsid w:val="00504627"/>
    <w:rsid w:val="00504F9B"/>
    <w:rsid w:val="005064CA"/>
    <w:rsid w:val="0050651E"/>
    <w:rsid w:val="0050660A"/>
    <w:rsid w:val="00506712"/>
    <w:rsid w:val="0050774B"/>
    <w:rsid w:val="00507DAA"/>
    <w:rsid w:val="0051196D"/>
    <w:rsid w:val="00511B2C"/>
    <w:rsid w:val="00511C32"/>
    <w:rsid w:val="00512C4A"/>
    <w:rsid w:val="00512DAB"/>
    <w:rsid w:val="0051399C"/>
    <w:rsid w:val="00514CBE"/>
    <w:rsid w:val="0051733F"/>
    <w:rsid w:val="00522A0C"/>
    <w:rsid w:val="005243D6"/>
    <w:rsid w:val="005308CD"/>
    <w:rsid w:val="0053105D"/>
    <w:rsid w:val="0053149D"/>
    <w:rsid w:val="0053223A"/>
    <w:rsid w:val="005327A1"/>
    <w:rsid w:val="0053289E"/>
    <w:rsid w:val="0053355A"/>
    <w:rsid w:val="005343E9"/>
    <w:rsid w:val="00536D37"/>
    <w:rsid w:val="00536F55"/>
    <w:rsid w:val="00537158"/>
    <w:rsid w:val="0054059E"/>
    <w:rsid w:val="005414F9"/>
    <w:rsid w:val="00542510"/>
    <w:rsid w:val="00542C80"/>
    <w:rsid w:val="00542D30"/>
    <w:rsid w:val="00546E81"/>
    <w:rsid w:val="00550582"/>
    <w:rsid w:val="00550DAB"/>
    <w:rsid w:val="005519A7"/>
    <w:rsid w:val="00552D20"/>
    <w:rsid w:val="00552D68"/>
    <w:rsid w:val="005534BD"/>
    <w:rsid w:val="00554F6B"/>
    <w:rsid w:val="0055643E"/>
    <w:rsid w:val="00556706"/>
    <w:rsid w:val="00556BE3"/>
    <w:rsid w:val="0055754F"/>
    <w:rsid w:val="0056098A"/>
    <w:rsid w:val="005621EF"/>
    <w:rsid w:val="005624F7"/>
    <w:rsid w:val="005626E0"/>
    <w:rsid w:val="00562A30"/>
    <w:rsid w:val="0056371F"/>
    <w:rsid w:val="0056499B"/>
    <w:rsid w:val="00564A36"/>
    <w:rsid w:val="00567E15"/>
    <w:rsid w:val="00571590"/>
    <w:rsid w:val="00571D43"/>
    <w:rsid w:val="00573CD3"/>
    <w:rsid w:val="005741FB"/>
    <w:rsid w:val="0057652B"/>
    <w:rsid w:val="00576676"/>
    <w:rsid w:val="0057751B"/>
    <w:rsid w:val="00581359"/>
    <w:rsid w:val="00584AFC"/>
    <w:rsid w:val="0058523B"/>
    <w:rsid w:val="005859CB"/>
    <w:rsid w:val="00586769"/>
    <w:rsid w:val="00587F0E"/>
    <w:rsid w:val="005900B5"/>
    <w:rsid w:val="00590BFB"/>
    <w:rsid w:val="005910EC"/>
    <w:rsid w:val="0059380B"/>
    <w:rsid w:val="00596264"/>
    <w:rsid w:val="00596AB2"/>
    <w:rsid w:val="00596B88"/>
    <w:rsid w:val="005A02ED"/>
    <w:rsid w:val="005A12EF"/>
    <w:rsid w:val="005A3BD3"/>
    <w:rsid w:val="005A6F68"/>
    <w:rsid w:val="005A6F6B"/>
    <w:rsid w:val="005B01F8"/>
    <w:rsid w:val="005B066A"/>
    <w:rsid w:val="005B28B0"/>
    <w:rsid w:val="005B2B77"/>
    <w:rsid w:val="005B341D"/>
    <w:rsid w:val="005B3ABB"/>
    <w:rsid w:val="005B5193"/>
    <w:rsid w:val="005B5C70"/>
    <w:rsid w:val="005B6B3E"/>
    <w:rsid w:val="005B7B8F"/>
    <w:rsid w:val="005C03BF"/>
    <w:rsid w:val="005C2612"/>
    <w:rsid w:val="005C3ADE"/>
    <w:rsid w:val="005D268A"/>
    <w:rsid w:val="005D3B7A"/>
    <w:rsid w:val="005D3CB5"/>
    <w:rsid w:val="005D4787"/>
    <w:rsid w:val="005D6152"/>
    <w:rsid w:val="005D7567"/>
    <w:rsid w:val="005D7CA3"/>
    <w:rsid w:val="005D7F58"/>
    <w:rsid w:val="005E0065"/>
    <w:rsid w:val="005E12B9"/>
    <w:rsid w:val="005E28AA"/>
    <w:rsid w:val="005E2EEB"/>
    <w:rsid w:val="005E3CAE"/>
    <w:rsid w:val="005E43EE"/>
    <w:rsid w:val="005E55E1"/>
    <w:rsid w:val="005E5E17"/>
    <w:rsid w:val="005E66BD"/>
    <w:rsid w:val="005F031A"/>
    <w:rsid w:val="005F0474"/>
    <w:rsid w:val="005F1E77"/>
    <w:rsid w:val="005F2FA6"/>
    <w:rsid w:val="005F5B0A"/>
    <w:rsid w:val="005F5E42"/>
    <w:rsid w:val="005F5E60"/>
    <w:rsid w:val="005F7C0A"/>
    <w:rsid w:val="0060089F"/>
    <w:rsid w:val="006026E5"/>
    <w:rsid w:val="00603658"/>
    <w:rsid w:val="00603700"/>
    <w:rsid w:val="00603871"/>
    <w:rsid w:val="006047DE"/>
    <w:rsid w:val="00604FA1"/>
    <w:rsid w:val="00606E6F"/>
    <w:rsid w:val="00607250"/>
    <w:rsid w:val="0060762E"/>
    <w:rsid w:val="006104C1"/>
    <w:rsid w:val="00610527"/>
    <w:rsid w:val="006105B9"/>
    <w:rsid w:val="00610F59"/>
    <w:rsid w:val="00611386"/>
    <w:rsid w:val="006126CC"/>
    <w:rsid w:val="00612BA8"/>
    <w:rsid w:val="006132D0"/>
    <w:rsid w:val="00613500"/>
    <w:rsid w:val="00614BB4"/>
    <w:rsid w:val="00621FDE"/>
    <w:rsid w:val="00622809"/>
    <w:rsid w:val="00624231"/>
    <w:rsid w:val="00624A26"/>
    <w:rsid w:val="00625C03"/>
    <w:rsid w:val="006264B5"/>
    <w:rsid w:val="006312E4"/>
    <w:rsid w:val="006314C6"/>
    <w:rsid w:val="00632806"/>
    <w:rsid w:val="00633D24"/>
    <w:rsid w:val="006340D3"/>
    <w:rsid w:val="00635D63"/>
    <w:rsid w:val="00636366"/>
    <w:rsid w:val="00637921"/>
    <w:rsid w:val="00641154"/>
    <w:rsid w:val="006437B3"/>
    <w:rsid w:val="006439D8"/>
    <w:rsid w:val="006472B8"/>
    <w:rsid w:val="00647846"/>
    <w:rsid w:val="006478B9"/>
    <w:rsid w:val="006518C1"/>
    <w:rsid w:val="00651F97"/>
    <w:rsid w:val="00652970"/>
    <w:rsid w:val="00652F59"/>
    <w:rsid w:val="00656B6E"/>
    <w:rsid w:val="00660BE6"/>
    <w:rsid w:val="0066341D"/>
    <w:rsid w:val="006644DC"/>
    <w:rsid w:val="006656C2"/>
    <w:rsid w:val="00667A88"/>
    <w:rsid w:val="006707B2"/>
    <w:rsid w:val="00671EB6"/>
    <w:rsid w:val="006726A3"/>
    <w:rsid w:val="00673676"/>
    <w:rsid w:val="00674F3F"/>
    <w:rsid w:val="00675AED"/>
    <w:rsid w:val="006760C8"/>
    <w:rsid w:val="006773F0"/>
    <w:rsid w:val="00677EAC"/>
    <w:rsid w:val="0068056A"/>
    <w:rsid w:val="00683997"/>
    <w:rsid w:val="0068405E"/>
    <w:rsid w:val="006840A9"/>
    <w:rsid w:val="006841E8"/>
    <w:rsid w:val="006842FD"/>
    <w:rsid w:val="00687034"/>
    <w:rsid w:val="006877B0"/>
    <w:rsid w:val="006913AF"/>
    <w:rsid w:val="006930BB"/>
    <w:rsid w:val="00693F88"/>
    <w:rsid w:val="006953E8"/>
    <w:rsid w:val="006958F0"/>
    <w:rsid w:val="00695AAB"/>
    <w:rsid w:val="00695B1F"/>
    <w:rsid w:val="00696D4B"/>
    <w:rsid w:val="006A0028"/>
    <w:rsid w:val="006A0E04"/>
    <w:rsid w:val="006A14A2"/>
    <w:rsid w:val="006A183D"/>
    <w:rsid w:val="006A2595"/>
    <w:rsid w:val="006A406D"/>
    <w:rsid w:val="006B055C"/>
    <w:rsid w:val="006B15B5"/>
    <w:rsid w:val="006B3FC7"/>
    <w:rsid w:val="006B691A"/>
    <w:rsid w:val="006B710D"/>
    <w:rsid w:val="006C084B"/>
    <w:rsid w:val="006C0953"/>
    <w:rsid w:val="006C1C19"/>
    <w:rsid w:val="006C227E"/>
    <w:rsid w:val="006C25CB"/>
    <w:rsid w:val="006C3039"/>
    <w:rsid w:val="006C3719"/>
    <w:rsid w:val="006C584F"/>
    <w:rsid w:val="006C7F06"/>
    <w:rsid w:val="006D54D0"/>
    <w:rsid w:val="006D5BAB"/>
    <w:rsid w:val="006E0BF5"/>
    <w:rsid w:val="006E0FFC"/>
    <w:rsid w:val="006E32C6"/>
    <w:rsid w:val="006E3F7D"/>
    <w:rsid w:val="006E5BF8"/>
    <w:rsid w:val="006E6B61"/>
    <w:rsid w:val="006F1FB6"/>
    <w:rsid w:val="006F2871"/>
    <w:rsid w:val="006F38BD"/>
    <w:rsid w:val="006F49DB"/>
    <w:rsid w:val="006F5F80"/>
    <w:rsid w:val="006F6864"/>
    <w:rsid w:val="00700A06"/>
    <w:rsid w:val="00700C19"/>
    <w:rsid w:val="007013C0"/>
    <w:rsid w:val="0070261A"/>
    <w:rsid w:val="00703555"/>
    <w:rsid w:val="00703607"/>
    <w:rsid w:val="00703796"/>
    <w:rsid w:val="00703F43"/>
    <w:rsid w:val="0070535C"/>
    <w:rsid w:val="00705D35"/>
    <w:rsid w:val="00706BB5"/>
    <w:rsid w:val="00710D40"/>
    <w:rsid w:val="00711C59"/>
    <w:rsid w:val="0071365D"/>
    <w:rsid w:val="00713FC3"/>
    <w:rsid w:val="00714727"/>
    <w:rsid w:val="007149F3"/>
    <w:rsid w:val="007157D7"/>
    <w:rsid w:val="00716490"/>
    <w:rsid w:val="00717571"/>
    <w:rsid w:val="007177DE"/>
    <w:rsid w:val="00717CC2"/>
    <w:rsid w:val="007205A8"/>
    <w:rsid w:val="0072122C"/>
    <w:rsid w:val="00726F0D"/>
    <w:rsid w:val="00726F83"/>
    <w:rsid w:val="00731CBF"/>
    <w:rsid w:val="00732157"/>
    <w:rsid w:val="00732D3F"/>
    <w:rsid w:val="00733D3A"/>
    <w:rsid w:val="00734D8F"/>
    <w:rsid w:val="00736521"/>
    <w:rsid w:val="007407B0"/>
    <w:rsid w:val="00743275"/>
    <w:rsid w:val="0074369E"/>
    <w:rsid w:val="0074385E"/>
    <w:rsid w:val="007439AC"/>
    <w:rsid w:val="00743A91"/>
    <w:rsid w:val="00744B8A"/>
    <w:rsid w:val="007519E7"/>
    <w:rsid w:val="00754061"/>
    <w:rsid w:val="0075446F"/>
    <w:rsid w:val="007548C3"/>
    <w:rsid w:val="00754E73"/>
    <w:rsid w:val="007559F3"/>
    <w:rsid w:val="00755E22"/>
    <w:rsid w:val="007562D0"/>
    <w:rsid w:val="007566DC"/>
    <w:rsid w:val="0076055E"/>
    <w:rsid w:val="007610E3"/>
    <w:rsid w:val="007619C5"/>
    <w:rsid w:val="007622A0"/>
    <w:rsid w:val="00764C2F"/>
    <w:rsid w:val="0076601B"/>
    <w:rsid w:val="00766C33"/>
    <w:rsid w:val="00767F3E"/>
    <w:rsid w:val="00770F6E"/>
    <w:rsid w:val="00775501"/>
    <w:rsid w:val="00775BFD"/>
    <w:rsid w:val="00775DC5"/>
    <w:rsid w:val="00775EEE"/>
    <w:rsid w:val="0077602B"/>
    <w:rsid w:val="0077631E"/>
    <w:rsid w:val="00776E85"/>
    <w:rsid w:val="0077721B"/>
    <w:rsid w:val="007806EA"/>
    <w:rsid w:val="00784C63"/>
    <w:rsid w:val="00786941"/>
    <w:rsid w:val="0079291A"/>
    <w:rsid w:val="00793B04"/>
    <w:rsid w:val="007953F7"/>
    <w:rsid w:val="00795411"/>
    <w:rsid w:val="00795E09"/>
    <w:rsid w:val="007A0698"/>
    <w:rsid w:val="007A1638"/>
    <w:rsid w:val="007A25C5"/>
    <w:rsid w:val="007A26A9"/>
    <w:rsid w:val="007A2978"/>
    <w:rsid w:val="007A49FA"/>
    <w:rsid w:val="007A4ADB"/>
    <w:rsid w:val="007A608F"/>
    <w:rsid w:val="007A6ABF"/>
    <w:rsid w:val="007A76D7"/>
    <w:rsid w:val="007A78B2"/>
    <w:rsid w:val="007B01DA"/>
    <w:rsid w:val="007B0EDB"/>
    <w:rsid w:val="007B15A4"/>
    <w:rsid w:val="007B4491"/>
    <w:rsid w:val="007B5A1A"/>
    <w:rsid w:val="007B7B7C"/>
    <w:rsid w:val="007C2A9E"/>
    <w:rsid w:val="007C3DF2"/>
    <w:rsid w:val="007C487C"/>
    <w:rsid w:val="007C492B"/>
    <w:rsid w:val="007C7884"/>
    <w:rsid w:val="007D0E55"/>
    <w:rsid w:val="007D0ED6"/>
    <w:rsid w:val="007D18E8"/>
    <w:rsid w:val="007D1D4E"/>
    <w:rsid w:val="007D2902"/>
    <w:rsid w:val="007D32DE"/>
    <w:rsid w:val="007D4B9F"/>
    <w:rsid w:val="007D589C"/>
    <w:rsid w:val="007D628B"/>
    <w:rsid w:val="007D6D75"/>
    <w:rsid w:val="007E2058"/>
    <w:rsid w:val="007E2911"/>
    <w:rsid w:val="007E2DE4"/>
    <w:rsid w:val="007E2F4B"/>
    <w:rsid w:val="007E41EA"/>
    <w:rsid w:val="007F0423"/>
    <w:rsid w:val="007F0A29"/>
    <w:rsid w:val="007F0AAC"/>
    <w:rsid w:val="007F0CEC"/>
    <w:rsid w:val="007F2F2A"/>
    <w:rsid w:val="007F5A56"/>
    <w:rsid w:val="007F6D2A"/>
    <w:rsid w:val="00803B91"/>
    <w:rsid w:val="008041EA"/>
    <w:rsid w:val="00804674"/>
    <w:rsid w:val="00805C3F"/>
    <w:rsid w:val="00810893"/>
    <w:rsid w:val="0081271F"/>
    <w:rsid w:val="008129A4"/>
    <w:rsid w:val="00812AB3"/>
    <w:rsid w:val="008133E2"/>
    <w:rsid w:val="008152B2"/>
    <w:rsid w:val="008172C9"/>
    <w:rsid w:val="00820B9B"/>
    <w:rsid w:val="00821F00"/>
    <w:rsid w:val="008223A7"/>
    <w:rsid w:val="00823E9E"/>
    <w:rsid w:val="0082573A"/>
    <w:rsid w:val="008265AF"/>
    <w:rsid w:val="00826CA0"/>
    <w:rsid w:val="00830D76"/>
    <w:rsid w:val="008319DE"/>
    <w:rsid w:val="00831B80"/>
    <w:rsid w:val="00832C06"/>
    <w:rsid w:val="00833D65"/>
    <w:rsid w:val="00836554"/>
    <w:rsid w:val="00836829"/>
    <w:rsid w:val="008411C4"/>
    <w:rsid w:val="008412C9"/>
    <w:rsid w:val="0084232A"/>
    <w:rsid w:val="0084285D"/>
    <w:rsid w:val="0084475F"/>
    <w:rsid w:val="00846D9E"/>
    <w:rsid w:val="00847D90"/>
    <w:rsid w:val="00850EAA"/>
    <w:rsid w:val="00852629"/>
    <w:rsid w:val="008538C3"/>
    <w:rsid w:val="00853BA2"/>
    <w:rsid w:val="0085455A"/>
    <w:rsid w:val="0085561B"/>
    <w:rsid w:val="00855B5F"/>
    <w:rsid w:val="0086089B"/>
    <w:rsid w:val="008625B6"/>
    <w:rsid w:val="0086576E"/>
    <w:rsid w:val="00866471"/>
    <w:rsid w:val="0086667E"/>
    <w:rsid w:val="008702C1"/>
    <w:rsid w:val="00870F4F"/>
    <w:rsid w:val="0087141F"/>
    <w:rsid w:val="00871563"/>
    <w:rsid w:val="00871DA0"/>
    <w:rsid w:val="0087635B"/>
    <w:rsid w:val="00876644"/>
    <w:rsid w:val="00876E38"/>
    <w:rsid w:val="00877A69"/>
    <w:rsid w:val="00880BEA"/>
    <w:rsid w:val="00880D88"/>
    <w:rsid w:val="008823DF"/>
    <w:rsid w:val="00883197"/>
    <w:rsid w:val="00883926"/>
    <w:rsid w:val="008851BF"/>
    <w:rsid w:val="008924E4"/>
    <w:rsid w:val="00894B37"/>
    <w:rsid w:val="00895922"/>
    <w:rsid w:val="0089697A"/>
    <w:rsid w:val="008A013A"/>
    <w:rsid w:val="008A0CEB"/>
    <w:rsid w:val="008A1C46"/>
    <w:rsid w:val="008A29E4"/>
    <w:rsid w:val="008A3655"/>
    <w:rsid w:val="008A3B9A"/>
    <w:rsid w:val="008A5366"/>
    <w:rsid w:val="008A58F9"/>
    <w:rsid w:val="008A6140"/>
    <w:rsid w:val="008A61FB"/>
    <w:rsid w:val="008A677A"/>
    <w:rsid w:val="008A7469"/>
    <w:rsid w:val="008A7939"/>
    <w:rsid w:val="008A7FE6"/>
    <w:rsid w:val="008B0015"/>
    <w:rsid w:val="008B1666"/>
    <w:rsid w:val="008C4141"/>
    <w:rsid w:val="008D0549"/>
    <w:rsid w:val="008D143B"/>
    <w:rsid w:val="008D19DF"/>
    <w:rsid w:val="008D35D5"/>
    <w:rsid w:val="008D3F71"/>
    <w:rsid w:val="008D45DB"/>
    <w:rsid w:val="008D7D3C"/>
    <w:rsid w:val="008E0B5E"/>
    <w:rsid w:val="008E1290"/>
    <w:rsid w:val="008E1FE3"/>
    <w:rsid w:val="008E215E"/>
    <w:rsid w:val="008E275D"/>
    <w:rsid w:val="008E2B07"/>
    <w:rsid w:val="008E56C2"/>
    <w:rsid w:val="008E5874"/>
    <w:rsid w:val="008E669F"/>
    <w:rsid w:val="008E7027"/>
    <w:rsid w:val="008E7037"/>
    <w:rsid w:val="008F0125"/>
    <w:rsid w:val="008F1A6A"/>
    <w:rsid w:val="008F42E6"/>
    <w:rsid w:val="008F4C89"/>
    <w:rsid w:val="008F58FB"/>
    <w:rsid w:val="009007E2"/>
    <w:rsid w:val="0090267F"/>
    <w:rsid w:val="00904351"/>
    <w:rsid w:val="00906E91"/>
    <w:rsid w:val="009124C0"/>
    <w:rsid w:val="00912E8B"/>
    <w:rsid w:val="009141BA"/>
    <w:rsid w:val="00915985"/>
    <w:rsid w:val="00915B34"/>
    <w:rsid w:val="00916EAE"/>
    <w:rsid w:val="00917534"/>
    <w:rsid w:val="009216B1"/>
    <w:rsid w:val="00923DE1"/>
    <w:rsid w:val="009275DE"/>
    <w:rsid w:val="0092773A"/>
    <w:rsid w:val="00932C2E"/>
    <w:rsid w:val="00934330"/>
    <w:rsid w:val="00934E1B"/>
    <w:rsid w:val="009363FD"/>
    <w:rsid w:val="00936CD6"/>
    <w:rsid w:val="009401CC"/>
    <w:rsid w:val="009408E6"/>
    <w:rsid w:val="00940B1B"/>
    <w:rsid w:val="00940E2A"/>
    <w:rsid w:val="00940F40"/>
    <w:rsid w:val="009418CE"/>
    <w:rsid w:val="00941E19"/>
    <w:rsid w:val="00943989"/>
    <w:rsid w:val="009440D9"/>
    <w:rsid w:val="0094519D"/>
    <w:rsid w:val="009453F5"/>
    <w:rsid w:val="0094659A"/>
    <w:rsid w:val="0094768B"/>
    <w:rsid w:val="009508FB"/>
    <w:rsid w:val="0095307F"/>
    <w:rsid w:val="00953E54"/>
    <w:rsid w:val="00954814"/>
    <w:rsid w:val="0095489D"/>
    <w:rsid w:val="00957223"/>
    <w:rsid w:val="00962EA7"/>
    <w:rsid w:val="00963014"/>
    <w:rsid w:val="0096337E"/>
    <w:rsid w:val="00963998"/>
    <w:rsid w:val="009677DD"/>
    <w:rsid w:val="00970559"/>
    <w:rsid w:val="00970D4A"/>
    <w:rsid w:val="00970EEC"/>
    <w:rsid w:val="0097238E"/>
    <w:rsid w:val="0097270A"/>
    <w:rsid w:val="00972DC4"/>
    <w:rsid w:val="00977901"/>
    <w:rsid w:val="00984E55"/>
    <w:rsid w:val="0098552A"/>
    <w:rsid w:val="0098638E"/>
    <w:rsid w:val="0098725C"/>
    <w:rsid w:val="0099014C"/>
    <w:rsid w:val="00991B78"/>
    <w:rsid w:val="00995A86"/>
    <w:rsid w:val="009960AA"/>
    <w:rsid w:val="00996A16"/>
    <w:rsid w:val="00996C14"/>
    <w:rsid w:val="009971A2"/>
    <w:rsid w:val="009A1418"/>
    <w:rsid w:val="009A1A98"/>
    <w:rsid w:val="009A24E1"/>
    <w:rsid w:val="009A32DC"/>
    <w:rsid w:val="009A34BF"/>
    <w:rsid w:val="009A39D9"/>
    <w:rsid w:val="009A576D"/>
    <w:rsid w:val="009B0DE6"/>
    <w:rsid w:val="009B0F35"/>
    <w:rsid w:val="009B2158"/>
    <w:rsid w:val="009B2321"/>
    <w:rsid w:val="009B3395"/>
    <w:rsid w:val="009B356F"/>
    <w:rsid w:val="009B7A8B"/>
    <w:rsid w:val="009C0261"/>
    <w:rsid w:val="009C0DFB"/>
    <w:rsid w:val="009C128E"/>
    <w:rsid w:val="009C3FCC"/>
    <w:rsid w:val="009C5219"/>
    <w:rsid w:val="009C5F11"/>
    <w:rsid w:val="009C73D8"/>
    <w:rsid w:val="009D1105"/>
    <w:rsid w:val="009D120E"/>
    <w:rsid w:val="009D3CAC"/>
    <w:rsid w:val="009D42BB"/>
    <w:rsid w:val="009D5420"/>
    <w:rsid w:val="009D708E"/>
    <w:rsid w:val="009E0E4C"/>
    <w:rsid w:val="009E1A56"/>
    <w:rsid w:val="009E1D5F"/>
    <w:rsid w:val="009E2B7E"/>
    <w:rsid w:val="009E35B0"/>
    <w:rsid w:val="009E605D"/>
    <w:rsid w:val="009E6545"/>
    <w:rsid w:val="009E78CA"/>
    <w:rsid w:val="009E7A39"/>
    <w:rsid w:val="009F02B3"/>
    <w:rsid w:val="009F3C30"/>
    <w:rsid w:val="009F44F0"/>
    <w:rsid w:val="009F4AE3"/>
    <w:rsid w:val="009F5D27"/>
    <w:rsid w:val="009F5FB4"/>
    <w:rsid w:val="009F604E"/>
    <w:rsid w:val="009F6A62"/>
    <w:rsid w:val="009F795F"/>
    <w:rsid w:val="009F7FAD"/>
    <w:rsid w:val="00A007BB"/>
    <w:rsid w:val="00A029CC"/>
    <w:rsid w:val="00A03636"/>
    <w:rsid w:val="00A04504"/>
    <w:rsid w:val="00A0472F"/>
    <w:rsid w:val="00A06127"/>
    <w:rsid w:val="00A06E0D"/>
    <w:rsid w:val="00A109B7"/>
    <w:rsid w:val="00A1106C"/>
    <w:rsid w:val="00A14A0E"/>
    <w:rsid w:val="00A17744"/>
    <w:rsid w:val="00A2029D"/>
    <w:rsid w:val="00A20B95"/>
    <w:rsid w:val="00A22A4C"/>
    <w:rsid w:val="00A2304B"/>
    <w:rsid w:val="00A2367B"/>
    <w:rsid w:val="00A24E64"/>
    <w:rsid w:val="00A26AA3"/>
    <w:rsid w:val="00A31815"/>
    <w:rsid w:val="00A31A4F"/>
    <w:rsid w:val="00A337DD"/>
    <w:rsid w:val="00A35715"/>
    <w:rsid w:val="00A35FA4"/>
    <w:rsid w:val="00A406A2"/>
    <w:rsid w:val="00A426C2"/>
    <w:rsid w:val="00A42B58"/>
    <w:rsid w:val="00A43BDB"/>
    <w:rsid w:val="00A45E3B"/>
    <w:rsid w:val="00A46DD3"/>
    <w:rsid w:val="00A47CF3"/>
    <w:rsid w:val="00A5180C"/>
    <w:rsid w:val="00A54847"/>
    <w:rsid w:val="00A579A6"/>
    <w:rsid w:val="00A57CEC"/>
    <w:rsid w:val="00A57D18"/>
    <w:rsid w:val="00A57F11"/>
    <w:rsid w:val="00A6049C"/>
    <w:rsid w:val="00A66E2B"/>
    <w:rsid w:val="00A67211"/>
    <w:rsid w:val="00A676B6"/>
    <w:rsid w:val="00A70B7E"/>
    <w:rsid w:val="00A70F04"/>
    <w:rsid w:val="00A71137"/>
    <w:rsid w:val="00A72CD2"/>
    <w:rsid w:val="00A72CE1"/>
    <w:rsid w:val="00A7301B"/>
    <w:rsid w:val="00A7400B"/>
    <w:rsid w:val="00A7488B"/>
    <w:rsid w:val="00A76167"/>
    <w:rsid w:val="00A821DB"/>
    <w:rsid w:val="00A831EA"/>
    <w:rsid w:val="00A87446"/>
    <w:rsid w:val="00A879FF"/>
    <w:rsid w:val="00A90684"/>
    <w:rsid w:val="00A913A0"/>
    <w:rsid w:val="00A9532F"/>
    <w:rsid w:val="00A95E1C"/>
    <w:rsid w:val="00A95F60"/>
    <w:rsid w:val="00A96001"/>
    <w:rsid w:val="00A96C17"/>
    <w:rsid w:val="00AA02FD"/>
    <w:rsid w:val="00AA033A"/>
    <w:rsid w:val="00AA228B"/>
    <w:rsid w:val="00AA25A2"/>
    <w:rsid w:val="00AB3F6A"/>
    <w:rsid w:val="00AC05D4"/>
    <w:rsid w:val="00AC1DEB"/>
    <w:rsid w:val="00AC58B9"/>
    <w:rsid w:val="00AC6AAE"/>
    <w:rsid w:val="00AC6C94"/>
    <w:rsid w:val="00AC76C8"/>
    <w:rsid w:val="00AC7876"/>
    <w:rsid w:val="00AD006B"/>
    <w:rsid w:val="00AD0176"/>
    <w:rsid w:val="00AD3E37"/>
    <w:rsid w:val="00AD4097"/>
    <w:rsid w:val="00AD47BB"/>
    <w:rsid w:val="00AD508A"/>
    <w:rsid w:val="00AD548A"/>
    <w:rsid w:val="00AD63BD"/>
    <w:rsid w:val="00AD653C"/>
    <w:rsid w:val="00AD68CC"/>
    <w:rsid w:val="00AD6FE5"/>
    <w:rsid w:val="00AD759E"/>
    <w:rsid w:val="00AD7A5B"/>
    <w:rsid w:val="00AD7D0B"/>
    <w:rsid w:val="00AE09EA"/>
    <w:rsid w:val="00AE0B46"/>
    <w:rsid w:val="00AE1340"/>
    <w:rsid w:val="00AE52A1"/>
    <w:rsid w:val="00AE72AE"/>
    <w:rsid w:val="00AE7688"/>
    <w:rsid w:val="00AE7A4D"/>
    <w:rsid w:val="00AF0346"/>
    <w:rsid w:val="00AF0352"/>
    <w:rsid w:val="00AF10C1"/>
    <w:rsid w:val="00AF3CEB"/>
    <w:rsid w:val="00AF58F7"/>
    <w:rsid w:val="00AF6798"/>
    <w:rsid w:val="00AF73FD"/>
    <w:rsid w:val="00B0147E"/>
    <w:rsid w:val="00B015D6"/>
    <w:rsid w:val="00B01CBD"/>
    <w:rsid w:val="00B06122"/>
    <w:rsid w:val="00B06D23"/>
    <w:rsid w:val="00B12F5C"/>
    <w:rsid w:val="00B13331"/>
    <w:rsid w:val="00B14381"/>
    <w:rsid w:val="00B1531C"/>
    <w:rsid w:val="00B15967"/>
    <w:rsid w:val="00B17135"/>
    <w:rsid w:val="00B202D4"/>
    <w:rsid w:val="00B20A3A"/>
    <w:rsid w:val="00B25CD7"/>
    <w:rsid w:val="00B25F9A"/>
    <w:rsid w:val="00B26512"/>
    <w:rsid w:val="00B2730F"/>
    <w:rsid w:val="00B327CD"/>
    <w:rsid w:val="00B32E1F"/>
    <w:rsid w:val="00B3331A"/>
    <w:rsid w:val="00B33484"/>
    <w:rsid w:val="00B33B39"/>
    <w:rsid w:val="00B34E16"/>
    <w:rsid w:val="00B3572E"/>
    <w:rsid w:val="00B35E02"/>
    <w:rsid w:val="00B36DC1"/>
    <w:rsid w:val="00B3711C"/>
    <w:rsid w:val="00B42053"/>
    <w:rsid w:val="00B42110"/>
    <w:rsid w:val="00B44BE1"/>
    <w:rsid w:val="00B45418"/>
    <w:rsid w:val="00B4561F"/>
    <w:rsid w:val="00B50A3D"/>
    <w:rsid w:val="00B53972"/>
    <w:rsid w:val="00B54CFA"/>
    <w:rsid w:val="00B54FDD"/>
    <w:rsid w:val="00B55D2C"/>
    <w:rsid w:val="00B56EC1"/>
    <w:rsid w:val="00B60E03"/>
    <w:rsid w:val="00B619F1"/>
    <w:rsid w:val="00B63E2E"/>
    <w:rsid w:val="00B65BDB"/>
    <w:rsid w:val="00B66315"/>
    <w:rsid w:val="00B70AA2"/>
    <w:rsid w:val="00B7173F"/>
    <w:rsid w:val="00B7177A"/>
    <w:rsid w:val="00B71915"/>
    <w:rsid w:val="00B748CC"/>
    <w:rsid w:val="00B7695D"/>
    <w:rsid w:val="00B775AD"/>
    <w:rsid w:val="00B7793B"/>
    <w:rsid w:val="00B77F0C"/>
    <w:rsid w:val="00B81870"/>
    <w:rsid w:val="00B83FB3"/>
    <w:rsid w:val="00B856E2"/>
    <w:rsid w:val="00B87588"/>
    <w:rsid w:val="00B929BA"/>
    <w:rsid w:val="00B92DAB"/>
    <w:rsid w:val="00B94004"/>
    <w:rsid w:val="00B944C9"/>
    <w:rsid w:val="00B96768"/>
    <w:rsid w:val="00B9773B"/>
    <w:rsid w:val="00BA1EFE"/>
    <w:rsid w:val="00BA3FA9"/>
    <w:rsid w:val="00BA4113"/>
    <w:rsid w:val="00BA621C"/>
    <w:rsid w:val="00BA633E"/>
    <w:rsid w:val="00BA6B4A"/>
    <w:rsid w:val="00BA6D96"/>
    <w:rsid w:val="00BB1DBF"/>
    <w:rsid w:val="00BB44BC"/>
    <w:rsid w:val="00BC03D9"/>
    <w:rsid w:val="00BC0B4F"/>
    <w:rsid w:val="00BC4149"/>
    <w:rsid w:val="00BC41D7"/>
    <w:rsid w:val="00BC5861"/>
    <w:rsid w:val="00BC6753"/>
    <w:rsid w:val="00BC7ABA"/>
    <w:rsid w:val="00BC7E0F"/>
    <w:rsid w:val="00BD0953"/>
    <w:rsid w:val="00BD0A16"/>
    <w:rsid w:val="00BD1B90"/>
    <w:rsid w:val="00BD4C55"/>
    <w:rsid w:val="00BD5363"/>
    <w:rsid w:val="00BD5653"/>
    <w:rsid w:val="00BD56B0"/>
    <w:rsid w:val="00BD5A10"/>
    <w:rsid w:val="00BD6141"/>
    <w:rsid w:val="00BD73D2"/>
    <w:rsid w:val="00BE209B"/>
    <w:rsid w:val="00BE3553"/>
    <w:rsid w:val="00BE38D3"/>
    <w:rsid w:val="00BE57BC"/>
    <w:rsid w:val="00BE6376"/>
    <w:rsid w:val="00BE7C06"/>
    <w:rsid w:val="00BF1864"/>
    <w:rsid w:val="00BF1B67"/>
    <w:rsid w:val="00BF2C60"/>
    <w:rsid w:val="00BF3C4A"/>
    <w:rsid w:val="00BF3D46"/>
    <w:rsid w:val="00BF3E79"/>
    <w:rsid w:val="00BF561F"/>
    <w:rsid w:val="00BF7142"/>
    <w:rsid w:val="00BF7852"/>
    <w:rsid w:val="00C00AC6"/>
    <w:rsid w:val="00C0180A"/>
    <w:rsid w:val="00C01CF1"/>
    <w:rsid w:val="00C02860"/>
    <w:rsid w:val="00C04F32"/>
    <w:rsid w:val="00C05662"/>
    <w:rsid w:val="00C05669"/>
    <w:rsid w:val="00C06F6C"/>
    <w:rsid w:val="00C07CFB"/>
    <w:rsid w:val="00C11192"/>
    <w:rsid w:val="00C120FA"/>
    <w:rsid w:val="00C126C0"/>
    <w:rsid w:val="00C126F5"/>
    <w:rsid w:val="00C1344D"/>
    <w:rsid w:val="00C1356C"/>
    <w:rsid w:val="00C13635"/>
    <w:rsid w:val="00C15282"/>
    <w:rsid w:val="00C15CA8"/>
    <w:rsid w:val="00C161E7"/>
    <w:rsid w:val="00C16A9D"/>
    <w:rsid w:val="00C17E66"/>
    <w:rsid w:val="00C2041C"/>
    <w:rsid w:val="00C20632"/>
    <w:rsid w:val="00C21243"/>
    <w:rsid w:val="00C21567"/>
    <w:rsid w:val="00C21709"/>
    <w:rsid w:val="00C21BE3"/>
    <w:rsid w:val="00C220C5"/>
    <w:rsid w:val="00C227D8"/>
    <w:rsid w:val="00C22857"/>
    <w:rsid w:val="00C23372"/>
    <w:rsid w:val="00C23C17"/>
    <w:rsid w:val="00C24C4D"/>
    <w:rsid w:val="00C24F99"/>
    <w:rsid w:val="00C25621"/>
    <w:rsid w:val="00C257AF"/>
    <w:rsid w:val="00C25F1E"/>
    <w:rsid w:val="00C26994"/>
    <w:rsid w:val="00C305FD"/>
    <w:rsid w:val="00C319A7"/>
    <w:rsid w:val="00C33CA9"/>
    <w:rsid w:val="00C3523F"/>
    <w:rsid w:val="00C35284"/>
    <w:rsid w:val="00C360BB"/>
    <w:rsid w:val="00C40950"/>
    <w:rsid w:val="00C40973"/>
    <w:rsid w:val="00C41606"/>
    <w:rsid w:val="00C445DC"/>
    <w:rsid w:val="00C45CC1"/>
    <w:rsid w:val="00C502BA"/>
    <w:rsid w:val="00C515D0"/>
    <w:rsid w:val="00C52430"/>
    <w:rsid w:val="00C52786"/>
    <w:rsid w:val="00C54450"/>
    <w:rsid w:val="00C56560"/>
    <w:rsid w:val="00C576EB"/>
    <w:rsid w:val="00C578F6"/>
    <w:rsid w:val="00C635AD"/>
    <w:rsid w:val="00C63A04"/>
    <w:rsid w:val="00C65098"/>
    <w:rsid w:val="00C65D9A"/>
    <w:rsid w:val="00C662CE"/>
    <w:rsid w:val="00C7013B"/>
    <w:rsid w:val="00C71190"/>
    <w:rsid w:val="00C72075"/>
    <w:rsid w:val="00C72091"/>
    <w:rsid w:val="00C73340"/>
    <w:rsid w:val="00C738DE"/>
    <w:rsid w:val="00C763C2"/>
    <w:rsid w:val="00C802F5"/>
    <w:rsid w:val="00C811F0"/>
    <w:rsid w:val="00C81477"/>
    <w:rsid w:val="00C82D67"/>
    <w:rsid w:val="00C84AA6"/>
    <w:rsid w:val="00C84C2B"/>
    <w:rsid w:val="00C85210"/>
    <w:rsid w:val="00C8545F"/>
    <w:rsid w:val="00C8618D"/>
    <w:rsid w:val="00C864CE"/>
    <w:rsid w:val="00C9266F"/>
    <w:rsid w:val="00C929D8"/>
    <w:rsid w:val="00C92B2F"/>
    <w:rsid w:val="00C9351C"/>
    <w:rsid w:val="00C94346"/>
    <w:rsid w:val="00C9457C"/>
    <w:rsid w:val="00C94AFF"/>
    <w:rsid w:val="00C94EAB"/>
    <w:rsid w:val="00C977EA"/>
    <w:rsid w:val="00C97C61"/>
    <w:rsid w:val="00CA00E5"/>
    <w:rsid w:val="00CA226A"/>
    <w:rsid w:val="00CA4FB1"/>
    <w:rsid w:val="00CA728E"/>
    <w:rsid w:val="00CA7B7A"/>
    <w:rsid w:val="00CB190F"/>
    <w:rsid w:val="00CB2D30"/>
    <w:rsid w:val="00CB2FA8"/>
    <w:rsid w:val="00CB53E4"/>
    <w:rsid w:val="00CB5D14"/>
    <w:rsid w:val="00CB6ABB"/>
    <w:rsid w:val="00CB6BDD"/>
    <w:rsid w:val="00CB6D0C"/>
    <w:rsid w:val="00CC1C62"/>
    <w:rsid w:val="00CC3E73"/>
    <w:rsid w:val="00CC4DCA"/>
    <w:rsid w:val="00CC61D5"/>
    <w:rsid w:val="00CC63B1"/>
    <w:rsid w:val="00CC7C59"/>
    <w:rsid w:val="00CC7FD4"/>
    <w:rsid w:val="00CD1E42"/>
    <w:rsid w:val="00CD3424"/>
    <w:rsid w:val="00CD3FB9"/>
    <w:rsid w:val="00CD4E86"/>
    <w:rsid w:val="00CD51D9"/>
    <w:rsid w:val="00CD676C"/>
    <w:rsid w:val="00CD6E60"/>
    <w:rsid w:val="00CD7078"/>
    <w:rsid w:val="00CE09BF"/>
    <w:rsid w:val="00CE0A21"/>
    <w:rsid w:val="00CE0E15"/>
    <w:rsid w:val="00CE3E34"/>
    <w:rsid w:val="00CE43FA"/>
    <w:rsid w:val="00CE47AF"/>
    <w:rsid w:val="00CE54BB"/>
    <w:rsid w:val="00CE5DB0"/>
    <w:rsid w:val="00CF3968"/>
    <w:rsid w:val="00CF512D"/>
    <w:rsid w:val="00CF5328"/>
    <w:rsid w:val="00CF582D"/>
    <w:rsid w:val="00CF6E5A"/>
    <w:rsid w:val="00CF7650"/>
    <w:rsid w:val="00D036AD"/>
    <w:rsid w:val="00D0441C"/>
    <w:rsid w:val="00D0458E"/>
    <w:rsid w:val="00D053B3"/>
    <w:rsid w:val="00D06A07"/>
    <w:rsid w:val="00D06B80"/>
    <w:rsid w:val="00D10AC4"/>
    <w:rsid w:val="00D112AE"/>
    <w:rsid w:val="00D11F37"/>
    <w:rsid w:val="00D14002"/>
    <w:rsid w:val="00D14BA6"/>
    <w:rsid w:val="00D154E3"/>
    <w:rsid w:val="00D172DA"/>
    <w:rsid w:val="00D206BA"/>
    <w:rsid w:val="00D20BC0"/>
    <w:rsid w:val="00D2208F"/>
    <w:rsid w:val="00D227A8"/>
    <w:rsid w:val="00D24AB3"/>
    <w:rsid w:val="00D25D7F"/>
    <w:rsid w:val="00D30619"/>
    <w:rsid w:val="00D32FB5"/>
    <w:rsid w:val="00D33AB4"/>
    <w:rsid w:val="00D35757"/>
    <w:rsid w:val="00D360D0"/>
    <w:rsid w:val="00D37357"/>
    <w:rsid w:val="00D37861"/>
    <w:rsid w:val="00D405A2"/>
    <w:rsid w:val="00D40AAF"/>
    <w:rsid w:val="00D41C61"/>
    <w:rsid w:val="00D460A8"/>
    <w:rsid w:val="00D46612"/>
    <w:rsid w:val="00D474FF"/>
    <w:rsid w:val="00D50FA7"/>
    <w:rsid w:val="00D52EFC"/>
    <w:rsid w:val="00D5340B"/>
    <w:rsid w:val="00D548CA"/>
    <w:rsid w:val="00D54D7E"/>
    <w:rsid w:val="00D617E1"/>
    <w:rsid w:val="00D61B9B"/>
    <w:rsid w:val="00D61E08"/>
    <w:rsid w:val="00D6311F"/>
    <w:rsid w:val="00D6353D"/>
    <w:rsid w:val="00D638C6"/>
    <w:rsid w:val="00D64635"/>
    <w:rsid w:val="00D64774"/>
    <w:rsid w:val="00D64912"/>
    <w:rsid w:val="00D64F2A"/>
    <w:rsid w:val="00D676BA"/>
    <w:rsid w:val="00D678DC"/>
    <w:rsid w:val="00D67AFF"/>
    <w:rsid w:val="00D67C8F"/>
    <w:rsid w:val="00D67D65"/>
    <w:rsid w:val="00D7066D"/>
    <w:rsid w:val="00D707E5"/>
    <w:rsid w:val="00D70813"/>
    <w:rsid w:val="00D70CDA"/>
    <w:rsid w:val="00D71733"/>
    <w:rsid w:val="00D735E4"/>
    <w:rsid w:val="00D744FA"/>
    <w:rsid w:val="00D74524"/>
    <w:rsid w:val="00D75D70"/>
    <w:rsid w:val="00D76913"/>
    <w:rsid w:val="00D803AE"/>
    <w:rsid w:val="00D8421C"/>
    <w:rsid w:val="00D84515"/>
    <w:rsid w:val="00D84D4B"/>
    <w:rsid w:val="00D8582F"/>
    <w:rsid w:val="00D86211"/>
    <w:rsid w:val="00D8776A"/>
    <w:rsid w:val="00D91124"/>
    <w:rsid w:val="00D92024"/>
    <w:rsid w:val="00D9238E"/>
    <w:rsid w:val="00D923BD"/>
    <w:rsid w:val="00D9366A"/>
    <w:rsid w:val="00D96B77"/>
    <w:rsid w:val="00D97ED8"/>
    <w:rsid w:val="00DA1DC3"/>
    <w:rsid w:val="00DA48B0"/>
    <w:rsid w:val="00DA4911"/>
    <w:rsid w:val="00DA5BA7"/>
    <w:rsid w:val="00DB1325"/>
    <w:rsid w:val="00DB155A"/>
    <w:rsid w:val="00DB451A"/>
    <w:rsid w:val="00DB5498"/>
    <w:rsid w:val="00DB5887"/>
    <w:rsid w:val="00DB7794"/>
    <w:rsid w:val="00DB789E"/>
    <w:rsid w:val="00DB7EF8"/>
    <w:rsid w:val="00DC0E22"/>
    <w:rsid w:val="00DC280C"/>
    <w:rsid w:val="00DC2B01"/>
    <w:rsid w:val="00DC2D47"/>
    <w:rsid w:val="00DC340C"/>
    <w:rsid w:val="00DC4BA7"/>
    <w:rsid w:val="00DC610D"/>
    <w:rsid w:val="00DC7FC0"/>
    <w:rsid w:val="00DD0F6C"/>
    <w:rsid w:val="00DD19C0"/>
    <w:rsid w:val="00DD2309"/>
    <w:rsid w:val="00DD30C4"/>
    <w:rsid w:val="00DD3913"/>
    <w:rsid w:val="00DD3D7E"/>
    <w:rsid w:val="00DD3E87"/>
    <w:rsid w:val="00DD469D"/>
    <w:rsid w:val="00DD7AB7"/>
    <w:rsid w:val="00DD7D83"/>
    <w:rsid w:val="00DE05D5"/>
    <w:rsid w:val="00DE076B"/>
    <w:rsid w:val="00DE0F22"/>
    <w:rsid w:val="00DE138E"/>
    <w:rsid w:val="00DE1C86"/>
    <w:rsid w:val="00DE42C2"/>
    <w:rsid w:val="00DE5407"/>
    <w:rsid w:val="00DE5507"/>
    <w:rsid w:val="00DE6191"/>
    <w:rsid w:val="00DE75A6"/>
    <w:rsid w:val="00DF00D9"/>
    <w:rsid w:val="00DF257B"/>
    <w:rsid w:val="00DF2A48"/>
    <w:rsid w:val="00DF388A"/>
    <w:rsid w:val="00DF6C08"/>
    <w:rsid w:val="00E00E33"/>
    <w:rsid w:val="00E01765"/>
    <w:rsid w:val="00E0259C"/>
    <w:rsid w:val="00E02D01"/>
    <w:rsid w:val="00E033BF"/>
    <w:rsid w:val="00E0387B"/>
    <w:rsid w:val="00E04668"/>
    <w:rsid w:val="00E070BB"/>
    <w:rsid w:val="00E07A6B"/>
    <w:rsid w:val="00E10228"/>
    <w:rsid w:val="00E11E42"/>
    <w:rsid w:val="00E12C43"/>
    <w:rsid w:val="00E12E5C"/>
    <w:rsid w:val="00E15FE8"/>
    <w:rsid w:val="00E16356"/>
    <w:rsid w:val="00E16D98"/>
    <w:rsid w:val="00E1776D"/>
    <w:rsid w:val="00E201FB"/>
    <w:rsid w:val="00E20AA3"/>
    <w:rsid w:val="00E21D99"/>
    <w:rsid w:val="00E2239B"/>
    <w:rsid w:val="00E227D2"/>
    <w:rsid w:val="00E228D7"/>
    <w:rsid w:val="00E25DA7"/>
    <w:rsid w:val="00E26B8E"/>
    <w:rsid w:val="00E27121"/>
    <w:rsid w:val="00E311A3"/>
    <w:rsid w:val="00E31E66"/>
    <w:rsid w:val="00E32E97"/>
    <w:rsid w:val="00E331BE"/>
    <w:rsid w:val="00E3333E"/>
    <w:rsid w:val="00E3354C"/>
    <w:rsid w:val="00E34525"/>
    <w:rsid w:val="00E34863"/>
    <w:rsid w:val="00E34CCB"/>
    <w:rsid w:val="00E35922"/>
    <w:rsid w:val="00E3681B"/>
    <w:rsid w:val="00E36F58"/>
    <w:rsid w:val="00E37AC4"/>
    <w:rsid w:val="00E37ECD"/>
    <w:rsid w:val="00E438F5"/>
    <w:rsid w:val="00E453FE"/>
    <w:rsid w:val="00E475B6"/>
    <w:rsid w:val="00E477CA"/>
    <w:rsid w:val="00E47934"/>
    <w:rsid w:val="00E5001A"/>
    <w:rsid w:val="00E5095B"/>
    <w:rsid w:val="00E51E8A"/>
    <w:rsid w:val="00E545AE"/>
    <w:rsid w:val="00E5518E"/>
    <w:rsid w:val="00E57403"/>
    <w:rsid w:val="00E5755C"/>
    <w:rsid w:val="00E60675"/>
    <w:rsid w:val="00E62C8D"/>
    <w:rsid w:val="00E649E0"/>
    <w:rsid w:val="00E65123"/>
    <w:rsid w:val="00E65D24"/>
    <w:rsid w:val="00E674DC"/>
    <w:rsid w:val="00E67A73"/>
    <w:rsid w:val="00E67B68"/>
    <w:rsid w:val="00E67C93"/>
    <w:rsid w:val="00E71EDF"/>
    <w:rsid w:val="00E741E1"/>
    <w:rsid w:val="00E7484B"/>
    <w:rsid w:val="00E74A79"/>
    <w:rsid w:val="00E80329"/>
    <w:rsid w:val="00E8164C"/>
    <w:rsid w:val="00E829AB"/>
    <w:rsid w:val="00E85BDF"/>
    <w:rsid w:val="00E873B8"/>
    <w:rsid w:val="00E87998"/>
    <w:rsid w:val="00E92244"/>
    <w:rsid w:val="00E92308"/>
    <w:rsid w:val="00E95662"/>
    <w:rsid w:val="00E96AB4"/>
    <w:rsid w:val="00E96DA6"/>
    <w:rsid w:val="00E977DA"/>
    <w:rsid w:val="00EA16E8"/>
    <w:rsid w:val="00EA19D5"/>
    <w:rsid w:val="00EA3307"/>
    <w:rsid w:val="00EA426C"/>
    <w:rsid w:val="00EA471F"/>
    <w:rsid w:val="00EA7B60"/>
    <w:rsid w:val="00EB4F1A"/>
    <w:rsid w:val="00EB5008"/>
    <w:rsid w:val="00EB55DD"/>
    <w:rsid w:val="00EB793B"/>
    <w:rsid w:val="00EB7D1F"/>
    <w:rsid w:val="00EC0B9F"/>
    <w:rsid w:val="00EC0F84"/>
    <w:rsid w:val="00EC315A"/>
    <w:rsid w:val="00EC4BE7"/>
    <w:rsid w:val="00EC620E"/>
    <w:rsid w:val="00EC65A2"/>
    <w:rsid w:val="00ED0686"/>
    <w:rsid w:val="00ED0FA6"/>
    <w:rsid w:val="00ED1101"/>
    <w:rsid w:val="00ED1CCD"/>
    <w:rsid w:val="00ED32FB"/>
    <w:rsid w:val="00ED4B88"/>
    <w:rsid w:val="00ED4D50"/>
    <w:rsid w:val="00ED511E"/>
    <w:rsid w:val="00ED7E82"/>
    <w:rsid w:val="00ED7F8E"/>
    <w:rsid w:val="00EE58AE"/>
    <w:rsid w:val="00EE6FA4"/>
    <w:rsid w:val="00EF0299"/>
    <w:rsid w:val="00EF0449"/>
    <w:rsid w:val="00EF2315"/>
    <w:rsid w:val="00EF27CC"/>
    <w:rsid w:val="00EF4133"/>
    <w:rsid w:val="00EF41B4"/>
    <w:rsid w:val="00EF4FC4"/>
    <w:rsid w:val="00EF52EA"/>
    <w:rsid w:val="00EF5EE2"/>
    <w:rsid w:val="00EF6191"/>
    <w:rsid w:val="00F00641"/>
    <w:rsid w:val="00F00905"/>
    <w:rsid w:val="00F039AA"/>
    <w:rsid w:val="00F054CD"/>
    <w:rsid w:val="00F0564E"/>
    <w:rsid w:val="00F07699"/>
    <w:rsid w:val="00F10538"/>
    <w:rsid w:val="00F11256"/>
    <w:rsid w:val="00F114DE"/>
    <w:rsid w:val="00F128AB"/>
    <w:rsid w:val="00F13354"/>
    <w:rsid w:val="00F1495D"/>
    <w:rsid w:val="00F14DB7"/>
    <w:rsid w:val="00F1665A"/>
    <w:rsid w:val="00F1730F"/>
    <w:rsid w:val="00F202EB"/>
    <w:rsid w:val="00F21F1C"/>
    <w:rsid w:val="00F22136"/>
    <w:rsid w:val="00F225AE"/>
    <w:rsid w:val="00F23150"/>
    <w:rsid w:val="00F232A6"/>
    <w:rsid w:val="00F250F1"/>
    <w:rsid w:val="00F2559C"/>
    <w:rsid w:val="00F256F6"/>
    <w:rsid w:val="00F25E79"/>
    <w:rsid w:val="00F25F2E"/>
    <w:rsid w:val="00F26413"/>
    <w:rsid w:val="00F26567"/>
    <w:rsid w:val="00F325AB"/>
    <w:rsid w:val="00F325FA"/>
    <w:rsid w:val="00F330BA"/>
    <w:rsid w:val="00F33349"/>
    <w:rsid w:val="00F33A77"/>
    <w:rsid w:val="00F35959"/>
    <w:rsid w:val="00F35C95"/>
    <w:rsid w:val="00F3676D"/>
    <w:rsid w:val="00F36BAF"/>
    <w:rsid w:val="00F4036F"/>
    <w:rsid w:val="00F42202"/>
    <w:rsid w:val="00F4275C"/>
    <w:rsid w:val="00F42910"/>
    <w:rsid w:val="00F448A7"/>
    <w:rsid w:val="00F45F01"/>
    <w:rsid w:val="00F45FA5"/>
    <w:rsid w:val="00F46521"/>
    <w:rsid w:val="00F50746"/>
    <w:rsid w:val="00F513F8"/>
    <w:rsid w:val="00F5255A"/>
    <w:rsid w:val="00F52CB2"/>
    <w:rsid w:val="00F536A4"/>
    <w:rsid w:val="00F560D4"/>
    <w:rsid w:val="00F56990"/>
    <w:rsid w:val="00F61A4A"/>
    <w:rsid w:val="00F637BE"/>
    <w:rsid w:val="00F659D8"/>
    <w:rsid w:val="00F65CAE"/>
    <w:rsid w:val="00F66285"/>
    <w:rsid w:val="00F730DE"/>
    <w:rsid w:val="00F73E6F"/>
    <w:rsid w:val="00F742C4"/>
    <w:rsid w:val="00F7438F"/>
    <w:rsid w:val="00F7515E"/>
    <w:rsid w:val="00F75DC2"/>
    <w:rsid w:val="00F76A2C"/>
    <w:rsid w:val="00F83023"/>
    <w:rsid w:val="00F83AD4"/>
    <w:rsid w:val="00F84716"/>
    <w:rsid w:val="00F85C53"/>
    <w:rsid w:val="00F863F4"/>
    <w:rsid w:val="00F87545"/>
    <w:rsid w:val="00F875C3"/>
    <w:rsid w:val="00F900DA"/>
    <w:rsid w:val="00F92995"/>
    <w:rsid w:val="00F946C3"/>
    <w:rsid w:val="00F95844"/>
    <w:rsid w:val="00F95A74"/>
    <w:rsid w:val="00F97404"/>
    <w:rsid w:val="00F97D9F"/>
    <w:rsid w:val="00FA1DC9"/>
    <w:rsid w:val="00FA1EF2"/>
    <w:rsid w:val="00FA20FE"/>
    <w:rsid w:val="00FA2F19"/>
    <w:rsid w:val="00FA3968"/>
    <w:rsid w:val="00FA4F86"/>
    <w:rsid w:val="00FA6EFE"/>
    <w:rsid w:val="00FB08F9"/>
    <w:rsid w:val="00FB0E5A"/>
    <w:rsid w:val="00FB3B07"/>
    <w:rsid w:val="00FB41EE"/>
    <w:rsid w:val="00FB4722"/>
    <w:rsid w:val="00FB5A30"/>
    <w:rsid w:val="00FC04EE"/>
    <w:rsid w:val="00FC06E5"/>
    <w:rsid w:val="00FC1886"/>
    <w:rsid w:val="00FC2329"/>
    <w:rsid w:val="00FC4225"/>
    <w:rsid w:val="00FC53C4"/>
    <w:rsid w:val="00FC595E"/>
    <w:rsid w:val="00FC6ECA"/>
    <w:rsid w:val="00FD147B"/>
    <w:rsid w:val="00FD1712"/>
    <w:rsid w:val="00FD3BC9"/>
    <w:rsid w:val="00FD3E10"/>
    <w:rsid w:val="00FD4586"/>
    <w:rsid w:val="00FD4FA7"/>
    <w:rsid w:val="00FD5658"/>
    <w:rsid w:val="00FD6203"/>
    <w:rsid w:val="00FD64F9"/>
    <w:rsid w:val="00FD7C5D"/>
    <w:rsid w:val="00FD7DBD"/>
    <w:rsid w:val="00FD7EA7"/>
    <w:rsid w:val="00FE0DF9"/>
    <w:rsid w:val="00FE1D72"/>
    <w:rsid w:val="00FE2462"/>
    <w:rsid w:val="00FE54FE"/>
    <w:rsid w:val="00FE7D3F"/>
    <w:rsid w:val="00FF016E"/>
    <w:rsid w:val="00FF050C"/>
    <w:rsid w:val="00FF07A2"/>
    <w:rsid w:val="00FF1CEB"/>
    <w:rsid w:val="00FF24B2"/>
    <w:rsid w:val="00FF279E"/>
    <w:rsid w:val="00FF2A78"/>
    <w:rsid w:val="00FF3400"/>
    <w:rsid w:val="00FF5374"/>
    <w:rsid w:val="00FF5A45"/>
    <w:rsid w:val="00FF701E"/>
    <w:rsid w:val="00FF7D56"/>
    <w:rsid w:val="01AE6C16"/>
    <w:rsid w:val="04592929"/>
    <w:rsid w:val="04641540"/>
    <w:rsid w:val="04D05CEB"/>
    <w:rsid w:val="077211C3"/>
    <w:rsid w:val="08C55D55"/>
    <w:rsid w:val="0A6E61D0"/>
    <w:rsid w:val="0B61769D"/>
    <w:rsid w:val="0D3D37F2"/>
    <w:rsid w:val="0E216DBE"/>
    <w:rsid w:val="11455855"/>
    <w:rsid w:val="13C046D0"/>
    <w:rsid w:val="17B46DA6"/>
    <w:rsid w:val="17D639B8"/>
    <w:rsid w:val="1FCF7B02"/>
    <w:rsid w:val="21515666"/>
    <w:rsid w:val="21C81DCC"/>
    <w:rsid w:val="23755817"/>
    <w:rsid w:val="265C6F87"/>
    <w:rsid w:val="2F191EB9"/>
    <w:rsid w:val="2F6A4E58"/>
    <w:rsid w:val="30FC4E57"/>
    <w:rsid w:val="35957EAF"/>
    <w:rsid w:val="36826596"/>
    <w:rsid w:val="36BD312A"/>
    <w:rsid w:val="3762626B"/>
    <w:rsid w:val="38AD5420"/>
    <w:rsid w:val="3B993054"/>
    <w:rsid w:val="3DA87A8B"/>
    <w:rsid w:val="42A87384"/>
    <w:rsid w:val="42BF647C"/>
    <w:rsid w:val="435F2C70"/>
    <w:rsid w:val="453851EF"/>
    <w:rsid w:val="482C28BF"/>
    <w:rsid w:val="4EEF1E97"/>
    <w:rsid w:val="50531AA6"/>
    <w:rsid w:val="50622F2F"/>
    <w:rsid w:val="577350E2"/>
    <w:rsid w:val="58C223CA"/>
    <w:rsid w:val="58DF5017"/>
    <w:rsid w:val="593F3A1A"/>
    <w:rsid w:val="5B0B25DF"/>
    <w:rsid w:val="62643CF8"/>
    <w:rsid w:val="6870599E"/>
    <w:rsid w:val="6D60667F"/>
    <w:rsid w:val="747607E0"/>
    <w:rsid w:val="74E21BA3"/>
    <w:rsid w:val="757F7646"/>
    <w:rsid w:val="75C14C09"/>
    <w:rsid w:val="78D9133E"/>
    <w:rsid w:val="79666B72"/>
    <w:rsid w:val="7D33726F"/>
    <w:rsid w:val="7D956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C3B9154"/>
  <w15:docId w15:val="{9D535919-80D9-4B42-8156-724D0A768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qFormat="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480" w:lineRule="auto"/>
      <w:ind w:firstLineChars="200" w:firstLine="480"/>
      <w:jc w:val="both"/>
    </w:pPr>
    <w:rPr>
      <w:rFonts w:eastAsiaTheme="minorHAnsi"/>
      <w:sz w:val="24"/>
      <w:szCs w:val="22"/>
      <w:lang w:val="en-GB"/>
    </w:rPr>
  </w:style>
  <w:style w:type="paragraph" w:styleId="Heading1">
    <w:name w:val="heading 1"/>
    <w:basedOn w:val="Normal"/>
    <w:next w:val="Normal"/>
    <w:link w:val="Heading1Char"/>
    <w:uiPriority w:val="9"/>
    <w:qFormat/>
    <w:pPr>
      <w:spacing w:before="480"/>
      <w:ind w:firstLineChars="0" w:firstLine="0"/>
      <w:contextualSpacing/>
      <w:jc w:val="left"/>
      <w:outlineLvl w:val="0"/>
    </w:pPr>
    <w:rPr>
      <w:rFonts w:eastAsiaTheme="majorEastAsia"/>
      <w:b/>
      <w:bCs/>
      <w:szCs w:val="28"/>
      <w:lang w:val="en-US"/>
    </w:rPr>
  </w:style>
  <w:style w:type="paragraph" w:styleId="Heading2">
    <w:name w:val="heading 2"/>
    <w:basedOn w:val="Normal"/>
    <w:next w:val="Normal"/>
    <w:link w:val="Heading2Char"/>
    <w:uiPriority w:val="9"/>
    <w:unhideWhenUsed/>
    <w:qFormat/>
    <w:pPr>
      <w:keepNext/>
      <w:keepLines/>
      <w:spacing w:before="200"/>
      <w:ind w:firstLineChars="0" w:firstLine="0"/>
      <w:outlineLvl w:val="1"/>
    </w:pPr>
    <w:rPr>
      <w:rFonts w:eastAsiaTheme="majorEastAsia"/>
      <w:b/>
      <w:bCs/>
      <w:szCs w:val="24"/>
      <w:lang w:val="en-US" w:eastAsia="ja-JP"/>
    </w:rPr>
  </w:style>
  <w:style w:type="paragraph" w:styleId="Heading3">
    <w:name w:val="heading 3"/>
    <w:basedOn w:val="Normal"/>
    <w:next w:val="Normal"/>
    <w:link w:val="Heading3Char"/>
    <w:uiPriority w:val="9"/>
    <w:unhideWhenUsed/>
    <w:qFormat/>
    <w:pPr>
      <w:keepNext/>
      <w:keepLines/>
      <w:spacing w:before="200"/>
      <w:ind w:firstLineChars="0" w:firstLine="0"/>
      <w:outlineLvl w:val="2"/>
    </w:pPr>
    <w:rPr>
      <w:rFonts w:eastAsiaTheme="majorEastAsia"/>
      <w:b/>
      <w:bCs/>
      <w:i/>
      <w:iCs/>
      <w:color w:val="000000" w:themeColor="text1"/>
      <w:szCs w:val="24"/>
      <w:lang w:val="en-US" w:eastAsia="ja-JP"/>
    </w:rPr>
  </w:style>
  <w:style w:type="paragraph" w:styleId="Heading4">
    <w:name w:val="heading 4"/>
    <w:basedOn w:val="Normal"/>
    <w:next w:val="Normal"/>
    <w:link w:val="Heading4Char"/>
    <w:uiPriority w:val="9"/>
    <w:unhideWhenUsed/>
    <w:qFormat/>
    <w:pPr>
      <w:spacing w:before="200"/>
      <w:ind w:firstLineChars="0" w:firstLine="0"/>
      <w:outlineLvl w:val="3"/>
    </w:pPr>
    <w:rPr>
      <w:rFonts w:eastAsiaTheme="majorEastAsia"/>
      <w:b/>
      <w:bCs/>
      <w:i/>
      <w:iCs/>
      <w:szCs w:val="24"/>
      <w:lang w:val="en-US"/>
    </w:rPr>
  </w:style>
  <w:style w:type="paragraph" w:styleId="Heading5">
    <w:name w:val="heading 5"/>
    <w:basedOn w:val="Normal"/>
    <w:next w:val="Normal"/>
    <w:link w:val="Heading5Char"/>
    <w:uiPriority w:val="9"/>
    <w:semiHidden/>
    <w:unhideWhenUsed/>
    <w:qFormat/>
    <w:pPr>
      <w:spacing w:before="200"/>
      <w:outlineLvl w:val="4"/>
    </w:pPr>
    <w:rPr>
      <w:rFonts w:asciiTheme="majorHAnsi" w:eastAsiaTheme="majorEastAsia" w:hAnsiTheme="majorHAnsi" w:cstheme="majorBidi"/>
      <w:b/>
      <w:bCs/>
      <w:color w:val="7F7F7F" w:themeColor="text1" w:themeTint="80"/>
      <w:szCs w:val="24"/>
      <w:lang w:val="en-US"/>
    </w:rPr>
  </w:style>
  <w:style w:type="paragraph" w:styleId="Heading6">
    <w:name w:val="heading 6"/>
    <w:basedOn w:val="Normal"/>
    <w:next w:val="Normal"/>
    <w:link w:val="Heading6Char"/>
    <w:unhideWhenUsed/>
    <w:qFormat/>
    <w:pPr>
      <w:numPr>
        <w:ilvl w:val="5"/>
        <w:numId w:val="1"/>
      </w:numPr>
      <w:spacing w:line="271" w:lineRule="auto"/>
      <w:outlineLvl w:val="5"/>
    </w:pPr>
    <w:rPr>
      <w:rFonts w:asciiTheme="majorHAnsi" w:eastAsiaTheme="majorEastAsia" w:hAnsiTheme="majorHAnsi" w:cstheme="majorBidi"/>
      <w:b/>
      <w:bCs/>
      <w:i/>
      <w:iCs/>
      <w:color w:val="7F7F7F" w:themeColor="text1" w:themeTint="80"/>
      <w:szCs w:val="24"/>
      <w:lang w:val="en-US"/>
    </w:rPr>
  </w:style>
  <w:style w:type="paragraph" w:styleId="Heading7">
    <w:name w:val="heading 7"/>
    <w:basedOn w:val="Normal"/>
    <w:next w:val="Normal"/>
    <w:link w:val="Heading7Char"/>
    <w:uiPriority w:val="9"/>
    <w:semiHidden/>
    <w:unhideWhenUsed/>
    <w:qFormat/>
    <w:pPr>
      <w:numPr>
        <w:ilvl w:val="6"/>
        <w:numId w:val="1"/>
      </w:numPr>
      <w:outlineLvl w:val="6"/>
    </w:pPr>
    <w:rPr>
      <w:rFonts w:asciiTheme="majorHAnsi" w:eastAsiaTheme="majorEastAsia" w:hAnsiTheme="majorHAnsi" w:cstheme="majorBidi"/>
      <w:i/>
      <w:iCs/>
      <w:szCs w:val="24"/>
      <w:lang w:val="en-US"/>
    </w:rPr>
  </w:style>
  <w:style w:type="paragraph" w:styleId="Heading8">
    <w:name w:val="heading 8"/>
    <w:basedOn w:val="Normal"/>
    <w:next w:val="Normal"/>
    <w:link w:val="Heading8Char"/>
    <w:uiPriority w:val="9"/>
    <w:semiHidden/>
    <w:unhideWhenUsed/>
    <w:qFormat/>
    <w:pPr>
      <w:numPr>
        <w:ilvl w:val="7"/>
        <w:numId w:val="1"/>
      </w:numPr>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pPr>
      <w:numPr>
        <w:ilvl w:val="8"/>
        <w:numId w:val="1"/>
      </w:numPr>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eastAsia="SimHei"/>
      <w:b/>
    </w:rPr>
  </w:style>
  <w:style w:type="paragraph" w:styleId="CommentText">
    <w:name w:val="annotation text"/>
    <w:basedOn w:val="Normal"/>
    <w:link w:val="CommentTextChar"/>
    <w:uiPriority w:val="99"/>
    <w:unhideWhenUsed/>
    <w:qFormat/>
    <w:pPr>
      <w:overflowPunct w:val="0"/>
      <w:autoSpaceDE w:val="0"/>
      <w:autoSpaceDN w:val="0"/>
      <w:adjustRightInd w:val="0"/>
    </w:pPr>
    <w:rPr>
      <w:rFonts w:eastAsia="Times New Roman"/>
      <w:kern w:val="28"/>
      <w:szCs w:val="24"/>
      <w:lang w:val="en-US"/>
    </w:rPr>
  </w:style>
  <w:style w:type="paragraph" w:styleId="TOC5">
    <w:name w:val="toc 5"/>
    <w:next w:val="Normal"/>
    <w:uiPriority w:val="39"/>
    <w:unhideWhenUsed/>
    <w:qFormat/>
    <w:pPr>
      <w:spacing w:line="360" w:lineRule="auto"/>
      <w:ind w:left="1021" w:right="397" w:hanging="1021"/>
    </w:pPr>
    <w:rPr>
      <w:rFonts w:eastAsia="Calibri" w:cs="Arial"/>
      <w:sz w:val="24"/>
      <w:szCs w:val="22"/>
      <w:lang w:val="en-AU" w:eastAsia="en-US"/>
    </w:rPr>
  </w:style>
  <w:style w:type="paragraph" w:styleId="TOC3">
    <w:name w:val="toc 3"/>
    <w:next w:val="EEBodyText"/>
    <w:uiPriority w:val="39"/>
    <w:unhideWhenUsed/>
    <w:qFormat/>
    <w:pPr>
      <w:ind w:left="1049" w:right="397" w:hanging="567"/>
    </w:pPr>
    <w:rPr>
      <w:rFonts w:eastAsia="Times New Roman"/>
      <w:color w:val="000000"/>
      <w:sz w:val="24"/>
      <w:szCs w:val="24"/>
      <w:lang w:val="en-US" w:eastAsia="en-US"/>
    </w:rPr>
  </w:style>
  <w:style w:type="paragraph" w:customStyle="1" w:styleId="EEBodyText">
    <w:name w:val="EE Body Text"/>
    <w:link w:val="EEBodyTextChar"/>
    <w:qFormat/>
    <w:pPr>
      <w:spacing w:before="240" w:after="240" w:line="360" w:lineRule="auto"/>
      <w:ind w:firstLineChars="127" w:firstLine="305"/>
      <w:jc w:val="both"/>
    </w:pPr>
    <w:rPr>
      <w:rFonts w:eastAsia="Times New Roman"/>
      <w:sz w:val="24"/>
      <w:szCs w:val="24"/>
      <w:lang w:val="en-GB" w:eastAsia="en-US"/>
    </w:rPr>
  </w:style>
  <w:style w:type="paragraph" w:styleId="Date">
    <w:name w:val="Date"/>
    <w:basedOn w:val="Normal"/>
    <w:next w:val="Normal"/>
    <w:link w:val="DateChar"/>
    <w:uiPriority w:val="99"/>
    <w:semiHidden/>
    <w:unhideWhenUsed/>
    <w:qFormat/>
    <w:pPr>
      <w:ind w:leftChars="2500" w:left="100" w:firstLineChars="100" w:firstLine="240"/>
    </w:pPr>
    <w:rPr>
      <w:rFonts w:eastAsia="DengXian"/>
      <w:kern w:val="2"/>
      <w:szCs w:val="24"/>
    </w:rPr>
  </w:style>
  <w:style w:type="paragraph" w:styleId="EndnoteText">
    <w:name w:val="endnote text"/>
    <w:basedOn w:val="Normal"/>
    <w:link w:val="EndnoteTextChar"/>
    <w:uiPriority w:val="99"/>
    <w:semiHidden/>
    <w:unhideWhenUsed/>
    <w:qFormat/>
    <w:pPr>
      <w:snapToGrid w:val="0"/>
      <w:jc w:val="left"/>
    </w:pPr>
  </w:style>
  <w:style w:type="paragraph" w:styleId="BalloonText">
    <w:name w:val="Balloon Text"/>
    <w:basedOn w:val="Normal"/>
    <w:link w:val="BalloonTextChar"/>
    <w:uiPriority w:val="99"/>
    <w:semiHidden/>
    <w:unhideWhenUsed/>
    <w:qFormat/>
    <w:rPr>
      <w:rFonts w:ascii="Lucida Grande" w:hAnsi="Lucida Grande"/>
      <w:sz w:val="18"/>
      <w:szCs w:val="18"/>
      <w:lang w:val="en-US" w:eastAsia="ja-JP"/>
    </w:rPr>
  </w:style>
  <w:style w:type="paragraph" w:styleId="Footer">
    <w:name w:val="footer"/>
    <w:basedOn w:val="Normal"/>
    <w:link w:val="FooterChar"/>
    <w:uiPriority w:val="99"/>
    <w:unhideWhenUsed/>
    <w:qFormat/>
    <w:pPr>
      <w:tabs>
        <w:tab w:val="center" w:pos="4513"/>
        <w:tab w:val="right" w:pos="9026"/>
      </w:tabs>
    </w:pPr>
    <w:rPr>
      <w:lang w:val="en-US" w:eastAsia="ja-JP"/>
    </w:rPr>
  </w:style>
  <w:style w:type="paragraph" w:styleId="Header">
    <w:name w:val="header"/>
    <w:basedOn w:val="Normal"/>
    <w:link w:val="HeaderChar"/>
    <w:uiPriority w:val="99"/>
    <w:unhideWhenUsed/>
    <w:qFormat/>
    <w:pPr>
      <w:tabs>
        <w:tab w:val="center" w:pos="4513"/>
        <w:tab w:val="right" w:pos="9026"/>
      </w:tabs>
    </w:pPr>
    <w:rPr>
      <w:lang w:val="en-US" w:eastAsia="ja-JP"/>
    </w:rPr>
  </w:style>
  <w:style w:type="paragraph" w:styleId="TOC1">
    <w:name w:val="toc 1"/>
    <w:basedOn w:val="Normal"/>
    <w:next w:val="Normal"/>
    <w:uiPriority w:val="39"/>
    <w:qFormat/>
    <w:pPr>
      <w:spacing w:line="240" w:lineRule="auto"/>
      <w:ind w:firstLineChars="0" w:firstLine="0"/>
      <w:jc w:val="left"/>
    </w:pPr>
    <w:rPr>
      <w:rFonts w:eastAsia="DengXian"/>
      <w:sz w:val="20"/>
      <w:szCs w:val="20"/>
    </w:rPr>
  </w:style>
  <w:style w:type="paragraph" w:styleId="TOC4">
    <w:name w:val="toc 4"/>
    <w:next w:val="Normal"/>
    <w:uiPriority w:val="39"/>
    <w:qFormat/>
    <w:pPr>
      <w:ind w:left="1485" w:right="397" w:hanging="765"/>
    </w:pPr>
    <w:rPr>
      <w:rFonts w:eastAsia="Times New Roman"/>
      <w:i/>
      <w:sz w:val="24"/>
      <w:szCs w:val="24"/>
      <w:lang w:val="en-US" w:eastAsia="en-US"/>
    </w:rPr>
  </w:style>
  <w:style w:type="paragraph" w:styleId="FootnoteText">
    <w:name w:val="footnote text"/>
    <w:basedOn w:val="Normal"/>
    <w:link w:val="FootnoteTextChar"/>
    <w:uiPriority w:val="99"/>
    <w:unhideWhenUsed/>
    <w:qFormat/>
    <w:pPr>
      <w:snapToGrid w:val="0"/>
    </w:pPr>
    <w:rPr>
      <w:sz w:val="18"/>
    </w:rPr>
  </w:style>
  <w:style w:type="paragraph" w:styleId="TableofFigures">
    <w:name w:val="table of figures"/>
    <w:basedOn w:val="Normal"/>
    <w:next w:val="Normal"/>
    <w:uiPriority w:val="99"/>
    <w:unhideWhenUsed/>
    <w:qFormat/>
    <w:pPr>
      <w:ind w:leftChars="200" w:left="200" w:hangingChars="200" w:hanging="200"/>
    </w:pPr>
  </w:style>
  <w:style w:type="paragraph" w:styleId="TOC2">
    <w:name w:val="toc 2"/>
    <w:next w:val="Normal"/>
    <w:uiPriority w:val="39"/>
    <w:unhideWhenUsed/>
    <w:qFormat/>
    <w:pPr>
      <w:ind w:left="578" w:right="397" w:hanging="340"/>
    </w:pPr>
    <w:rPr>
      <w:rFonts w:eastAsia="Times New Roman"/>
      <w:sz w:val="24"/>
      <w:szCs w:val="22"/>
      <w:lang w:val="en-US" w:eastAsia="en-US"/>
    </w:rPr>
  </w:style>
  <w:style w:type="paragraph" w:styleId="NormalWeb">
    <w:name w:val="Normal (Web)"/>
    <w:basedOn w:val="Normal"/>
    <w:uiPriority w:val="99"/>
    <w:unhideWhenUsed/>
    <w:qFormat/>
    <w:pPr>
      <w:spacing w:before="100" w:beforeAutospacing="1" w:after="100" w:afterAutospacing="1"/>
    </w:pPr>
    <w:rPr>
      <w:rFonts w:ascii="SimSun" w:eastAsia="SimSun" w:hAnsi="SimSun" w:cs="SimSun"/>
      <w:szCs w:val="24"/>
      <w:lang w:val="en-US"/>
    </w:rPr>
  </w:style>
  <w:style w:type="paragraph" w:styleId="CommentSubject">
    <w:name w:val="annotation subject"/>
    <w:basedOn w:val="CommentText"/>
    <w:next w:val="CommentText"/>
    <w:link w:val="CommentSubjectChar"/>
    <w:uiPriority w:val="99"/>
    <w:semiHidden/>
    <w:unhideWhenUsed/>
    <w:qFormat/>
    <w:pPr>
      <w:widowControl/>
      <w:overflowPunct/>
      <w:autoSpaceDE/>
      <w:autoSpaceDN/>
      <w:adjustRightInd/>
    </w:pPr>
    <w:rPr>
      <w:rFonts w:cs="Vrinda"/>
      <w:b/>
      <w:bCs/>
      <w:lang w:bidi="bn-BD"/>
    </w:rPr>
  </w:style>
  <w:style w:type="table" w:styleId="TableGrid">
    <w:name w:val="Table Grid"/>
    <w:basedOn w:val="TableNormal"/>
    <w:uiPriority w:val="39"/>
    <w:qFormat/>
    <w:rPr>
      <w:rFonts w:ascii="Arial (Theme Body CS)" w:hAnsi="Arial (Theme Body CS)"/>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ndnoteReference">
    <w:name w:val="endnote reference"/>
    <w:basedOn w:val="DefaultParagraphFont"/>
    <w:uiPriority w:val="99"/>
    <w:semiHidden/>
    <w:unhideWhenUsed/>
    <w:qFormat/>
    <w:rPr>
      <w:vertAlign w:val="superscript"/>
    </w:rPr>
  </w:style>
  <w:style w:type="character" w:styleId="Emphasis">
    <w:name w:val="Emphasis"/>
    <w:basedOn w:val="DefaultParagraphFont"/>
    <w:qFormat/>
    <w:rPr>
      <w:i/>
    </w:rPr>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uiPriority w:val="99"/>
    <w:semiHidden/>
    <w:unhideWhenUsed/>
    <w:qFormat/>
    <w:rPr>
      <w:sz w:val="18"/>
      <w:szCs w:val="18"/>
    </w:rPr>
  </w:style>
  <w:style w:type="character" w:styleId="FootnoteReference">
    <w:name w:val="footnote reference"/>
    <w:basedOn w:val="DefaultParagraphFont"/>
    <w:uiPriority w:val="99"/>
    <w:unhideWhenUsed/>
    <w:qFormat/>
    <w:rPr>
      <w:vertAlign w:val="superscript"/>
    </w:rPr>
  </w:style>
  <w:style w:type="character" w:customStyle="1" w:styleId="Heading1Char">
    <w:name w:val="Heading 1 Char"/>
    <w:basedOn w:val="DefaultParagraphFont"/>
    <w:link w:val="Heading1"/>
    <w:uiPriority w:val="9"/>
    <w:qFormat/>
    <w:rPr>
      <w:rFonts w:ascii="Times New Roman" w:eastAsiaTheme="majorEastAsia" w:hAnsi="Times New Roman" w:cs="Times New Roman"/>
      <w:b/>
      <w:bCs/>
      <w:kern w:val="0"/>
      <w:sz w:val="24"/>
      <w:szCs w:val="28"/>
    </w:rPr>
  </w:style>
  <w:style w:type="character" w:customStyle="1" w:styleId="Heading2Char">
    <w:name w:val="Heading 2 Char"/>
    <w:basedOn w:val="DefaultParagraphFont"/>
    <w:link w:val="Heading2"/>
    <w:uiPriority w:val="9"/>
    <w:qFormat/>
    <w:rPr>
      <w:rFonts w:ascii="Times New Roman" w:eastAsiaTheme="majorEastAsia" w:hAnsi="Times New Roman" w:cs="Times New Roman"/>
      <w:b/>
      <w:bCs/>
      <w:kern w:val="0"/>
      <w:sz w:val="24"/>
      <w:szCs w:val="24"/>
      <w:lang w:eastAsia="ja-JP"/>
    </w:rPr>
  </w:style>
  <w:style w:type="character" w:customStyle="1" w:styleId="Heading3Char">
    <w:name w:val="Heading 3 Char"/>
    <w:basedOn w:val="DefaultParagraphFont"/>
    <w:link w:val="Heading3"/>
    <w:uiPriority w:val="9"/>
    <w:qFormat/>
    <w:rPr>
      <w:rFonts w:ascii="Times New Roman" w:eastAsiaTheme="majorEastAsia" w:hAnsi="Times New Roman" w:cs="Times New Roman"/>
      <w:b/>
      <w:bCs/>
      <w:i/>
      <w:iCs/>
      <w:color w:val="000000" w:themeColor="text1"/>
      <w:kern w:val="0"/>
      <w:sz w:val="24"/>
      <w:szCs w:val="24"/>
      <w:lang w:eastAsia="ja-JP"/>
    </w:rPr>
  </w:style>
  <w:style w:type="character" w:customStyle="1" w:styleId="Heading4Char">
    <w:name w:val="Heading 4 Char"/>
    <w:basedOn w:val="DefaultParagraphFont"/>
    <w:link w:val="Heading4"/>
    <w:uiPriority w:val="9"/>
    <w:qFormat/>
    <w:rPr>
      <w:rFonts w:ascii="Times New Roman" w:eastAsiaTheme="majorEastAsia" w:hAnsi="Times New Roman" w:cs="Times New Roman"/>
      <w:b/>
      <w:bCs/>
      <w:i/>
      <w:iCs/>
      <w:kern w:val="0"/>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b/>
      <w:bCs/>
      <w:color w:val="7F7F7F" w:themeColor="text1" w:themeTint="80"/>
      <w:kern w:val="0"/>
      <w:sz w:val="24"/>
      <w:szCs w:val="24"/>
      <w:lang w:eastAsia="en-US"/>
    </w:rPr>
  </w:style>
  <w:style w:type="character" w:customStyle="1" w:styleId="Heading6Char">
    <w:name w:val="Heading 6 Char"/>
    <w:basedOn w:val="DefaultParagraphFont"/>
    <w:link w:val="Heading6"/>
    <w:qFormat/>
    <w:rPr>
      <w:rFonts w:asciiTheme="majorHAnsi" w:eastAsiaTheme="majorEastAsia" w:hAnsiTheme="majorHAnsi" w:cstheme="majorBidi"/>
      <w:b/>
      <w:bCs/>
      <w:i/>
      <w:iCs/>
      <w:color w:val="7F7F7F" w:themeColor="text1" w:themeTint="80"/>
      <w:kern w:val="0"/>
      <w:sz w:val="24"/>
      <w:szCs w:val="24"/>
      <w:lang w:eastAsia="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kern w:val="0"/>
      <w:sz w:val="24"/>
      <w:szCs w:val="24"/>
      <w:lang w:eastAsia="en-US"/>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kern w:val="0"/>
      <w:sz w:val="20"/>
      <w:szCs w:val="20"/>
      <w:lang w:eastAsia="en-US"/>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spacing w:val="5"/>
      <w:kern w:val="0"/>
      <w:sz w:val="20"/>
      <w:szCs w:val="20"/>
      <w:lang w:eastAsia="en-US"/>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kern w:val="28"/>
      <w:sz w:val="24"/>
      <w:szCs w:val="24"/>
      <w:lang w:eastAsia="en-US"/>
    </w:rPr>
  </w:style>
  <w:style w:type="character" w:customStyle="1" w:styleId="BalloonTextChar">
    <w:name w:val="Balloon Text Char"/>
    <w:basedOn w:val="DefaultParagraphFont"/>
    <w:link w:val="BalloonText"/>
    <w:uiPriority w:val="99"/>
    <w:semiHidden/>
    <w:qFormat/>
    <w:rPr>
      <w:rFonts w:ascii="Lucida Grande" w:eastAsiaTheme="minorHAnsi" w:hAnsi="Lucida Grande" w:cs="Times New Roman"/>
      <w:kern w:val="0"/>
      <w:sz w:val="18"/>
      <w:szCs w:val="18"/>
      <w:lang w:eastAsia="ja-JP"/>
    </w:rPr>
  </w:style>
  <w:style w:type="character" w:customStyle="1" w:styleId="FooterChar">
    <w:name w:val="Footer Char"/>
    <w:basedOn w:val="DefaultParagraphFont"/>
    <w:link w:val="Footer"/>
    <w:uiPriority w:val="99"/>
    <w:qFormat/>
    <w:rPr>
      <w:rFonts w:ascii="Times New Roman" w:eastAsiaTheme="minorHAnsi" w:hAnsi="Times New Roman" w:cs="Times New Roman"/>
      <w:kern w:val="0"/>
      <w:sz w:val="24"/>
      <w:lang w:eastAsia="ja-JP"/>
    </w:rPr>
  </w:style>
  <w:style w:type="character" w:customStyle="1" w:styleId="HeaderChar">
    <w:name w:val="Header Char"/>
    <w:basedOn w:val="DefaultParagraphFont"/>
    <w:link w:val="Header"/>
    <w:uiPriority w:val="99"/>
    <w:qFormat/>
    <w:rPr>
      <w:rFonts w:ascii="Times New Roman" w:eastAsiaTheme="minorHAnsi" w:hAnsi="Times New Roman" w:cs="Times New Roman"/>
      <w:kern w:val="0"/>
      <w:sz w:val="24"/>
      <w:lang w:eastAsia="ja-JP"/>
    </w:rPr>
  </w:style>
  <w:style w:type="character" w:customStyle="1" w:styleId="FootnoteTextChar">
    <w:name w:val="Footnote Text Char"/>
    <w:basedOn w:val="DefaultParagraphFont"/>
    <w:link w:val="FootnoteText"/>
    <w:uiPriority w:val="99"/>
    <w:qFormat/>
    <w:rPr>
      <w:rFonts w:ascii="Times New Roman" w:eastAsiaTheme="minorHAnsi" w:hAnsi="Times New Roman" w:cs="Times New Roman"/>
      <w:kern w:val="0"/>
      <w:sz w:val="18"/>
      <w:lang w:val="en-GB" w:eastAsia="en-US"/>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Vrinda"/>
      <w:b/>
      <w:bCs/>
      <w:kern w:val="28"/>
      <w:sz w:val="24"/>
      <w:szCs w:val="24"/>
      <w:lang w:eastAsia="en-US" w:bidi="bn-BD"/>
    </w:rPr>
  </w:style>
  <w:style w:type="paragraph" w:styleId="ListParagraph">
    <w:name w:val="List Paragraph"/>
    <w:basedOn w:val="Normal"/>
    <w:uiPriority w:val="34"/>
    <w:qFormat/>
    <w:pPr>
      <w:ind w:firstLine="420"/>
    </w:pPr>
  </w:style>
  <w:style w:type="character" w:customStyle="1" w:styleId="fontstyle01">
    <w:name w:val="fontstyle01"/>
    <w:basedOn w:val="DefaultParagraphFont"/>
    <w:qFormat/>
    <w:rPr>
      <w:rFonts w:ascii="MyriadPro-Bold" w:hAnsi="MyriadPro-Bold" w:hint="default"/>
      <w:b/>
      <w:bCs/>
      <w:color w:val="231F20"/>
      <w:sz w:val="32"/>
      <w:szCs w:val="32"/>
    </w:rPr>
  </w:style>
  <w:style w:type="table" w:customStyle="1" w:styleId="GridTable1Light1">
    <w:name w:val="Grid Table 1 Light1"/>
    <w:basedOn w:val="TableNormal"/>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1">
    <w:name w:val="未处理的提及1"/>
    <w:basedOn w:val="DefaultParagraphFont"/>
    <w:uiPriority w:val="99"/>
    <w:semiHidden/>
    <w:unhideWhenUsed/>
    <w:qFormat/>
    <w:rPr>
      <w:color w:val="808080"/>
      <w:shd w:val="clear" w:color="auto" w:fill="E6E6E6"/>
    </w:rPr>
  </w:style>
  <w:style w:type="character" w:styleId="PlaceholderText">
    <w:name w:val="Placeholder Text"/>
    <w:basedOn w:val="DefaultParagraphFont"/>
    <w:uiPriority w:val="99"/>
    <w:semiHidden/>
    <w:qFormat/>
    <w:rPr>
      <w:color w:val="808080"/>
    </w:rPr>
  </w:style>
  <w:style w:type="character" w:customStyle="1" w:styleId="2">
    <w:name w:val="未处理的提及2"/>
    <w:basedOn w:val="DefaultParagraphFont"/>
    <w:uiPriority w:val="99"/>
    <w:semiHidden/>
    <w:unhideWhenUsed/>
    <w:qFormat/>
    <w:rPr>
      <w:color w:val="808080"/>
      <w:shd w:val="clear" w:color="auto" w:fill="E6E6E6"/>
    </w:rPr>
  </w:style>
  <w:style w:type="paragraph" w:styleId="NoSpacing">
    <w:name w:val="No Spacing"/>
    <w:link w:val="NoSpacingChar"/>
    <w:uiPriority w:val="1"/>
    <w:qFormat/>
    <w:rPr>
      <w:rFonts w:asciiTheme="minorHAnsi" w:eastAsiaTheme="minorEastAsia" w:hAnsiTheme="minorHAnsi" w:cstheme="minorBidi"/>
      <w:sz w:val="22"/>
      <w:szCs w:val="22"/>
      <w:lang w:val="en-US"/>
    </w:rPr>
  </w:style>
  <w:style w:type="character" w:customStyle="1" w:styleId="NoSpacingChar">
    <w:name w:val="No Spacing Char"/>
    <w:basedOn w:val="DefaultParagraphFont"/>
    <w:link w:val="NoSpacing"/>
    <w:uiPriority w:val="1"/>
    <w:qFormat/>
    <w:rPr>
      <w:kern w:val="0"/>
      <w:sz w:val="22"/>
    </w:rPr>
  </w:style>
  <w:style w:type="paragraph" w:customStyle="1" w:styleId="TOC10">
    <w:name w:val="TOC 标题1"/>
    <w:basedOn w:val="Heading1"/>
    <w:next w:val="Normal"/>
    <w:uiPriority w:val="39"/>
    <w:unhideWhenUsed/>
    <w:qFormat/>
    <w:pPr>
      <w:spacing w:line="259" w:lineRule="auto"/>
      <w:outlineLvl w:val="9"/>
    </w:pPr>
    <w:rPr>
      <w:b w:val="0"/>
      <w:bCs w:val="0"/>
      <w:color w:val="2F5496" w:themeColor="accent1" w:themeShade="BF"/>
      <w:sz w:val="32"/>
      <w:szCs w:val="32"/>
    </w:rPr>
  </w:style>
  <w:style w:type="paragraph" w:customStyle="1" w:styleId="10">
    <w:name w:val="修订1"/>
    <w:hidden/>
    <w:uiPriority w:val="99"/>
    <w:semiHidden/>
    <w:qFormat/>
    <w:rPr>
      <w:rFonts w:asciiTheme="minorHAnsi" w:eastAsiaTheme="minorEastAsia" w:hAnsiTheme="minorHAnsi" w:cstheme="minorBidi"/>
      <w:kern w:val="2"/>
      <w:sz w:val="21"/>
      <w:szCs w:val="22"/>
      <w:lang w:val="en-GB"/>
    </w:rPr>
  </w:style>
  <w:style w:type="character" w:customStyle="1" w:styleId="3">
    <w:name w:val="未处理的提及3"/>
    <w:basedOn w:val="DefaultParagraphFont"/>
    <w:uiPriority w:val="99"/>
    <w:semiHidden/>
    <w:unhideWhenUsed/>
    <w:qFormat/>
    <w:rPr>
      <w:color w:val="605E5C"/>
      <w:shd w:val="clear" w:color="auto" w:fill="E1DFDD"/>
    </w:rPr>
  </w:style>
  <w:style w:type="character" w:customStyle="1" w:styleId="EEBodyTextChar">
    <w:name w:val="EE Body Text Char"/>
    <w:basedOn w:val="DefaultParagraphFont"/>
    <w:link w:val="EEBodyText"/>
    <w:qFormat/>
    <w:rPr>
      <w:rFonts w:ascii="Times New Roman" w:eastAsia="Times New Roman" w:hAnsi="Times New Roman" w:cs="Times New Roman"/>
      <w:kern w:val="0"/>
      <w:sz w:val="24"/>
      <w:szCs w:val="24"/>
      <w:lang w:val="en-GB" w:eastAsia="en-US"/>
    </w:rPr>
  </w:style>
  <w:style w:type="paragraph" w:customStyle="1" w:styleId="EEFigureHeading">
    <w:name w:val="EE Figure Heading"/>
    <w:next w:val="EEBodyText"/>
    <w:link w:val="EEFigureHeadingChar"/>
    <w:qFormat/>
    <w:pPr>
      <w:spacing w:before="120" w:after="240" w:line="360" w:lineRule="auto"/>
      <w:jc w:val="center"/>
    </w:pPr>
    <w:rPr>
      <w:rFonts w:eastAsia="Calibri"/>
      <w:b/>
      <w:sz w:val="24"/>
      <w:szCs w:val="24"/>
      <w:lang w:val="en-AU" w:eastAsia="en-US"/>
    </w:rPr>
  </w:style>
  <w:style w:type="character" w:customStyle="1" w:styleId="EEFigureHeadingChar">
    <w:name w:val="EE Figure Heading Char"/>
    <w:link w:val="EEFigureHeading"/>
    <w:qFormat/>
    <w:rPr>
      <w:rFonts w:ascii="Times New Roman" w:eastAsia="Calibri" w:hAnsi="Times New Roman" w:cs="Times New Roman"/>
      <w:b/>
      <w:kern w:val="0"/>
      <w:sz w:val="24"/>
      <w:szCs w:val="24"/>
      <w:lang w:val="en-AU" w:eastAsia="en-US"/>
    </w:rPr>
  </w:style>
  <w:style w:type="paragraph" w:customStyle="1" w:styleId="EEFootnotes">
    <w:name w:val="EE Footnotes"/>
    <w:qFormat/>
    <w:pPr>
      <w:spacing w:after="120"/>
      <w:jc w:val="both"/>
    </w:pPr>
    <w:rPr>
      <w:rFonts w:eastAsiaTheme="minorHAnsi" w:cstheme="minorBidi"/>
      <w:szCs w:val="22"/>
      <w:lang w:val="en-US" w:eastAsia="ja-JP"/>
    </w:rPr>
  </w:style>
  <w:style w:type="paragraph" w:customStyle="1" w:styleId="EEHeading1">
    <w:name w:val="EE Heading 1"/>
    <w:basedOn w:val="Heading1"/>
    <w:next w:val="EEBodyText"/>
    <w:link w:val="EEHeading1Char"/>
    <w:qFormat/>
    <w:pPr>
      <w:keepNext/>
      <w:spacing w:before="360" w:after="60"/>
      <w:ind w:right="567"/>
    </w:pPr>
    <w:rPr>
      <w:rFonts w:eastAsiaTheme="minorEastAsia" w:cs="Arial"/>
      <w:kern w:val="32"/>
      <w:szCs w:val="32"/>
      <w:lang w:val="en-GB" w:eastAsia="en-GB"/>
    </w:rPr>
  </w:style>
  <w:style w:type="character" w:customStyle="1" w:styleId="EEHeading1Char">
    <w:name w:val="EE Heading 1 Char"/>
    <w:link w:val="EEHeading1"/>
    <w:qFormat/>
    <w:rPr>
      <w:rFonts w:ascii="Times New Roman" w:hAnsi="Times New Roman" w:cs="Arial"/>
      <w:b/>
      <w:bCs/>
      <w:kern w:val="32"/>
      <w:sz w:val="24"/>
      <w:szCs w:val="32"/>
      <w:lang w:val="en-GB" w:eastAsia="en-GB"/>
    </w:rPr>
  </w:style>
  <w:style w:type="paragraph" w:customStyle="1" w:styleId="EEHeading2">
    <w:name w:val="EE Heading 2"/>
    <w:basedOn w:val="Heading2"/>
    <w:next w:val="EEBodyText"/>
    <w:link w:val="EEHeading2Char"/>
    <w:qFormat/>
    <w:pPr>
      <w:keepLines w:val="0"/>
      <w:spacing w:before="360" w:after="60"/>
      <w:ind w:right="567"/>
      <w:contextualSpacing/>
      <w:jc w:val="left"/>
    </w:pPr>
    <w:rPr>
      <w:rFonts w:eastAsiaTheme="minorEastAsia" w:cs="Arial"/>
      <w:i/>
      <w:iCs/>
      <w:szCs w:val="28"/>
      <w:lang w:val="en-GB" w:eastAsia="en-GB"/>
    </w:rPr>
  </w:style>
  <w:style w:type="character" w:customStyle="1" w:styleId="EEHeading2Char">
    <w:name w:val="EE Heading 2 Char"/>
    <w:link w:val="EEHeading2"/>
    <w:qFormat/>
    <w:rPr>
      <w:rFonts w:ascii="Times New Roman" w:hAnsi="Times New Roman" w:cs="Arial"/>
      <w:b/>
      <w:bCs/>
      <w:i/>
      <w:iCs/>
      <w:kern w:val="0"/>
      <w:sz w:val="24"/>
      <w:szCs w:val="28"/>
      <w:lang w:val="en-GB" w:eastAsia="en-GB"/>
    </w:rPr>
  </w:style>
  <w:style w:type="paragraph" w:customStyle="1" w:styleId="EEHeading4">
    <w:name w:val="EE Heading 4"/>
    <w:basedOn w:val="Normal"/>
    <w:next w:val="EEBodyText"/>
    <w:link w:val="EEHeading4Char"/>
    <w:qFormat/>
    <w:pPr>
      <w:keepNext/>
      <w:spacing w:before="240" w:after="240"/>
      <w:outlineLvl w:val="4"/>
    </w:pPr>
    <w:rPr>
      <w:rFonts w:eastAsia="Times New Roman"/>
      <w:bCs/>
      <w:szCs w:val="24"/>
    </w:rPr>
  </w:style>
  <w:style w:type="character" w:customStyle="1" w:styleId="EEHeading4Char">
    <w:name w:val="EE Heading 4 Char"/>
    <w:link w:val="EEHeading4"/>
    <w:qFormat/>
    <w:rPr>
      <w:rFonts w:ascii="Times New Roman" w:eastAsia="Times New Roman" w:hAnsi="Times New Roman" w:cs="Times New Roman"/>
      <w:bCs/>
      <w:kern w:val="0"/>
      <w:sz w:val="24"/>
      <w:szCs w:val="24"/>
      <w:lang w:val="en-GB" w:eastAsia="en-US"/>
    </w:rPr>
  </w:style>
  <w:style w:type="paragraph" w:customStyle="1" w:styleId="EEHeading3">
    <w:name w:val="EE Heading 3"/>
    <w:basedOn w:val="EEHeading4"/>
    <w:next w:val="EEBodyText"/>
    <w:link w:val="EEHeading3Char"/>
    <w:qFormat/>
    <w:rPr>
      <w:i/>
    </w:rPr>
  </w:style>
  <w:style w:type="character" w:customStyle="1" w:styleId="EEHeading3Char">
    <w:name w:val="EE Heading 3 Char"/>
    <w:link w:val="EEHeading3"/>
    <w:qFormat/>
    <w:rPr>
      <w:rFonts w:ascii="Times New Roman" w:eastAsia="Times New Roman" w:hAnsi="Times New Roman" w:cs="Times New Roman"/>
      <w:bCs/>
      <w:i/>
      <w:kern w:val="0"/>
      <w:sz w:val="24"/>
      <w:szCs w:val="24"/>
      <w:lang w:val="en-GB" w:eastAsia="en-US"/>
    </w:rPr>
  </w:style>
  <w:style w:type="paragraph" w:customStyle="1" w:styleId="EEImage">
    <w:name w:val="EE Image"/>
    <w:next w:val="EEFigureHeading"/>
    <w:qFormat/>
    <w:pPr>
      <w:keepNext/>
      <w:spacing w:before="120" w:after="240"/>
      <w:jc w:val="center"/>
    </w:pPr>
    <w:rPr>
      <w:rFonts w:eastAsia="Times New Roman"/>
      <w:sz w:val="24"/>
      <w:szCs w:val="24"/>
      <w:lang w:val="en-GB" w:eastAsia="en-US"/>
    </w:rPr>
  </w:style>
  <w:style w:type="paragraph" w:customStyle="1" w:styleId="EEList-Bullets">
    <w:name w:val="EE List - Bullets"/>
    <w:link w:val="EEList-BulletsChar"/>
    <w:qFormat/>
    <w:pPr>
      <w:numPr>
        <w:numId w:val="2"/>
      </w:numPr>
      <w:spacing w:after="240" w:line="360" w:lineRule="auto"/>
      <w:contextualSpacing/>
      <w:jc w:val="both"/>
    </w:pPr>
    <w:rPr>
      <w:rFonts w:eastAsia="Times New Roman"/>
      <w:sz w:val="24"/>
      <w:szCs w:val="24"/>
      <w:lang w:val="en-GB" w:eastAsia="en-US"/>
    </w:rPr>
  </w:style>
  <w:style w:type="character" w:customStyle="1" w:styleId="EEList-BulletsChar">
    <w:name w:val="EE List - Bullets Char"/>
    <w:basedOn w:val="EEBodyTextChar"/>
    <w:link w:val="EEList-Bullets"/>
    <w:qFormat/>
    <w:rPr>
      <w:rFonts w:ascii="Times New Roman" w:eastAsia="Times New Roman" w:hAnsi="Times New Roman" w:cs="Times New Roman"/>
      <w:kern w:val="0"/>
      <w:sz w:val="24"/>
      <w:szCs w:val="24"/>
      <w:lang w:val="en-GB" w:eastAsia="en-US"/>
    </w:rPr>
  </w:style>
  <w:style w:type="paragraph" w:customStyle="1" w:styleId="EEList-Numbers">
    <w:name w:val="EE List - Numbers"/>
    <w:basedOn w:val="EEBodyText"/>
    <w:qFormat/>
    <w:pPr>
      <w:numPr>
        <w:numId w:val="3"/>
      </w:numPr>
      <w:spacing w:before="0"/>
      <w:contextualSpacing/>
    </w:pPr>
    <w:rPr>
      <w:lang w:val="en-AU"/>
    </w:rPr>
  </w:style>
  <w:style w:type="paragraph" w:customStyle="1" w:styleId="EEPageNumbers">
    <w:name w:val="EE Page Numbers"/>
    <w:qFormat/>
    <w:pPr>
      <w:jc w:val="center"/>
    </w:pPr>
    <w:rPr>
      <w:rFonts w:eastAsiaTheme="minorHAnsi" w:cstheme="minorBidi"/>
      <w:szCs w:val="22"/>
      <w:lang w:val="en-US" w:eastAsia="ja-JP"/>
    </w:rPr>
  </w:style>
  <w:style w:type="paragraph" w:customStyle="1" w:styleId="EEQuotation">
    <w:name w:val="EE Quotation"/>
    <w:next w:val="EEBodyText"/>
    <w:qFormat/>
    <w:pPr>
      <w:spacing w:after="240" w:line="360" w:lineRule="auto"/>
      <w:ind w:left="454" w:right="454"/>
      <w:jc w:val="both"/>
    </w:pPr>
    <w:rPr>
      <w:rFonts w:eastAsia="Times New Roman"/>
      <w:sz w:val="22"/>
      <w:szCs w:val="24"/>
      <w:lang w:val="en-GB" w:eastAsia="en-US"/>
    </w:rPr>
  </w:style>
  <w:style w:type="paragraph" w:customStyle="1" w:styleId="EEReferenceList">
    <w:name w:val="EE Reference List"/>
    <w:qFormat/>
    <w:pPr>
      <w:spacing w:line="360" w:lineRule="auto"/>
      <w:ind w:left="720" w:hanging="720"/>
      <w:jc w:val="both"/>
    </w:pPr>
    <w:rPr>
      <w:rFonts w:eastAsiaTheme="minorHAnsi" w:cstheme="minorBidi"/>
      <w:sz w:val="24"/>
      <w:szCs w:val="22"/>
      <w:lang w:val="en-US" w:eastAsia="ja-JP"/>
    </w:rPr>
  </w:style>
  <w:style w:type="paragraph" w:customStyle="1" w:styleId="EETableHeading">
    <w:name w:val="EE Table Heading"/>
    <w:next w:val="EEBodyText"/>
    <w:link w:val="EETableHeadingChar"/>
    <w:qFormat/>
    <w:pPr>
      <w:keepNext/>
      <w:autoSpaceDE w:val="0"/>
      <w:autoSpaceDN w:val="0"/>
      <w:adjustRightInd w:val="0"/>
      <w:spacing w:before="240" w:after="120" w:line="360" w:lineRule="auto"/>
      <w:jc w:val="center"/>
    </w:pPr>
    <w:rPr>
      <w:rFonts w:eastAsia="Times New Roman"/>
      <w:b/>
      <w:sz w:val="24"/>
      <w:szCs w:val="24"/>
      <w:lang w:val="en-GB" w:eastAsia="en-US"/>
    </w:rPr>
  </w:style>
  <w:style w:type="character" w:customStyle="1" w:styleId="EETableHeadingChar">
    <w:name w:val="EE Table Heading Char"/>
    <w:link w:val="EETableHeading"/>
    <w:qFormat/>
    <w:rPr>
      <w:rFonts w:ascii="Times New Roman" w:eastAsia="Times New Roman" w:hAnsi="Times New Roman" w:cs="Times New Roman"/>
      <w:b/>
      <w:kern w:val="0"/>
      <w:sz w:val="24"/>
      <w:szCs w:val="24"/>
      <w:lang w:val="en-GB" w:eastAsia="en-US"/>
    </w:rPr>
  </w:style>
  <w:style w:type="paragraph" w:customStyle="1" w:styleId="EETableNotes">
    <w:name w:val="EE Table Notes"/>
    <w:next w:val="EEBodyText"/>
    <w:qFormat/>
    <w:pPr>
      <w:spacing w:before="120" w:after="240" w:line="360" w:lineRule="auto"/>
      <w:jc w:val="both"/>
    </w:pPr>
    <w:rPr>
      <w:rFonts w:eastAsia="Times New Roman"/>
      <w:color w:val="000000" w:themeColor="text1"/>
      <w:lang w:val="en-GB" w:eastAsia="en-US"/>
    </w:rPr>
  </w:style>
  <w:style w:type="paragraph" w:customStyle="1" w:styleId="EETableText">
    <w:name w:val="EE Table Text"/>
    <w:qFormat/>
    <w:pPr>
      <w:spacing w:before="60" w:after="60"/>
    </w:pPr>
    <w:rPr>
      <w:rFonts w:eastAsia="Calibri"/>
      <w:sz w:val="24"/>
      <w:szCs w:val="24"/>
      <w:lang w:val="en-AU" w:eastAsia="en-US"/>
    </w:rPr>
  </w:style>
  <w:style w:type="paragraph" w:customStyle="1" w:styleId="20">
    <w:name w:val="修订2"/>
    <w:hidden/>
    <w:uiPriority w:val="99"/>
    <w:semiHidden/>
    <w:qFormat/>
    <w:rPr>
      <w:rFonts w:asciiTheme="minorHAnsi" w:eastAsiaTheme="minorHAnsi" w:hAnsiTheme="minorHAnsi" w:cstheme="minorBidi"/>
      <w:sz w:val="22"/>
      <w:szCs w:val="22"/>
      <w:lang w:val="en-GB" w:eastAsia="en-US"/>
    </w:rPr>
  </w:style>
  <w:style w:type="paragraph" w:customStyle="1" w:styleId="11">
    <w:name w:val="正文1"/>
    <w:qFormat/>
    <w:pPr>
      <w:jc w:val="both"/>
    </w:pPr>
    <w:rPr>
      <w:kern w:val="2"/>
      <w:sz w:val="21"/>
      <w:szCs w:val="21"/>
      <w:lang w:val="en-US"/>
    </w:rPr>
  </w:style>
  <w:style w:type="character" w:customStyle="1" w:styleId="4">
    <w:name w:val="未处理的提及4"/>
    <w:basedOn w:val="DefaultParagraphFont"/>
    <w:uiPriority w:val="99"/>
    <w:semiHidden/>
    <w:unhideWhenUsed/>
    <w:qFormat/>
    <w:rPr>
      <w:color w:val="605E5C"/>
      <w:shd w:val="clear" w:color="auto" w:fill="E1DFDD"/>
    </w:rPr>
  </w:style>
  <w:style w:type="paragraph" w:customStyle="1" w:styleId="32881GeneralBodyTextFullOut">
    <w:name w:val="32881 General Body Text Full Out"/>
    <w:qFormat/>
    <w:pPr>
      <w:spacing w:line="360" w:lineRule="auto"/>
      <w:jc w:val="both"/>
    </w:pPr>
    <w:rPr>
      <w:rFonts w:eastAsia="Times New Roman"/>
      <w:bCs/>
      <w:sz w:val="24"/>
      <w:szCs w:val="28"/>
      <w:lang w:val="en-AU" w:eastAsia="en-GB"/>
    </w:rPr>
  </w:style>
  <w:style w:type="paragraph" w:customStyle="1" w:styleId="ClientList">
    <w:name w:val="Client List"/>
    <w:basedOn w:val="32881GeneralBodyTextFullOut"/>
    <w:qFormat/>
    <w:pPr>
      <w:numPr>
        <w:numId w:val="4"/>
      </w:numPr>
    </w:pPr>
  </w:style>
  <w:style w:type="paragraph" w:customStyle="1" w:styleId="38830BodyTextIndent">
    <w:name w:val="38830 Body Text Indent"/>
    <w:basedOn w:val="Normal"/>
    <w:qFormat/>
    <w:pPr>
      <w:ind w:firstLineChars="236" w:firstLine="566"/>
    </w:pPr>
    <w:rPr>
      <w:rFonts w:eastAsia="DengXian"/>
      <w:kern w:val="2"/>
      <w:szCs w:val="24"/>
    </w:rPr>
  </w:style>
  <w:style w:type="paragraph" w:customStyle="1" w:styleId="38830Proposition">
    <w:name w:val="38830 Proposition"/>
    <w:basedOn w:val="CommentText"/>
    <w:qFormat/>
    <w:pPr>
      <w:overflowPunct/>
      <w:autoSpaceDE/>
      <w:autoSpaceDN/>
      <w:adjustRightInd/>
      <w:ind w:leftChars="270" w:left="567"/>
    </w:pPr>
    <w:rPr>
      <w:rFonts w:eastAsiaTheme="minorEastAsia"/>
      <w:i/>
      <w:kern w:val="2"/>
      <w:szCs w:val="20"/>
      <w:lang w:val="en-GB"/>
    </w:rPr>
  </w:style>
  <w:style w:type="table" w:customStyle="1" w:styleId="12">
    <w:name w:val="网格型浅色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3">
    <w:name w:val="网格型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eChar">
    <w:name w:val="Date Char"/>
    <w:basedOn w:val="DefaultParagraphFont"/>
    <w:link w:val="Date"/>
    <w:uiPriority w:val="99"/>
    <w:semiHidden/>
    <w:qFormat/>
    <w:rPr>
      <w:rFonts w:ascii="Times New Roman" w:eastAsia="DengXian" w:hAnsi="Times New Roman" w:cs="Times New Roman"/>
      <w:sz w:val="24"/>
      <w:szCs w:val="24"/>
      <w:lang w:val="en-GB"/>
    </w:rPr>
  </w:style>
  <w:style w:type="paragraph" w:customStyle="1" w:styleId="TOC20">
    <w:name w:val="TOC 标题2"/>
    <w:basedOn w:val="Heading1"/>
    <w:next w:val="Normal"/>
    <w:uiPriority w:val="39"/>
    <w:unhideWhenUsed/>
    <w:qFormat/>
    <w:pPr>
      <w:keepNext/>
      <w:keepLines/>
      <w:spacing w:before="240" w:line="259" w:lineRule="auto"/>
      <w:contextualSpacing w:val="0"/>
      <w:outlineLvl w:val="9"/>
    </w:pPr>
    <w:rPr>
      <w:rFonts w:asciiTheme="majorHAnsi" w:hAnsiTheme="majorHAnsi" w:cstheme="majorBidi"/>
      <w:b w:val="0"/>
      <w:bCs w:val="0"/>
      <w:color w:val="2F5496" w:themeColor="accent1" w:themeShade="BF"/>
      <w:sz w:val="32"/>
      <w:szCs w:val="32"/>
    </w:rPr>
  </w:style>
  <w:style w:type="paragraph" w:styleId="Quote">
    <w:name w:val="Quote"/>
    <w:basedOn w:val="Normal"/>
    <w:next w:val="Normal"/>
    <w:link w:val="QuoteChar"/>
    <w:uiPriority w:val="29"/>
    <w:qFormat/>
    <w:pPr>
      <w:widowControl/>
      <w:autoSpaceDE w:val="0"/>
      <w:autoSpaceDN w:val="0"/>
      <w:ind w:firstLineChars="0" w:firstLine="0"/>
    </w:pPr>
  </w:style>
  <w:style w:type="character" w:customStyle="1" w:styleId="QuoteChar">
    <w:name w:val="Quote Char"/>
    <w:basedOn w:val="DefaultParagraphFont"/>
    <w:link w:val="Quote"/>
    <w:uiPriority w:val="29"/>
    <w:qFormat/>
    <w:rPr>
      <w:rFonts w:ascii="Times New Roman" w:eastAsiaTheme="minorHAnsi" w:hAnsi="Times New Roman" w:cs="Times New Roman"/>
      <w:kern w:val="0"/>
      <w:sz w:val="24"/>
      <w:lang w:val="en-GB"/>
    </w:rPr>
  </w:style>
  <w:style w:type="table" w:customStyle="1" w:styleId="21">
    <w:name w:val="网格型2"/>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样式1"/>
    <w:basedOn w:val="TableNormal"/>
    <w:uiPriority w:val="99"/>
    <w:qFormat/>
    <w:rPr>
      <w:rFonts w:eastAsia="Times New Roman"/>
      <w:sz w:val="24"/>
    </w:rPr>
    <w:tblPr>
      <w:tblBorders>
        <w:top w:val="single" w:sz="4" w:space="0" w:color="auto"/>
        <w:bottom w:val="single" w:sz="4" w:space="0" w:color="auto"/>
      </w:tblBorders>
    </w:tblPr>
    <w:tblStylePr w:type="firstRow">
      <w:tblPr/>
      <w:tcPr>
        <w:tcBorders>
          <w:top w:val="single" w:sz="4" w:space="0" w:color="auto"/>
          <w:left w:val="nil"/>
          <w:bottom w:val="single" w:sz="12" w:space="0" w:color="auto"/>
          <w:right w:val="nil"/>
          <w:insideH w:val="nil"/>
          <w:insideV w:val="nil"/>
          <w:tl2br w:val="nil"/>
          <w:tr2bl w:val="nil"/>
        </w:tcBorders>
      </w:tcPr>
    </w:tblStylePr>
  </w:style>
  <w:style w:type="character" w:customStyle="1" w:styleId="EndnoteTextChar">
    <w:name w:val="Endnote Text Char"/>
    <w:basedOn w:val="DefaultParagraphFont"/>
    <w:link w:val="EndnoteText"/>
    <w:uiPriority w:val="99"/>
    <w:semiHidden/>
    <w:qFormat/>
    <w:rPr>
      <w:rFonts w:ascii="Times New Roman" w:eastAsiaTheme="minorHAnsi" w:hAnsi="Times New Roman" w:cs="Times New Roman"/>
      <w:kern w:val="0"/>
      <w:sz w:val="24"/>
      <w:lang w:val="en-GB"/>
    </w:rPr>
  </w:style>
  <w:style w:type="table" w:customStyle="1" w:styleId="210">
    <w:name w:val="网格型21"/>
    <w:basedOn w:val="TableNormal"/>
    <w:uiPriority w:val="39"/>
    <w:qFormat/>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网格型3"/>
    <w:basedOn w:val="TableNormal"/>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Yu.Han@nufe.edu.cn" TargetMode="External"/><Relationship Id="rId13" Type="http://schemas.openxmlformats.org/officeDocument/2006/relationships/footer" Target="footer1.xml"/><Relationship Id="rId18" Type="http://schemas.openxmlformats.org/officeDocument/2006/relationships/image" Target="media/image2.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emf"/><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idanliu@outlook.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lei.qin@nmu.edu.c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ristan.chong@spjain.org"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EC2E024F-1CA2-408D-B2DB-B01D14BF2343}"/>
      </w:docPartPr>
      <w:docPartBody>
        <w:p w:rsidR="005C187F" w:rsidRDefault="00000000">
          <w:r>
            <w:rPr>
              <w:rStyle w:val="PlaceholderText"/>
              <w:rFonts w:hint="eastAsia"/>
            </w:rPr>
            <w:t>单击或点击此处输入文字。</w:t>
          </w:r>
        </w:p>
      </w:docPartBody>
    </w:docPart>
    <w:docPart>
      <w:docPartPr>
        <w:name w:val="F6588F1797DF4FFE87FC8EF17A0BE21B"/>
        <w:category>
          <w:name w:val="常规"/>
          <w:gallery w:val="placeholder"/>
        </w:category>
        <w:types>
          <w:type w:val="bbPlcHdr"/>
        </w:types>
        <w:behaviors>
          <w:behavior w:val="content"/>
        </w:behaviors>
        <w:guid w:val="{5458CBA6-5C6D-488C-A7C2-876B2E334A0A}"/>
      </w:docPartPr>
      <w:docPartBody>
        <w:p w:rsidR="005C187F" w:rsidRDefault="00000000">
          <w:pPr>
            <w:pStyle w:val="F6588F1797DF4FFE87FC8EF17A0BE21B"/>
          </w:pPr>
          <w:r>
            <w:rPr>
              <w:rStyle w:val="PlaceholderText"/>
              <w:rFonts w:hint="eastAsia"/>
            </w:rPr>
            <w:t>单击或点击此处输入文字。</w:t>
          </w:r>
        </w:p>
      </w:docPartBody>
    </w:docPart>
    <w:docPart>
      <w:docPartPr>
        <w:name w:val="9F30EA5323C34B1181CBB613094C9A58"/>
        <w:category>
          <w:name w:val="常规"/>
          <w:gallery w:val="placeholder"/>
        </w:category>
        <w:types>
          <w:type w:val="bbPlcHdr"/>
        </w:types>
        <w:behaviors>
          <w:behavior w:val="content"/>
        </w:behaviors>
        <w:guid w:val="{39AF4C3A-115C-4FAC-B5F2-B3247A08E739}"/>
      </w:docPartPr>
      <w:docPartBody>
        <w:p w:rsidR="005C187F" w:rsidRDefault="00000000">
          <w:pPr>
            <w:pStyle w:val="9F30EA5323C34B1181CBB613094C9A58"/>
          </w:pPr>
          <w:r>
            <w:rPr>
              <w:rStyle w:val="PlaceholderText"/>
              <w:rFonts w:hint="eastAsia"/>
            </w:rPr>
            <w:t>单击或点击此处输入文字。</w:t>
          </w:r>
        </w:p>
      </w:docPartBody>
    </w:docPart>
    <w:docPart>
      <w:docPartPr>
        <w:name w:val="1D3C3D655A1A41C89132905FF64A5040"/>
        <w:category>
          <w:name w:val="常规"/>
          <w:gallery w:val="placeholder"/>
        </w:category>
        <w:types>
          <w:type w:val="bbPlcHdr"/>
        </w:types>
        <w:behaviors>
          <w:behavior w:val="content"/>
        </w:behaviors>
        <w:guid w:val="{2BAC4D33-D5D1-4F03-8A6C-0B729C294D54}"/>
      </w:docPartPr>
      <w:docPartBody>
        <w:p w:rsidR="005C187F" w:rsidRDefault="00000000">
          <w:pPr>
            <w:pStyle w:val="1D3C3D655A1A41C89132905FF64A5040"/>
          </w:pPr>
          <w:r>
            <w:rPr>
              <w:rStyle w:val="PlaceholderText"/>
              <w:rFonts w:hint="eastAsia"/>
            </w:rPr>
            <w:t>单击或点击此处输入文字。</w:t>
          </w:r>
        </w:p>
      </w:docPartBody>
    </w:docPart>
    <w:docPart>
      <w:docPartPr>
        <w:name w:val="0BF1B399856E4E5096FF466FEC8E201A"/>
        <w:category>
          <w:name w:val="常规"/>
          <w:gallery w:val="placeholder"/>
        </w:category>
        <w:types>
          <w:type w:val="bbPlcHdr"/>
        </w:types>
        <w:behaviors>
          <w:behavior w:val="content"/>
        </w:behaviors>
        <w:guid w:val="{AC414E7A-023F-437C-BED5-52457A3CC077}"/>
      </w:docPartPr>
      <w:docPartBody>
        <w:p w:rsidR="005C187F" w:rsidRDefault="00000000">
          <w:pPr>
            <w:pStyle w:val="0BF1B399856E4E5096FF466FEC8E201A"/>
          </w:pPr>
          <w:r>
            <w:rPr>
              <w:rStyle w:val="PlaceholderText"/>
              <w:rFonts w:hint="eastAsia"/>
            </w:rPr>
            <w:t>单击或点击此处输入文字。</w:t>
          </w:r>
        </w:p>
      </w:docPartBody>
    </w:docPart>
    <w:docPart>
      <w:docPartPr>
        <w:name w:val="A22F930146AA430D822C398892CA028F"/>
        <w:category>
          <w:name w:val="常规"/>
          <w:gallery w:val="placeholder"/>
        </w:category>
        <w:types>
          <w:type w:val="bbPlcHdr"/>
        </w:types>
        <w:behaviors>
          <w:behavior w:val="content"/>
        </w:behaviors>
        <w:guid w:val="{1F51F9DC-65C3-4B4C-8B7E-21192EF9366A}"/>
      </w:docPartPr>
      <w:docPartBody>
        <w:p w:rsidR="005C187F" w:rsidRDefault="00000000">
          <w:pPr>
            <w:pStyle w:val="A22F930146AA430D822C398892CA028F"/>
          </w:pPr>
          <w:r>
            <w:rPr>
              <w:rStyle w:val="PlaceholderText"/>
              <w:rFonts w:hint="eastAsia"/>
            </w:rPr>
            <w:t>单击或点击此处输入文字。</w:t>
          </w:r>
        </w:p>
      </w:docPartBody>
    </w:docPart>
    <w:docPart>
      <w:docPartPr>
        <w:name w:val="31E13E64BECA46B4A63C18065D38A3E8"/>
        <w:category>
          <w:name w:val="常规"/>
          <w:gallery w:val="placeholder"/>
        </w:category>
        <w:types>
          <w:type w:val="bbPlcHdr"/>
        </w:types>
        <w:behaviors>
          <w:behavior w:val="content"/>
        </w:behaviors>
        <w:guid w:val="{0E5647DC-7FEE-408D-9C9C-963BCA7B1CED}"/>
      </w:docPartPr>
      <w:docPartBody>
        <w:p w:rsidR="005C187F" w:rsidRDefault="00000000">
          <w:pPr>
            <w:pStyle w:val="31E13E64BECA46B4A63C18065D38A3E8"/>
          </w:pPr>
          <w:r>
            <w:rPr>
              <w:rStyle w:val="PlaceholderText"/>
              <w:rFonts w:hint="eastAsia"/>
            </w:rPr>
            <w:t>单击或点击此处输入文字。</w:t>
          </w:r>
        </w:p>
      </w:docPartBody>
    </w:docPart>
    <w:docPart>
      <w:docPartPr>
        <w:name w:val="E6ADC263E35E4537B1BB3FEFE79927FD"/>
        <w:category>
          <w:name w:val="常规"/>
          <w:gallery w:val="placeholder"/>
        </w:category>
        <w:types>
          <w:type w:val="bbPlcHdr"/>
        </w:types>
        <w:behaviors>
          <w:behavior w:val="content"/>
        </w:behaviors>
        <w:guid w:val="{B172C1BC-A93F-4A7F-A393-E08F27F01823}"/>
      </w:docPartPr>
      <w:docPartBody>
        <w:p w:rsidR="005C187F" w:rsidRDefault="00000000">
          <w:pPr>
            <w:pStyle w:val="E6ADC263E35E4537B1BB3FEFE79927FD"/>
          </w:pPr>
          <w:r>
            <w:rPr>
              <w:rStyle w:val="PlaceholderText"/>
              <w:rFonts w:hint="eastAsia"/>
            </w:rPr>
            <w:t>单击或点击此处输入文字。</w:t>
          </w:r>
        </w:p>
      </w:docPartBody>
    </w:docPart>
    <w:docPart>
      <w:docPartPr>
        <w:name w:val="25F501A2D9BD43C3967AE375495A8ABC"/>
        <w:category>
          <w:name w:val="常规"/>
          <w:gallery w:val="placeholder"/>
        </w:category>
        <w:types>
          <w:type w:val="bbPlcHdr"/>
        </w:types>
        <w:behaviors>
          <w:behavior w:val="content"/>
        </w:behaviors>
        <w:guid w:val="{222D4E6E-963B-4AF2-916C-1936DA9C06CD}"/>
      </w:docPartPr>
      <w:docPartBody>
        <w:p w:rsidR="005C187F" w:rsidRDefault="00000000">
          <w:pPr>
            <w:pStyle w:val="25F501A2D9BD43C3967AE375495A8ABC"/>
          </w:pPr>
          <w:r>
            <w:rPr>
              <w:rStyle w:val="PlaceholderText"/>
              <w:rFonts w:hint="eastAsia"/>
            </w:rPr>
            <w:t>单击或点击此处输入文字。</w:t>
          </w:r>
        </w:p>
      </w:docPartBody>
    </w:docPart>
    <w:docPart>
      <w:docPartPr>
        <w:name w:val="{fe6ae746-facd-41a7-8fa1-62ee4e599eb7}"/>
        <w:category>
          <w:name w:val="常规"/>
          <w:gallery w:val="placeholder"/>
        </w:category>
        <w:types>
          <w:type w:val="bbPlcHdr"/>
        </w:types>
        <w:behaviors>
          <w:behavior w:val="content"/>
        </w:behaviors>
        <w:guid w:val="{FE6AE746-FACD-41A7-8FA1-62EE4E599EB7}"/>
      </w:docPartPr>
      <w:docPartBody>
        <w:p w:rsidR="005C187F" w:rsidRDefault="00000000">
          <w:pPr>
            <w:pStyle w:val="F6588F1797DF4FFE87FC8EF17A0BE21B"/>
          </w:pPr>
          <w:r>
            <w:rPr>
              <w:rStyle w:val="PlaceholderText"/>
              <w:rFonts w:hint="eastAsia"/>
            </w:rPr>
            <w:t>单击或点击此处输入文字。</w:t>
          </w:r>
        </w:p>
      </w:docPartBody>
    </w:docPart>
    <w:docPart>
      <w:docPartPr>
        <w:name w:val="{0d4f8117-b403-4c43-8e03-faad8c5adf8f}"/>
        <w:category>
          <w:name w:val="常规"/>
          <w:gallery w:val="placeholder"/>
        </w:category>
        <w:types>
          <w:type w:val="bbPlcHdr"/>
        </w:types>
        <w:behaviors>
          <w:behavior w:val="content"/>
        </w:behaviors>
        <w:guid w:val="{0D4F8117-B403-4C43-8E03-FAAD8C5ADF8F}"/>
      </w:docPartPr>
      <w:docPartBody>
        <w:p w:rsidR="005C187F" w:rsidRDefault="00000000">
          <w:r>
            <w:rPr>
              <w:rStyle w:val="PlaceholderText"/>
              <w:rFonts w:hint="eastAsia"/>
            </w:rPr>
            <w:t>单击或点击此处输入文字。</w:t>
          </w:r>
        </w:p>
      </w:docPartBody>
    </w:docPart>
    <w:docPart>
      <w:docPartPr>
        <w:name w:val="{ce69948a-8790-4ae4-9e5b-5c5bfb9e14e6}"/>
        <w:category>
          <w:name w:val="常规"/>
          <w:gallery w:val="placeholder"/>
        </w:category>
        <w:types>
          <w:type w:val="bbPlcHdr"/>
        </w:types>
        <w:behaviors>
          <w:behavior w:val="content"/>
        </w:behaviors>
        <w:guid w:val="{CE69948A-8790-4AE4-9E5B-5C5BFB9E14E6}"/>
      </w:docPartPr>
      <w:docPartBody>
        <w:p w:rsidR="005C187F" w:rsidRDefault="00000000">
          <w:r>
            <w:rPr>
              <w:rStyle w:val="PlaceholderText"/>
              <w:rFonts w:hint="eastAsia"/>
            </w:rPr>
            <w:t>单击或点击此处输入文字。</w:t>
          </w:r>
        </w:p>
      </w:docPartBody>
    </w:docPart>
    <w:docPart>
      <w:docPartPr>
        <w:name w:val="{8a106766-fa40-41c0-ba16-16b962f6ce04}"/>
        <w:category>
          <w:name w:val="常规"/>
          <w:gallery w:val="placeholder"/>
        </w:category>
        <w:types>
          <w:type w:val="bbPlcHdr"/>
        </w:types>
        <w:behaviors>
          <w:behavior w:val="content"/>
        </w:behaviors>
        <w:guid w:val="{8A106766-FA40-41C0-BA16-16B962F6CE04}"/>
      </w:docPartPr>
      <w:docPartBody>
        <w:p w:rsidR="005C187F" w:rsidRDefault="00000000">
          <w:r>
            <w:rPr>
              <w:rStyle w:val="PlaceholderText"/>
              <w:rFonts w:hint="eastAsia"/>
            </w:rPr>
            <w:t>单击或点击此处输入文字。</w:t>
          </w:r>
        </w:p>
      </w:docPartBody>
    </w:docPart>
    <w:docPart>
      <w:docPartPr>
        <w:name w:val="{a9e4b044-ceb9-491b-9d41-20ba058a8ce2}"/>
        <w:category>
          <w:name w:val="常规"/>
          <w:gallery w:val="placeholder"/>
        </w:category>
        <w:types>
          <w:type w:val="bbPlcHdr"/>
        </w:types>
        <w:behaviors>
          <w:behavior w:val="content"/>
        </w:behaviors>
        <w:guid w:val="{A9E4B044-CEB9-491B-9D41-20BA058A8CE2}"/>
      </w:docPartPr>
      <w:docPartBody>
        <w:p w:rsidR="005C187F" w:rsidRDefault="00000000">
          <w:r>
            <w:rPr>
              <w:rStyle w:val="PlaceholderText"/>
              <w:rFonts w:hint="eastAsia"/>
            </w:rPr>
            <w:t>单击或点击此处输入文字。</w:t>
          </w:r>
        </w:p>
      </w:docPartBody>
    </w:docPart>
    <w:docPart>
      <w:docPartPr>
        <w:name w:val="{e73d2633-2c51-404c-9e2d-4d33bf6731a4}"/>
        <w:category>
          <w:name w:val="常规"/>
          <w:gallery w:val="placeholder"/>
        </w:category>
        <w:types>
          <w:type w:val="bbPlcHdr"/>
        </w:types>
        <w:behaviors>
          <w:behavior w:val="content"/>
        </w:behaviors>
        <w:guid w:val="{E73D2633-2C51-404C-9E2D-4D33BF6731A4}"/>
      </w:docPartPr>
      <w:docPartBody>
        <w:p w:rsidR="005C187F" w:rsidRDefault="00000000">
          <w:r>
            <w:rPr>
              <w:rStyle w:val="PlaceholderText"/>
              <w:rFonts w:hint="eastAsia"/>
            </w:rPr>
            <w:t>单击或点击此处输入文字。</w:t>
          </w:r>
        </w:p>
      </w:docPartBody>
    </w:docPart>
    <w:docPart>
      <w:docPartPr>
        <w:name w:val="{b68d4b71-a6ec-4504-93db-2cd1421b40e1}"/>
        <w:category>
          <w:name w:val="常规"/>
          <w:gallery w:val="placeholder"/>
        </w:category>
        <w:types>
          <w:type w:val="bbPlcHdr"/>
        </w:types>
        <w:behaviors>
          <w:behavior w:val="content"/>
        </w:behaviors>
        <w:guid w:val="{B68D4B71-A6EC-4504-93DB-2CD1421B40E1}"/>
      </w:docPartPr>
      <w:docPartBody>
        <w:p w:rsidR="005C187F" w:rsidRDefault="00000000">
          <w:pPr>
            <w:pStyle w:val="0A6EA62E74714095AF43AF03109572B8"/>
          </w:pPr>
          <w:r>
            <w:rPr>
              <w:rStyle w:val="PlaceholderText"/>
              <w:rFonts w:hint="eastAsia"/>
            </w:rPr>
            <w:t>单击或点击此处输入文字。</w:t>
          </w:r>
        </w:p>
      </w:docPartBody>
    </w:docPart>
    <w:docPart>
      <w:docPartPr>
        <w:name w:val="{817b8099-156c-4ebd-aceb-e09116bbfd26}"/>
        <w:category>
          <w:name w:val="常规"/>
          <w:gallery w:val="placeholder"/>
        </w:category>
        <w:types>
          <w:type w:val="bbPlcHdr"/>
        </w:types>
        <w:behaviors>
          <w:behavior w:val="content"/>
        </w:behaviors>
        <w:guid w:val="{817B8099-156C-4EBD-ACEB-E09116BBFD26}"/>
      </w:docPartPr>
      <w:docPartBody>
        <w:p w:rsidR="005C187F" w:rsidRDefault="00000000">
          <w:r>
            <w:rPr>
              <w:rStyle w:val="PlaceholderText"/>
              <w:rFonts w:hint="eastAsia"/>
            </w:rPr>
            <w:t>单击或点击此处输入文字。</w:t>
          </w:r>
        </w:p>
      </w:docPartBody>
    </w:docPart>
    <w:docPart>
      <w:docPartPr>
        <w:name w:val="{a715d1a4-7579-473c-96b5-2d8a3252cf12}"/>
        <w:category>
          <w:name w:val="常规"/>
          <w:gallery w:val="placeholder"/>
        </w:category>
        <w:types>
          <w:type w:val="bbPlcHdr"/>
        </w:types>
        <w:behaviors>
          <w:behavior w:val="content"/>
        </w:behaviors>
        <w:guid w:val="{A715D1A4-7579-473C-96B5-2D8A3252CF12}"/>
      </w:docPartPr>
      <w:docPartBody>
        <w:p w:rsidR="005C187F" w:rsidRDefault="00000000">
          <w:pPr>
            <w:pStyle w:val="C24D1A35791740EDA1A4EE53FA76D706"/>
          </w:pPr>
          <w:r>
            <w:rPr>
              <w:rStyle w:val="PlaceholderText"/>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default"/>
    <w:sig w:usb0="00000000" w:usb1="00000000" w:usb2="00000000" w:usb3="00000000" w:csb0="000001BF" w:csb1="00000000"/>
  </w:font>
  <w:font w:name="Vrinda">
    <w:panose1 w:val="00000400000000000000"/>
    <w:charset w:val="00"/>
    <w:family w:val="swiss"/>
    <w:pitch w:val="variable"/>
    <w:sig w:usb0="00010003" w:usb1="00000000" w:usb2="00000000" w:usb3="00000000" w:csb0="00000001" w:csb1="00000000"/>
  </w:font>
  <w:font w:name="Arial (Theme Body CS)">
    <w:altName w:val="Times New Roman"/>
    <w:charset w:val="00"/>
    <w:family w:val="roman"/>
    <w:pitch w:val="default"/>
  </w:font>
  <w:font w:name="MyriadPro-Bold">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DD3"/>
    <w:rsid w:val="0005590B"/>
    <w:rsid w:val="00072F01"/>
    <w:rsid w:val="000A414A"/>
    <w:rsid w:val="000A4832"/>
    <w:rsid w:val="000C25B2"/>
    <w:rsid w:val="000F7256"/>
    <w:rsid w:val="00197B8E"/>
    <w:rsid w:val="001B43A5"/>
    <w:rsid w:val="0023693B"/>
    <w:rsid w:val="00373F22"/>
    <w:rsid w:val="003D106C"/>
    <w:rsid w:val="003E2289"/>
    <w:rsid w:val="00444A30"/>
    <w:rsid w:val="00492987"/>
    <w:rsid w:val="004D7BB7"/>
    <w:rsid w:val="00505822"/>
    <w:rsid w:val="005179C0"/>
    <w:rsid w:val="00571335"/>
    <w:rsid w:val="005C187F"/>
    <w:rsid w:val="005F031A"/>
    <w:rsid w:val="006105B9"/>
    <w:rsid w:val="00617225"/>
    <w:rsid w:val="00624A26"/>
    <w:rsid w:val="0066175A"/>
    <w:rsid w:val="006841E8"/>
    <w:rsid w:val="00693DFD"/>
    <w:rsid w:val="00766C33"/>
    <w:rsid w:val="00793B04"/>
    <w:rsid w:val="007E1EE5"/>
    <w:rsid w:val="007E2DE4"/>
    <w:rsid w:val="008129A4"/>
    <w:rsid w:val="00832A0D"/>
    <w:rsid w:val="00847794"/>
    <w:rsid w:val="0085789A"/>
    <w:rsid w:val="00871563"/>
    <w:rsid w:val="008A0CEB"/>
    <w:rsid w:val="008A7939"/>
    <w:rsid w:val="008F58FB"/>
    <w:rsid w:val="00A45E3B"/>
    <w:rsid w:val="00A66E2B"/>
    <w:rsid w:val="00AD2765"/>
    <w:rsid w:val="00AF0352"/>
    <w:rsid w:val="00B30F37"/>
    <w:rsid w:val="00B96A6F"/>
    <w:rsid w:val="00B96BCE"/>
    <w:rsid w:val="00BB44BC"/>
    <w:rsid w:val="00BB5D3D"/>
    <w:rsid w:val="00BC5861"/>
    <w:rsid w:val="00C72091"/>
    <w:rsid w:val="00CC1C62"/>
    <w:rsid w:val="00DF2ED4"/>
    <w:rsid w:val="00F114DE"/>
    <w:rsid w:val="00F12DD3"/>
    <w:rsid w:val="00F35C95"/>
    <w:rsid w:val="00FA1EF2"/>
    <w:rsid w:val="00FA20FE"/>
    <w:rsid w:val="00FD7EA7"/>
    <w:rsid w:val="00FE2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SG"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808080"/>
    </w:rPr>
  </w:style>
  <w:style w:type="paragraph" w:customStyle="1" w:styleId="F6588F1797DF4FFE87FC8EF17A0BE21B">
    <w:name w:val="F6588F1797DF4FFE87FC8EF17A0BE21B"/>
    <w:qFormat/>
    <w:pPr>
      <w:widowControl w:val="0"/>
      <w:jc w:val="both"/>
    </w:pPr>
    <w:rPr>
      <w:kern w:val="2"/>
      <w:sz w:val="21"/>
      <w:szCs w:val="22"/>
      <w:lang w:val="en-US"/>
      <w14:ligatures w14:val="standardContextual"/>
    </w:rPr>
  </w:style>
  <w:style w:type="paragraph" w:customStyle="1" w:styleId="9F30EA5323C34B1181CBB613094C9A58">
    <w:name w:val="9F30EA5323C34B1181CBB613094C9A58"/>
    <w:qFormat/>
    <w:pPr>
      <w:widowControl w:val="0"/>
      <w:jc w:val="both"/>
    </w:pPr>
    <w:rPr>
      <w:kern w:val="2"/>
      <w:sz w:val="21"/>
      <w:szCs w:val="22"/>
      <w:lang w:val="en-US"/>
      <w14:ligatures w14:val="standardContextual"/>
    </w:rPr>
  </w:style>
  <w:style w:type="paragraph" w:customStyle="1" w:styleId="1D3C3D655A1A41C89132905FF64A5040">
    <w:name w:val="1D3C3D655A1A41C89132905FF64A5040"/>
    <w:qFormat/>
    <w:pPr>
      <w:widowControl w:val="0"/>
      <w:jc w:val="both"/>
    </w:pPr>
    <w:rPr>
      <w:kern w:val="2"/>
      <w:sz w:val="21"/>
      <w:szCs w:val="22"/>
      <w:lang w:val="en-US"/>
      <w14:ligatures w14:val="standardContextual"/>
    </w:rPr>
  </w:style>
  <w:style w:type="paragraph" w:customStyle="1" w:styleId="C24D1A35791740EDA1A4EE53FA76D706">
    <w:name w:val="C24D1A35791740EDA1A4EE53FA76D706"/>
    <w:qFormat/>
    <w:pPr>
      <w:widowControl w:val="0"/>
      <w:jc w:val="both"/>
    </w:pPr>
    <w:rPr>
      <w:kern w:val="2"/>
      <w:sz w:val="21"/>
      <w:szCs w:val="22"/>
      <w:lang w:val="en-US"/>
      <w14:ligatures w14:val="standardContextual"/>
    </w:rPr>
  </w:style>
  <w:style w:type="paragraph" w:customStyle="1" w:styleId="0BF1B399856E4E5096FF466FEC8E201A">
    <w:name w:val="0BF1B399856E4E5096FF466FEC8E201A"/>
    <w:qFormat/>
    <w:pPr>
      <w:widowControl w:val="0"/>
      <w:spacing w:after="160" w:line="278" w:lineRule="auto"/>
    </w:pPr>
    <w:rPr>
      <w:kern w:val="2"/>
      <w:sz w:val="22"/>
      <w:szCs w:val="24"/>
      <w:lang w:val="en-US"/>
      <w14:ligatures w14:val="standardContextual"/>
    </w:rPr>
  </w:style>
  <w:style w:type="paragraph" w:customStyle="1" w:styleId="A22F930146AA430D822C398892CA028F">
    <w:name w:val="A22F930146AA430D822C398892CA028F"/>
    <w:qFormat/>
    <w:pPr>
      <w:widowControl w:val="0"/>
      <w:spacing w:after="160" w:line="278" w:lineRule="auto"/>
    </w:pPr>
    <w:rPr>
      <w:kern w:val="2"/>
      <w:sz w:val="22"/>
      <w:szCs w:val="24"/>
      <w:lang w:val="en-US"/>
      <w14:ligatures w14:val="standardContextual"/>
    </w:rPr>
  </w:style>
  <w:style w:type="paragraph" w:customStyle="1" w:styleId="0A6EA62E74714095AF43AF03109572B8">
    <w:name w:val="0A6EA62E74714095AF43AF03109572B8"/>
    <w:qFormat/>
    <w:pPr>
      <w:widowControl w:val="0"/>
      <w:spacing w:after="160" w:line="278" w:lineRule="auto"/>
    </w:pPr>
    <w:rPr>
      <w:kern w:val="2"/>
      <w:sz w:val="22"/>
      <w:szCs w:val="24"/>
      <w:lang w:val="en-US"/>
      <w14:ligatures w14:val="standardContextual"/>
    </w:rPr>
  </w:style>
  <w:style w:type="paragraph" w:customStyle="1" w:styleId="31E13E64BECA46B4A63C18065D38A3E8">
    <w:name w:val="31E13E64BECA46B4A63C18065D38A3E8"/>
    <w:qFormat/>
    <w:pPr>
      <w:widowControl w:val="0"/>
      <w:spacing w:after="160" w:line="278" w:lineRule="auto"/>
    </w:pPr>
    <w:rPr>
      <w:kern w:val="2"/>
      <w:sz w:val="22"/>
      <w:szCs w:val="24"/>
      <w:lang w:val="en-US"/>
      <w14:ligatures w14:val="standardContextual"/>
    </w:rPr>
  </w:style>
  <w:style w:type="paragraph" w:customStyle="1" w:styleId="E6ADC263E35E4537B1BB3FEFE79927FD">
    <w:name w:val="E6ADC263E35E4537B1BB3FEFE79927FD"/>
    <w:qFormat/>
    <w:pPr>
      <w:widowControl w:val="0"/>
      <w:spacing w:after="160" w:line="278" w:lineRule="auto"/>
    </w:pPr>
    <w:rPr>
      <w:kern w:val="2"/>
      <w:sz w:val="22"/>
      <w:szCs w:val="24"/>
      <w:lang w:val="en-US"/>
      <w14:ligatures w14:val="standardContextual"/>
    </w:rPr>
  </w:style>
  <w:style w:type="paragraph" w:customStyle="1" w:styleId="25F501A2D9BD43C3967AE375495A8ABC">
    <w:name w:val="25F501A2D9BD43C3967AE375495A8ABC"/>
    <w:qFormat/>
    <w:pPr>
      <w:widowControl w:val="0"/>
      <w:spacing w:after="160" w:line="278" w:lineRule="auto"/>
    </w:pPr>
    <w:rPr>
      <w:kern w:val="2"/>
      <w:sz w:val="22"/>
      <w:szCs w:val="24"/>
      <w:lang w:val="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C8CCB-C9F4-4331-AAE0-003D9E651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63</Pages>
  <Words>14977</Words>
  <Characters>94805</Characters>
  <Application>Microsoft Office Word</Application>
  <DocSecurity>0</DocSecurity>
  <Lines>2060</Lines>
  <Paragraphs>690</Paragraphs>
  <ScaleCrop>false</ScaleCrop>
  <Company/>
  <LinksUpToDate>false</LinksUpToDate>
  <CharactersWithSpaces>109092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Yu</dc:creator>
  <cp:lastModifiedBy>Tristan Chong</cp:lastModifiedBy>
  <cp:revision>34</cp:revision>
  <cp:lastPrinted>2025-08-26T02:01:00Z</cp:lastPrinted>
  <dcterms:created xsi:type="dcterms:W3CDTF">2025-09-01T02:28:00Z</dcterms:created>
  <dcterms:modified xsi:type="dcterms:W3CDTF">2026-01-18T06:59:00Z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http://www.zotero.org/styles/international-journal-of-production-economics</vt:lpwstr>
  </property>
  <property fmtid="{D5CDD505-2E9C-101B-9397-08002B2CF9AE}" pid="17" name="Mendeley Recent Style Name 7_1">
    <vt:lpwstr>International Journal of Production Economics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507e814e-70bc-308d-af3d-44a0058bc4b8</vt:lpwstr>
  </property>
  <property fmtid="{D5CDD505-2E9C-101B-9397-08002B2CF9AE}" pid="24" name="Mendeley Citation Style_1">
    <vt:lpwstr>http://www.zotero.org/styles/international-journal-of-production-economics</vt:lpwstr>
  </property>
  <property fmtid="{D5CDD505-2E9C-101B-9397-08002B2CF9AE}" pid="25" name="KSOTemplateDocerSaveRecord">
    <vt:lpwstr>eyJoZGlkIjoiMzEwNTM5NzYwMDRjMzkwZTVkZjY2ODkwMGIxNGU0OTUiLCJ1c2VySWQiOiIyOTY4Njg4NzQifQ==</vt:lpwstr>
  </property>
  <property fmtid="{D5CDD505-2E9C-101B-9397-08002B2CF9AE}" pid="26" name="KSOProductBuildVer">
    <vt:lpwstr>2052-12.1.0.24034</vt:lpwstr>
  </property>
  <property fmtid="{D5CDD505-2E9C-101B-9397-08002B2CF9AE}" pid="27" name="ICV">
    <vt:lpwstr>2B70A48586C34A0F883C952644BB84E1_13</vt:lpwstr>
  </property>
</Properties>
</file>