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41D1A">
      <w:pPr>
        <w:spacing w:line="276" w:lineRule="auto"/>
        <w:ind w:left="-720" w:leftChars="-300"/>
        <w:jc w:val="center"/>
        <w:rPr>
          <w:b/>
          <w:bCs/>
          <w:color w:val="auto"/>
        </w:rPr>
      </w:pPr>
      <w:r>
        <w:rPr>
          <w:rFonts w:hint="eastAsia"/>
          <w:b/>
          <w:bCs/>
          <w:color w:val="auto"/>
        </w:rPr>
        <w:t>Appendix</w:t>
      </w:r>
      <w:r>
        <w:rPr>
          <w:b/>
          <w:bCs/>
          <w:color w:val="auto"/>
        </w:rPr>
        <w:t>es</w:t>
      </w:r>
    </w:p>
    <w:p w14:paraId="68981254">
      <w:pPr>
        <w:spacing w:line="276" w:lineRule="auto"/>
        <w:ind w:left="-720" w:leftChars="-300"/>
        <w:jc w:val="center"/>
        <w:rPr>
          <w:b/>
          <w:bCs/>
          <w:color w:val="auto"/>
        </w:rPr>
      </w:pPr>
    </w:p>
    <w:p w14:paraId="125D32B5">
      <w:pPr>
        <w:spacing w:line="276" w:lineRule="auto"/>
        <w:ind w:left="-720" w:leftChars="-300"/>
        <w:jc w:val="center"/>
        <w:rPr>
          <w:b/>
          <w:bCs/>
          <w:color w:val="auto"/>
        </w:rPr>
      </w:pPr>
      <w:r>
        <w:rPr>
          <w:b/>
          <w:bCs/>
          <w:color w:val="auto"/>
          <w:lang w:val="en-US"/>
        </w:rPr>
        <w:t>Appendi</w:t>
      </w:r>
      <w:r>
        <w:rPr>
          <w:rFonts w:hint="eastAsia"/>
          <w:b/>
          <w:bCs/>
          <w:color w:val="auto"/>
          <w:lang w:val="en-US"/>
        </w:rPr>
        <w:t>x 1</w:t>
      </w:r>
      <w:r>
        <w:rPr>
          <w:b/>
          <w:bCs/>
          <w:color w:val="auto"/>
          <w:lang w:val="en-US"/>
        </w:rPr>
        <w:t>: Interviewee information</w:t>
      </w:r>
    </w:p>
    <w:tbl>
      <w:tblPr>
        <w:tblStyle w:val="9"/>
        <w:tblW w:w="14168"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10"/>
        <w:gridCol w:w="4583"/>
        <w:gridCol w:w="6975"/>
      </w:tblGrid>
      <w:tr w14:paraId="373F67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610" w:type="dxa"/>
            <w:vMerge w:val="restart"/>
            <w:tcBorders>
              <w:top w:val="single" w:color="auto" w:sz="4" w:space="0"/>
              <w:bottom w:val="single" w:color="auto" w:sz="4" w:space="0"/>
            </w:tcBorders>
            <w:shd w:val="clear" w:color="auto" w:fill="FEF2CA" w:themeFill="accent3" w:themeFillTint="33"/>
            <w:vAlign w:val="center"/>
          </w:tcPr>
          <w:p w14:paraId="1C6F0F71">
            <w:pPr>
              <w:snapToGrid w:val="0"/>
              <w:spacing w:line="240" w:lineRule="auto"/>
              <w:ind w:firstLine="0" w:firstLineChars="0"/>
              <w:jc w:val="center"/>
              <w:rPr>
                <w:rFonts w:eastAsiaTheme="minorEastAsia"/>
                <w:b/>
                <w:bCs/>
                <w:color w:val="auto"/>
                <w:kern w:val="2"/>
                <w:szCs w:val="24"/>
                <w:lang w:val="en-US"/>
                <w14:ligatures w14:val="standardContextual"/>
              </w:rPr>
            </w:pPr>
            <w:bookmarkStart w:id="0" w:name="_Hlk192255459"/>
            <w:r>
              <w:rPr>
                <w:rFonts w:eastAsiaTheme="minorEastAsia"/>
                <w:b/>
                <w:bCs/>
                <w:color w:val="auto"/>
                <w:kern w:val="2"/>
                <w:szCs w:val="24"/>
                <w14:ligatures w14:val="standardContextual"/>
              </w:rPr>
              <w:t xml:space="preserve">Suppliers </w:t>
            </w:r>
            <w:r>
              <w:rPr>
                <w:rFonts w:hint="eastAsia" w:eastAsiaTheme="minorEastAsia"/>
                <w:b/>
                <w:bCs/>
                <w:color w:val="auto"/>
                <w:kern w:val="2"/>
                <w:szCs w:val="24"/>
                <w:lang w:val="en-US"/>
                <w14:ligatures w14:val="standardContextual"/>
              </w:rPr>
              <w:t>(SMEs)</w:t>
            </w:r>
          </w:p>
        </w:tc>
        <w:tc>
          <w:tcPr>
            <w:tcW w:w="4583" w:type="dxa"/>
            <w:vMerge w:val="restart"/>
            <w:tcBorders>
              <w:top w:val="single" w:color="auto" w:sz="4" w:space="0"/>
              <w:bottom w:val="single" w:color="auto" w:sz="4" w:space="0"/>
            </w:tcBorders>
            <w:shd w:val="clear" w:color="auto" w:fill="FEF2CA" w:themeFill="accent3" w:themeFillTint="33"/>
            <w:vAlign w:val="center"/>
          </w:tcPr>
          <w:p w14:paraId="6BB012AD">
            <w:pPr>
              <w:snapToGrid w:val="0"/>
              <w:spacing w:line="240" w:lineRule="auto"/>
              <w:ind w:firstLine="0" w:firstLineChars="0"/>
              <w:jc w:val="center"/>
              <w:rPr>
                <w:rFonts w:eastAsiaTheme="minorEastAsia"/>
                <w:b/>
                <w:bCs/>
                <w:color w:val="auto"/>
                <w:kern w:val="2"/>
                <w:szCs w:val="24"/>
                <w14:ligatures w14:val="standardContextual"/>
              </w:rPr>
            </w:pPr>
            <w:r>
              <w:rPr>
                <w:rFonts w:eastAsiaTheme="minorEastAsia"/>
                <w:b/>
                <w:bCs/>
                <w:color w:val="auto"/>
                <w:kern w:val="2"/>
                <w:szCs w:val="24"/>
                <w14:ligatures w14:val="standardContextual"/>
              </w:rPr>
              <w:t xml:space="preserve">Main Businesses </w:t>
            </w:r>
          </w:p>
        </w:tc>
        <w:tc>
          <w:tcPr>
            <w:tcW w:w="6975" w:type="dxa"/>
            <w:vMerge w:val="restart"/>
            <w:tcBorders>
              <w:top w:val="single" w:color="auto" w:sz="4" w:space="0"/>
              <w:bottom w:val="single" w:color="auto" w:sz="4" w:space="0"/>
            </w:tcBorders>
            <w:shd w:val="clear" w:color="auto" w:fill="FEF2CA" w:themeFill="accent3" w:themeFillTint="33"/>
            <w:vAlign w:val="center"/>
          </w:tcPr>
          <w:p w14:paraId="5CC972A1">
            <w:pPr>
              <w:snapToGrid w:val="0"/>
              <w:spacing w:line="240" w:lineRule="auto"/>
              <w:ind w:firstLine="0" w:firstLineChars="0"/>
              <w:jc w:val="center"/>
              <w:rPr>
                <w:rFonts w:eastAsiaTheme="minorEastAsia"/>
                <w:b/>
                <w:bCs/>
                <w:color w:val="auto"/>
                <w:kern w:val="2"/>
                <w:szCs w:val="24"/>
                <w14:ligatures w14:val="standardContextual"/>
              </w:rPr>
            </w:pPr>
            <w:r>
              <w:rPr>
                <w:rFonts w:eastAsiaTheme="minorEastAsia"/>
                <w:b/>
                <w:bCs/>
                <w:color w:val="auto"/>
                <w:kern w:val="2"/>
                <w:szCs w:val="24"/>
                <w14:ligatures w14:val="standardContextual"/>
              </w:rPr>
              <w:t xml:space="preserve">Informant details </w:t>
            </w:r>
          </w:p>
        </w:tc>
      </w:tr>
      <w:tr w14:paraId="3F914C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610" w:type="dxa"/>
            <w:vMerge w:val="continue"/>
            <w:tcBorders>
              <w:top w:val="nil"/>
              <w:bottom w:val="single" w:color="auto" w:sz="4" w:space="0"/>
            </w:tcBorders>
            <w:shd w:val="clear" w:color="auto" w:fill="FEF2CA" w:themeFill="accent3" w:themeFillTint="33"/>
            <w:vAlign w:val="center"/>
          </w:tcPr>
          <w:p w14:paraId="16603789">
            <w:pPr>
              <w:snapToGrid w:val="0"/>
              <w:spacing w:line="240" w:lineRule="auto"/>
              <w:ind w:firstLine="0" w:firstLineChars="0"/>
              <w:jc w:val="center"/>
              <w:rPr>
                <w:rFonts w:eastAsiaTheme="minorEastAsia"/>
                <w:b/>
                <w:bCs/>
                <w:color w:val="auto"/>
                <w:kern w:val="2"/>
                <w:szCs w:val="24"/>
                <w14:ligatures w14:val="standardContextual"/>
              </w:rPr>
            </w:pPr>
          </w:p>
        </w:tc>
        <w:tc>
          <w:tcPr>
            <w:tcW w:w="4583" w:type="dxa"/>
            <w:vMerge w:val="continue"/>
            <w:tcBorders>
              <w:top w:val="nil"/>
              <w:bottom w:val="single" w:color="auto" w:sz="4" w:space="0"/>
            </w:tcBorders>
            <w:shd w:val="clear" w:color="auto" w:fill="FEF2CA" w:themeFill="accent3" w:themeFillTint="33"/>
            <w:vAlign w:val="center"/>
          </w:tcPr>
          <w:p w14:paraId="043F3AE5">
            <w:pPr>
              <w:snapToGrid w:val="0"/>
              <w:spacing w:line="240" w:lineRule="auto"/>
              <w:ind w:firstLine="0" w:firstLineChars="0"/>
              <w:jc w:val="left"/>
              <w:rPr>
                <w:rFonts w:eastAsiaTheme="minorEastAsia"/>
                <w:b/>
                <w:bCs/>
                <w:color w:val="auto"/>
                <w:kern w:val="2"/>
                <w:szCs w:val="24"/>
                <w14:ligatures w14:val="standardContextual"/>
              </w:rPr>
            </w:pPr>
          </w:p>
        </w:tc>
        <w:tc>
          <w:tcPr>
            <w:tcW w:w="6975" w:type="dxa"/>
            <w:vMerge w:val="continue"/>
            <w:tcBorders>
              <w:top w:val="nil"/>
              <w:bottom w:val="single" w:color="auto" w:sz="4" w:space="0"/>
            </w:tcBorders>
            <w:shd w:val="clear" w:color="auto" w:fill="FEF2CA" w:themeFill="accent3" w:themeFillTint="33"/>
            <w:vAlign w:val="center"/>
          </w:tcPr>
          <w:p w14:paraId="08C3188B">
            <w:pPr>
              <w:snapToGrid w:val="0"/>
              <w:spacing w:line="240" w:lineRule="auto"/>
              <w:ind w:firstLine="0" w:firstLineChars="0"/>
              <w:jc w:val="left"/>
              <w:rPr>
                <w:rFonts w:eastAsiaTheme="minorEastAsia"/>
                <w:b/>
                <w:bCs/>
                <w:color w:val="auto"/>
                <w:kern w:val="2"/>
                <w:szCs w:val="24"/>
                <w14:ligatures w14:val="standardContextual"/>
              </w:rPr>
            </w:pPr>
          </w:p>
        </w:tc>
      </w:tr>
      <w:tr w14:paraId="23D40D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restart"/>
            <w:tcBorders>
              <w:top w:val="single" w:color="auto" w:sz="4" w:space="0"/>
            </w:tcBorders>
            <w:vAlign w:val="center"/>
          </w:tcPr>
          <w:p w14:paraId="4432EF67">
            <w:pPr>
              <w:snapToGrid w:val="0"/>
              <w:spacing w:line="240" w:lineRule="auto"/>
              <w:ind w:firstLine="0" w:firstLineChars="0"/>
              <w:jc w:val="center"/>
              <w:rPr>
                <w:rFonts w:eastAsiaTheme="minorEastAsia"/>
                <w:color w:val="auto"/>
                <w:kern w:val="2"/>
                <w:szCs w:val="24"/>
                <w14:ligatures w14:val="standardContextual"/>
              </w:rPr>
            </w:pPr>
            <w:r>
              <w:rPr>
                <w:rFonts w:eastAsiaTheme="minorEastAsia"/>
                <w:color w:val="auto"/>
                <w:kern w:val="2"/>
                <w:szCs w:val="24"/>
                <w14:ligatures w14:val="standardContextual"/>
              </w:rPr>
              <w:t>SME 1</w:t>
            </w:r>
          </w:p>
        </w:tc>
        <w:tc>
          <w:tcPr>
            <w:tcW w:w="4583" w:type="dxa"/>
            <w:vMerge w:val="restart"/>
            <w:tcBorders>
              <w:top w:val="single" w:color="auto" w:sz="4" w:space="0"/>
            </w:tcBorders>
            <w:vAlign w:val="center"/>
          </w:tcPr>
          <w:p w14:paraId="71171A02">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Mechanical Components</w:t>
            </w:r>
          </w:p>
        </w:tc>
        <w:tc>
          <w:tcPr>
            <w:tcW w:w="6975" w:type="dxa"/>
            <w:tcBorders>
              <w:top w:val="single" w:color="auto" w:sz="4" w:space="0"/>
            </w:tcBorders>
            <w:vAlign w:val="center"/>
          </w:tcPr>
          <w:p w14:paraId="1E4DA588">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Business owner</w:t>
            </w:r>
          </w:p>
        </w:tc>
      </w:tr>
      <w:tr w14:paraId="57E5E6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continue"/>
            <w:vAlign w:val="center"/>
          </w:tcPr>
          <w:p w14:paraId="1928F2CF">
            <w:pPr>
              <w:snapToGrid w:val="0"/>
              <w:spacing w:line="240" w:lineRule="auto"/>
              <w:ind w:firstLine="0" w:firstLineChars="0"/>
              <w:jc w:val="center"/>
              <w:rPr>
                <w:rFonts w:eastAsiaTheme="minorEastAsia"/>
                <w:color w:val="auto"/>
                <w:kern w:val="2"/>
                <w:szCs w:val="24"/>
                <w14:ligatures w14:val="standardContextual"/>
              </w:rPr>
            </w:pPr>
          </w:p>
        </w:tc>
        <w:tc>
          <w:tcPr>
            <w:tcW w:w="4583" w:type="dxa"/>
            <w:vMerge w:val="continue"/>
            <w:vAlign w:val="center"/>
          </w:tcPr>
          <w:p w14:paraId="52F7B183">
            <w:pPr>
              <w:snapToGrid w:val="0"/>
              <w:spacing w:line="240" w:lineRule="auto"/>
              <w:ind w:firstLine="0" w:firstLineChars="0"/>
              <w:jc w:val="left"/>
              <w:rPr>
                <w:rFonts w:eastAsiaTheme="minorEastAsia"/>
                <w:color w:val="auto"/>
                <w:kern w:val="2"/>
                <w:szCs w:val="24"/>
                <w14:ligatures w14:val="standardContextual"/>
              </w:rPr>
            </w:pPr>
          </w:p>
        </w:tc>
        <w:tc>
          <w:tcPr>
            <w:tcW w:w="6975" w:type="dxa"/>
            <w:vAlign w:val="center"/>
          </w:tcPr>
          <w:p w14:paraId="0361BEEB">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Senior manager </w:t>
            </w:r>
            <w:r>
              <w:rPr>
                <w:rFonts w:hint="eastAsia" w:eastAsiaTheme="minorEastAsia"/>
                <w:color w:val="auto"/>
                <w:kern w:val="2"/>
                <w:szCs w:val="24"/>
                <w14:ligatures w14:val="standardContextual"/>
              </w:rPr>
              <w:t>of</w:t>
            </w:r>
            <w:r>
              <w:rPr>
                <w:rFonts w:eastAsiaTheme="minorEastAsia"/>
                <w:color w:val="auto"/>
                <w:kern w:val="2"/>
                <w:szCs w:val="24"/>
                <w14:ligatures w14:val="standardContextual"/>
              </w:rPr>
              <w:t xml:space="preserve"> marketing</w:t>
            </w:r>
          </w:p>
        </w:tc>
      </w:tr>
      <w:tr w14:paraId="0C1C19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restart"/>
            <w:vAlign w:val="center"/>
          </w:tcPr>
          <w:p w14:paraId="29B79921">
            <w:pPr>
              <w:snapToGrid w:val="0"/>
              <w:spacing w:line="240" w:lineRule="auto"/>
              <w:ind w:firstLine="0" w:firstLineChars="0"/>
              <w:jc w:val="center"/>
              <w:rPr>
                <w:rFonts w:eastAsiaTheme="minorEastAsia"/>
                <w:color w:val="auto"/>
                <w:kern w:val="2"/>
                <w:szCs w:val="24"/>
                <w14:ligatures w14:val="standardContextual"/>
              </w:rPr>
            </w:pPr>
            <w:r>
              <w:rPr>
                <w:rFonts w:eastAsiaTheme="minorEastAsia"/>
                <w:color w:val="auto"/>
                <w:kern w:val="2"/>
                <w:szCs w:val="24"/>
                <w14:ligatures w14:val="standardContextual"/>
              </w:rPr>
              <w:t>SME 2</w:t>
            </w:r>
          </w:p>
        </w:tc>
        <w:tc>
          <w:tcPr>
            <w:tcW w:w="4583" w:type="dxa"/>
            <w:vMerge w:val="restart"/>
            <w:vAlign w:val="center"/>
          </w:tcPr>
          <w:p w14:paraId="037A4C00">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Mechanical Components</w:t>
            </w:r>
          </w:p>
        </w:tc>
        <w:tc>
          <w:tcPr>
            <w:tcW w:w="6975" w:type="dxa"/>
            <w:vAlign w:val="center"/>
          </w:tcPr>
          <w:p w14:paraId="05C25AA5">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Business owner</w:t>
            </w:r>
          </w:p>
        </w:tc>
      </w:tr>
      <w:tr w14:paraId="070E12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continue"/>
            <w:vAlign w:val="center"/>
          </w:tcPr>
          <w:p w14:paraId="2D13A760">
            <w:pPr>
              <w:snapToGrid w:val="0"/>
              <w:spacing w:line="240" w:lineRule="auto"/>
              <w:ind w:firstLine="0" w:firstLineChars="0"/>
              <w:jc w:val="center"/>
              <w:rPr>
                <w:rFonts w:eastAsiaTheme="minorEastAsia"/>
                <w:color w:val="auto"/>
                <w:kern w:val="2"/>
                <w:szCs w:val="24"/>
                <w14:ligatures w14:val="standardContextual"/>
              </w:rPr>
            </w:pPr>
          </w:p>
        </w:tc>
        <w:tc>
          <w:tcPr>
            <w:tcW w:w="4583" w:type="dxa"/>
            <w:vMerge w:val="continue"/>
            <w:vAlign w:val="center"/>
          </w:tcPr>
          <w:p w14:paraId="6608C731">
            <w:pPr>
              <w:snapToGrid w:val="0"/>
              <w:spacing w:line="240" w:lineRule="auto"/>
              <w:ind w:firstLine="0" w:firstLineChars="0"/>
              <w:jc w:val="left"/>
              <w:rPr>
                <w:rFonts w:eastAsiaTheme="minorEastAsia"/>
                <w:color w:val="auto"/>
                <w:kern w:val="2"/>
                <w:szCs w:val="24"/>
                <w14:ligatures w14:val="standardContextual"/>
              </w:rPr>
            </w:pPr>
          </w:p>
        </w:tc>
        <w:tc>
          <w:tcPr>
            <w:tcW w:w="6975" w:type="dxa"/>
            <w:vAlign w:val="center"/>
          </w:tcPr>
          <w:p w14:paraId="79CEA147">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Senior manager </w:t>
            </w:r>
            <w:r>
              <w:rPr>
                <w:rFonts w:hint="eastAsia" w:eastAsiaTheme="minorEastAsia"/>
                <w:color w:val="auto"/>
                <w:kern w:val="2"/>
                <w:szCs w:val="24"/>
                <w14:ligatures w14:val="standardContextual"/>
              </w:rPr>
              <w:t>of customer relationship management</w:t>
            </w:r>
          </w:p>
        </w:tc>
      </w:tr>
      <w:tr w14:paraId="6F27E6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restart"/>
            <w:vAlign w:val="center"/>
          </w:tcPr>
          <w:p w14:paraId="41D5C240">
            <w:pPr>
              <w:snapToGrid w:val="0"/>
              <w:spacing w:line="240" w:lineRule="auto"/>
              <w:ind w:firstLine="0" w:firstLineChars="0"/>
              <w:jc w:val="center"/>
              <w:rPr>
                <w:rFonts w:eastAsiaTheme="minorEastAsia"/>
                <w:color w:val="auto"/>
                <w:kern w:val="2"/>
                <w:szCs w:val="24"/>
                <w14:ligatures w14:val="standardContextual"/>
              </w:rPr>
            </w:pPr>
            <w:r>
              <w:rPr>
                <w:rFonts w:eastAsiaTheme="minorEastAsia"/>
                <w:color w:val="auto"/>
                <w:kern w:val="2"/>
                <w:szCs w:val="24"/>
                <w14:ligatures w14:val="standardContextual"/>
              </w:rPr>
              <w:t>SME 3</w:t>
            </w:r>
          </w:p>
        </w:tc>
        <w:tc>
          <w:tcPr>
            <w:tcW w:w="4583" w:type="dxa"/>
            <w:vMerge w:val="restart"/>
            <w:vAlign w:val="center"/>
          </w:tcPr>
          <w:p w14:paraId="4089DDD4">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Material Components</w:t>
            </w:r>
          </w:p>
        </w:tc>
        <w:tc>
          <w:tcPr>
            <w:tcW w:w="6975" w:type="dxa"/>
            <w:vAlign w:val="center"/>
          </w:tcPr>
          <w:p w14:paraId="040FD9EC">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Business owner</w:t>
            </w:r>
          </w:p>
        </w:tc>
      </w:tr>
      <w:tr w14:paraId="542E3C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continue"/>
            <w:vAlign w:val="center"/>
          </w:tcPr>
          <w:p w14:paraId="68BA5728">
            <w:pPr>
              <w:snapToGrid w:val="0"/>
              <w:spacing w:line="240" w:lineRule="auto"/>
              <w:ind w:firstLine="0" w:firstLineChars="0"/>
              <w:jc w:val="center"/>
              <w:rPr>
                <w:rFonts w:eastAsiaTheme="minorEastAsia"/>
                <w:color w:val="auto"/>
                <w:kern w:val="2"/>
                <w:szCs w:val="24"/>
                <w14:ligatures w14:val="standardContextual"/>
              </w:rPr>
            </w:pPr>
          </w:p>
        </w:tc>
        <w:tc>
          <w:tcPr>
            <w:tcW w:w="4583" w:type="dxa"/>
            <w:vMerge w:val="continue"/>
            <w:vAlign w:val="center"/>
          </w:tcPr>
          <w:p w14:paraId="4FAE953D">
            <w:pPr>
              <w:snapToGrid w:val="0"/>
              <w:spacing w:line="240" w:lineRule="auto"/>
              <w:ind w:firstLine="0" w:firstLineChars="0"/>
              <w:jc w:val="left"/>
              <w:rPr>
                <w:rFonts w:eastAsiaTheme="minorEastAsia"/>
                <w:color w:val="auto"/>
                <w:kern w:val="2"/>
                <w:szCs w:val="24"/>
                <w14:ligatures w14:val="standardContextual"/>
              </w:rPr>
            </w:pPr>
          </w:p>
        </w:tc>
        <w:tc>
          <w:tcPr>
            <w:tcW w:w="6975" w:type="dxa"/>
            <w:vAlign w:val="center"/>
          </w:tcPr>
          <w:p w14:paraId="77A01ABA">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Director </w:t>
            </w:r>
            <w:r>
              <w:rPr>
                <w:rFonts w:hint="eastAsia" w:eastAsiaTheme="minorEastAsia"/>
                <w:color w:val="auto"/>
                <w:kern w:val="2"/>
                <w:szCs w:val="24"/>
                <w14:ligatures w14:val="standardContextual"/>
              </w:rPr>
              <w:t>of</w:t>
            </w:r>
            <w:r>
              <w:rPr>
                <w:rFonts w:eastAsiaTheme="minorEastAsia"/>
                <w:color w:val="auto"/>
                <w:kern w:val="2"/>
                <w:szCs w:val="24"/>
                <w14:ligatures w14:val="standardContextual"/>
              </w:rPr>
              <w:t xml:space="preserve"> customer management</w:t>
            </w:r>
          </w:p>
        </w:tc>
      </w:tr>
      <w:tr w14:paraId="29E412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restart"/>
            <w:vAlign w:val="center"/>
          </w:tcPr>
          <w:p w14:paraId="0CC2502F">
            <w:pPr>
              <w:snapToGrid w:val="0"/>
              <w:spacing w:line="240" w:lineRule="auto"/>
              <w:ind w:firstLine="0" w:firstLineChars="0"/>
              <w:jc w:val="center"/>
              <w:rPr>
                <w:rFonts w:eastAsiaTheme="minorEastAsia"/>
                <w:color w:val="auto"/>
                <w:kern w:val="2"/>
                <w:szCs w:val="24"/>
                <w14:ligatures w14:val="standardContextual"/>
              </w:rPr>
            </w:pPr>
            <w:r>
              <w:rPr>
                <w:rFonts w:eastAsiaTheme="minorEastAsia"/>
                <w:color w:val="auto"/>
                <w:kern w:val="2"/>
                <w:szCs w:val="24"/>
                <w14:ligatures w14:val="standardContextual"/>
              </w:rPr>
              <w:t>SME 4</w:t>
            </w:r>
          </w:p>
        </w:tc>
        <w:tc>
          <w:tcPr>
            <w:tcW w:w="4583" w:type="dxa"/>
            <w:vMerge w:val="restart"/>
            <w:vAlign w:val="center"/>
          </w:tcPr>
          <w:p w14:paraId="158ADAEB">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Material Components</w:t>
            </w:r>
          </w:p>
        </w:tc>
        <w:tc>
          <w:tcPr>
            <w:tcW w:w="6975" w:type="dxa"/>
            <w:vAlign w:val="center"/>
          </w:tcPr>
          <w:p w14:paraId="0AFD138F">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Business owner</w:t>
            </w:r>
          </w:p>
        </w:tc>
      </w:tr>
      <w:tr w14:paraId="0DD49D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continue"/>
            <w:vAlign w:val="center"/>
          </w:tcPr>
          <w:p w14:paraId="2DA81DD0">
            <w:pPr>
              <w:snapToGrid w:val="0"/>
              <w:spacing w:line="240" w:lineRule="auto"/>
              <w:ind w:firstLine="0" w:firstLineChars="0"/>
              <w:jc w:val="center"/>
              <w:rPr>
                <w:rFonts w:eastAsiaTheme="minorEastAsia"/>
                <w:color w:val="auto"/>
                <w:kern w:val="2"/>
                <w:szCs w:val="24"/>
                <w14:ligatures w14:val="standardContextual"/>
              </w:rPr>
            </w:pPr>
          </w:p>
        </w:tc>
        <w:tc>
          <w:tcPr>
            <w:tcW w:w="4583" w:type="dxa"/>
            <w:vMerge w:val="continue"/>
            <w:vAlign w:val="center"/>
          </w:tcPr>
          <w:p w14:paraId="258C7AB3">
            <w:pPr>
              <w:snapToGrid w:val="0"/>
              <w:spacing w:line="240" w:lineRule="auto"/>
              <w:ind w:firstLine="0" w:firstLineChars="0"/>
              <w:jc w:val="left"/>
              <w:rPr>
                <w:rFonts w:eastAsiaTheme="minorEastAsia"/>
                <w:color w:val="auto"/>
                <w:kern w:val="2"/>
                <w:szCs w:val="24"/>
                <w14:ligatures w14:val="standardContextual"/>
              </w:rPr>
            </w:pPr>
          </w:p>
        </w:tc>
        <w:tc>
          <w:tcPr>
            <w:tcW w:w="6975" w:type="dxa"/>
            <w:vAlign w:val="center"/>
          </w:tcPr>
          <w:p w14:paraId="194BD91B">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Director </w:t>
            </w:r>
            <w:r>
              <w:rPr>
                <w:rFonts w:hint="eastAsia" w:eastAsiaTheme="minorEastAsia"/>
                <w:color w:val="auto"/>
                <w:kern w:val="2"/>
                <w:szCs w:val="24"/>
                <w14:ligatures w14:val="standardContextual"/>
              </w:rPr>
              <w:t>of</w:t>
            </w:r>
            <w:r>
              <w:rPr>
                <w:rFonts w:eastAsiaTheme="minorEastAsia"/>
                <w:color w:val="auto"/>
                <w:kern w:val="2"/>
                <w:szCs w:val="24"/>
                <w14:ligatures w14:val="standardContextual"/>
              </w:rPr>
              <w:t xml:space="preserve"> operations </w:t>
            </w:r>
            <w:r>
              <w:rPr>
                <w:rFonts w:hint="eastAsia" w:eastAsiaTheme="minorEastAsia"/>
                <w:color w:val="auto"/>
                <w:kern w:val="2"/>
                <w:szCs w:val="24"/>
                <w14:ligatures w14:val="standardContextual"/>
              </w:rPr>
              <w:t>management</w:t>
            </w:r>
          </w:p>
        </w:tc>
      </w:tr>
      <w:tr w14:paraId="277237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restart"/>
            <w:vAlign w:val="center"/>
          </w:tcPr>
          <w:p w14:paraId="30AB1649">
            <w:pPr>
              <w:snapToGrid w:val="0"/>
              <w:spacing w:line="240" w:lineRule="auto"/>
              <w:ind w:firstLine="0" w:firstLineChars="0"/>
              <w:jc w:val="center"/>
              <w:rPr>
                <w:rFonts w:eastAsiaTheme="minorEastAsia"/>
                <w:color w:val="auto"/>
                <w:kern w:val="2"/>
                <w:szCs w:val="24"/>
                <w14:ligatures w14:val="standardContextual"/>
              </w:rPr>
            </w:pPr>
            <w:r>
              <w:rPr>
                <w:rFonts w:eastAsiaTheme="minorEastAsia"/>
                <w:color w:val="auto"/>
                <w:kern w:val="2"/>
                <w:szCs w:val="24"/>
                <w14:ligatures w14:val="standardContextual"/>
              </w:rPr>
              <w:t>SME 5</w:t>
            </w:r>
          </w:p>
        </w:tc>
        <w:tc>
          <w:tcPr>
            <w:tcW w:w="4583" w:type="dxa"/>
            <w:vMerge w:val="restart"/>
            <w:vAlign w:val="center"/>
          </w:tcPr>
          <w:p w14:paraId="2E82BFBE">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Microcontrollers and Processors</w:t>
            </w:r>
          </w:p>
        </w:tc>
        <w:tc>
          <w:tcPr>
            <w:tcW w:w="6975" w:type="dxa"/>
            <w:vAlign w:val="center"/>
          </w:tcPr>
          <w:p w14:paraId="6902B1F7">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Senior manager </w:t>
            </w:r>
            <w:r>
              <w:rPr>
                <w:rFonts w:hint="eastAsia" w:eastAsiaTheme="minorEastAsia"/>
                <w:color w:val="auto"/>
                <w:kern w:val="2"/>
                <w:szCs w:val="24"/>
                <w14:ligatures w14:val="standardContextual"/>
              </w:rPr>
              <w:t>of</w:t>
            </w:r>
            <w:r>
              <w:rPr>
                <w:rFonts w:eastAsiaTheme="minorEastAsia"/>
                <w:color w:val="auto"/>
                <w:kern w:val="2"/>
                <w:szCs w:val="24"/>
                <w14:ligatures w14:val="standardContextual"/>
              </w:rPr>
              <w:t xml:space="preserve"> supply chain </w:t>
            </w:r>
            <w:r>
              <w:rPr>
                <w:rFonts w:hint="eastAsia" w:eastAsiaTheme="minorEastAsia"/>
                <w:color w:val="auto"/>
                <w:kern w:val="2"/>
                <w:szCs w:val="24"/>
                <w14:ligatures w14:val="standardContextual"/>
              </w:rPr>
              <w:t>management</w:t>
            </w:r>
          </w:p>
        </w:tc>
      </w:tr>
      <w:tr w14:paraId="16DD07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continue"/>
            <w:vAlign w:val="center"/>
          </w:tcPr>
          <w:p w14:paraId="63CEFE14">
            <w:pPr>
              <w:snapToGrid w:val="0"/>
              <w:spacing w:line="240" w:lineRule="auto"/>
              <w:ind w:firstLine="0" w:firstLineChars="0"/>
              <w:jc w:val="center"/>
              <w:rPr>
                <w:rFonts w:eastAsiaTheme="minorEastAsia"/>
                <w:color w:val="auto"/>
                <w:kern w:val="2"/>
                <w:szCs w:val="24"/>
                <w14:ligatures w14:val="standardContextual"/>
              </w:rPr>
            </w:pPr>
          </w:p>
        </w:tc>
        <w:tc>
          <w:tcPr>
            <w:tcW w:w="4583" w:type="dxa"/>
            <w:vMerge w:val="continue"/>
            <w:vAlign w:val="center"/>
          </w:tcPr>
          <w:p w14:paraId="16F62660">
            <w:pPr>
              <w:snapToGrid w:val="0"/>
              <w:spacing w:line="240" w:lineRule="auto"/>
              <w:ind w:firstLine="0" w:firstLineChars="0"/>
              <w:jc w:val="left"/>
              <w:rPr>
                <w:rFonts w:eastAsiaTheme="minorEastAsia"/>
                <w:color w:val="auto"/>
                <w:kern w:val="2"/>
                <w:szCs w:val="24"/>
                <w14:ligatures w14:val="standardContextual"/>
              </w:rPr>
            </w:pPr>
          </w:p>
        </w:tc>
        <w:tc>
          <w:tcPr>
            <w:tcW w:w="6975" w:type="dxa"/>
            <w:vAlign w:val="center"/>
          </w:tcPr>
          <w:p w14:paraId="7C2AF3EF">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Director </w:t>
            </w:r>
            <w:r>
              <w:rPr>
                <w:rFonts w:hint="eastAsia" w:eastAsiaTheme="minorEastAsia"/>
                <w:color w:val="auto"/>
                <w:kern w:val="2"/>
                <w:szCs w:val="24"/>
                <w14:ligatures w14:val="standardContextual"/>
              </w:rPr>
              <w:t>of</w:t>
            </w:r>
            <w:r>
              <w:rPr>
                <w:rFonts w:eastAsiaTheme="minorEastAsia"/>
                <w:color w:val="auto"/>
                <w:kern w:val="2"/>
                <w:szCs w:val="24"/>
                <w14:ligatures w14:val="standardContextual"/>
              </w:rPr>
              <w:t xml:space="preserve"> sales </w:t>
            </w:r>
            <w:r>
              <w:rPr>
                <w:rFonts w:hint="eastAsia" w:eastAsiaTheme="minorEastAsia"/>
                <w:color w:val="auto"/>
                <w:kern w:val="2"/>
                <w:szCs w:val="24"/>
                <w14:ligatures w14:val="standardContextual"/>
              </w:rPr>
              <w:t>management</w:t>
            </w:r>
          </w:p>
        </w:tc>
      </w:tr>
      <w:tr w14:paraId="399E71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restart"/>
            <w:vAlign w:val="center"/>
          </w:tcPr>
          <w:p w14:paraId="387452F2">
            <w:pPr>
              <w:snapToGrid w:val="0"/>
              <w:spacing w:line="240" w:lineRule="auto"/>
              <w:ind w:firstLine="0" w:firstLineChars="0"/>
              <w:jc w:val="center"/>
              <w:rPr>
                <w:rFonts w:eastAsiaTheme="minorEastAsia"/>
                <w:color w:val="auto"/>
                <w:kern w:val="2"/>
                <w:szCs w:val="24"/>
                <w14:ligatures w14:val="standardContextual"/>
              </w:rPr>
            </w:pPr>
            <w:r>
              <w:rPr>
                <w:rFonts w:eastAsiaTheme="minorEastAsia"/>
                <w:color w:val="auto"/>
                <w:kern w:val="2"/>
                <w:szCs w:val="24"/>
                <w14:ligatures w14:val="standardContextual"/>
              </w:rPr>
              <w:t>SME 6</w:t>
            </w:r>
          </w:p>
        </w:tc>
        <w:tc>
          <w:tcPr>
            <w:tcW w:w="4583" w:type="dxa"/>
            <w:vMerge w:val="restart"/>
            <w:vAlign w:val="center"/>
          </w:tcPr>
          <w:p w14:paraId="619EEB46">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Microcontrollers and Processors</w:t>
            </w:r>
          </w:p>
        </w:tc>
        <w:tc>
          <w:tcPr>
            <w:tcW w:w="6975" w:type="dxa"/>
            <w:vAlign w:val="center"/>
          </w:tcPr>
          <w:p w14:paraId="28B4C2B5">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Business owner</w:t>
            </w:r>
          </w:p>
        </w:tc>
      </w:tr>
      <w:tr w14:paraId="1CB8C1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continue"/>
            <w:vAlign w:val="center"/>
          </w:tcPr>
          <w:p w14:paraId="0E6C43E7">
            <w:pPr>
              <w:snapToGrid w:val="0"/>
              <w:spacing w:line="240" w:lineRule="auto"/>
              <w:ind w:firstLine="0" w:firstLineChars="0"/>
              <w:jc w:val="center"/>
              <w:rPr>
                <w:rFonts w:eastAsiaTheme="minorEastAsia"/>
                <w:color w:val="auto"/>
                <w:kern w:val="2"/>
                <w:szCs w:val="24"/>
                <w14:ligatures w14:val="standardContextual"/>
              </w:rPr>
            </w:pPr>
          </w:p>
        </w:tc>
        <w:tc>
          <w:tcPr>
            <w:tcW w:w="4583" w:type="dxa"/>
            <w:vMerge w:val="continue"/>
            <w:vAlign w:val="center"/>
          </w:tcPr>
          <w:p w14:paraId="6A75B49B">
            <w:pPr>
              <w:snapToGrid w:val="0"/>
              <w:spacing w:line="240" w:lineRule="auto"/>
              <w:ind w:firstLine="0" w:firstLineChars="0"/>
              <w:jc w:val="left"/>
              <w:rPr>
                <w:rFonts w:eastAsiaTheme="minorEastAsia"/>
                <w:color w:val="auto"/>
                <w:kern w:val="2"/>
                <w:szCs w:val="24"/>
                <w14:ligatures w14:val="standardContextual"/>
              </w:rPr>
            </w:pPr>
          </w:p>
        </w:tc>
        <w:tc>
          <w:tcPr>
            <w:tcW w:w="6975" w:type="dxa"/>
            <w:vAlign w:val="center"/>
          </w:tcPr>
          <w:p w14:paraId="409E8749">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Senior manager </w:t>
            </w:r>
            <w:r>
              <w:rPr>
                <w:rFonts w:hint="eastAsia" w:eastAsiaTheme="minorEastAsia"/>
                <w:color w:val="auto"/>
                <w:kern w:val="2"/>
                <w:szCs w:val="24"/>
                <w14:ligatures w14:val="standardContextual"/>
              </w:rPr>
              <w:t xml:space="preserve">of </w:t>
            </w:r>
            <w:r>
              <w:rPr>
                <w:rFonts w:eastAsiaTheme="minorEastAsia"/>
                <w:color w:val="auto"/>
                <w:kern w:val="2"/>
                <w:szCs w:val="24"/>
                <w14:ligatures w14:val="standardContextual"/>
              </w:rPr>
              <w:t xml:space="preserve">supply chain </w:t>
            </w:r>
            <w:r>
              <w:rPr>
                <w:rFonts w:hint="eastAsia" w:eastAsiaTheme="minorEastAsia"/>
                <w:color w:val="auto"/>
                <w:kern w:val="2"/>
                <w:szCs w:val="24"/>
                <w14:ligatures w14:val="standardContextual"/>
              </w:rPr>
              <w:t>management</w:t>
            </w:r>
          </w:p>
        </w:tc>
      </w:tr>
      <w:tr w14:paraId="00D7A3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restart"/>
            <w:vAlign w:val="center"/>
          </w:tcPr>
          <w:p w14:paraId="76DE7E9F">
            <w:pPr>
              <w:snapToGrid w:val="0"/>
              <w:spacing w:line="240" w:lineRule="auto"/>
              <w:ind w:firstLine="0" w:firstLineChars="0"/>
              <w:jc w:val="center"/>
              <w:rPr>
                <w:rFonts w:eastAsiaTheme="minorEastAsia"/>
                <w:color w:val="auto"/>
                <w:kern w:val="2"/>
                <w:szCs w:val="24"/>
                <w14:ligatures w14:val="standardContextual"/>
              </w:rPr>
            </w:pPr>
            <w:r>
              <w:rPr>
                <w:rFonts w:eastAsiaTheme="minorEastAsia"/>
                <w:color w:val="auto"/>
                <w:kern w:val="2"/>
                <w:szCs w:val="24"/>
                <w14:ligatures w14:val="standardContextual"/>
              </w:rPr>
              <w:t>SME 7</w:t>
            </w:r>
          </w:p>
        </w:tc>
        <w:tc>
          <w:tcPr>
            <w:tcW w:w="4583" w:type="dxa"/>
            <w:vMerge w:val="restart"/>
            <w:vAlign w:val="center"/>
          </w:tcPr>
          <w:p w14:paraId="50AC8D4D">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Safety devices</w:t>
            </w:r>
          </w:p>
        </w:tc>
        <w:tc>
          <w:tcPr>
            <w:tcW w:w="6975" w:type="dxa"/>
            <w:vAlign w:val="center"/>
          </w:tcPr>
          <w:p w14:paraId="06B5A069">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Business owner</w:t>
            </w:r>
          </w:p>
        </w:tc>
      </w:tr>
      <w:tr w14:paraId="6CEE19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continue"/>
            <w:vAlign w:val="center"/>
          </w:tcPr>
          <w:p w14:paraId="6B9616F0">
            <w:pPr>
              <w:snapToGrid w:val="0"/>
              <w:spacing w:line="240" w:lineRule="auto"/>
              <w:ind w:firstLine="0" w:firstLineChars="0"/>
              <w:jc w:val="center"/>
              <w:rPr>
                <w:rFonts w:eastAsiaTheme="minorEastAsia"/>
                <w:color w:val="auto"/>
                <w:kern w:val="2"/>
                <w:szCs w:val="24"/>
                <w14:ligatures w14:val="standardContextual"/>
              </w:rPr>
            </w:pPr>
          </w:p>
        </w:tc>
        <w:tc>
          <w:tcPr>
            <w:tcW w:w="4583" w:type="dxa"/>
            <w:vMerge w:val="continue"/>
            <w:vAlign w:val="center"/>
          </w:tcPr>
          <w:p w14:paraId="77FAD565">
            <w:pPr>
              <w:snapToGrid w:val="0"/>
              <w:spacing w:line="240" w:lineRule="auto"/>
              <w:ind w:firstLine="0" w:firstLineChars="0"/>
              <w:jc w:val="left"/>
              <w:rPr>
                <w:rFonts w:eastAsiaTheme="minorEastAsia"/>
                <w:color w:val="auto"/>
                <w:kern w:val="2"/>
                <w:szCs w:val="24"/>
                <w14:ligatures w14:val="standardContextual"/>
              </w:rPr>
            </w:pPr>
          </w:p>
        </w:tc>
        <w:tc>
          <w:tcPr>
            <w:tcW w:w="6975" w:type="dxa"/>
            <w:vAlign w:val="center"/>
          </w:tcPr>
          <w:p w14:paraId="6CD971C2">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Manager </w:t>
            </w:r>
            <w:r>
              <w:rPr>
                <w:rFonts w:hint="eastAsia" w:eastAsiaTheme="minorEastAsia"/>
                <w:color w:val="auto"/>
                <w:kern w:val="2"/>
                <w:szCs w:val="24"/>
                <w14:ligatures w14:val="standardContextual"/>
              </w:rPr>
              <w:t>of</w:t>
            </w:r>
            <w:r>
              <w:rPr>
                <w:rFonts w:eastAsiaTheme="minorEastAsia"/>
                <w:color w:val="auto"/>
                <w:kern w:val="2"/>
                <w:szCs w:val="24"/>
                <w14:ligatures w14:val="standardContextual"/>
              </w:rPr>
              <w:t xml:space="preserve"> product development </w:t>
            </w:r>
          </w:p>
        </w:tc>
      </w:tr>
      <w:tr w14:paraId="31C58E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restart"/>
            <w:vAlign w:val="center"/>
          </w:tcPr>
          <w:p w14:paraId="054AF315">
            <w:pPr>
              <w:snapToGrid w:val="0"/>
              <w:spacing w:line="240" w:lineRule="auto"/>
              <w:ind w:firstLine="0" w:firstLineChars="0"/>
              <w:jc w:val="center"/>
              <w:rPr>
                <w:rFonts w:eastAsiaTheme="minorEastAsia"/>
                <w:color w:val="auto"/>
                <w:kern w:val="2"/>
                <w:szCs w:val="24"/>
                <w14:ligatures w14:val="standardContextual"/>
              </w:rPr>
            </w:pPr>
            <w:r>
              <w:rPr>
                <w:rFonts w:eastAsiaTheme="minorEastAsia"/>
                <w:color w:val="auto"/>
                <w:kern w:val="2"/>
                <w:szCs w:val="24"/>
                <w14:ligatures w14:val="standardContextual"/>
              </w:rPr>
              <w:t>SME 8</w:t>
            </w:r>
          </w:p>
        </w:tc>
        <w:tc>
          <w:tcPr>
            <w:tcW w:w="4583" w:type="dxa"/>
            <w:vMerge w:val="restart"/>
            <w:vAlign w:val="center"/>
          </w:tcPr>
          <w:p w14:paraId="275C2FD7">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Sensing devices</w:t>
            </w:r>
          </w:p>
        </w:tc>
        <w:tc>
          <w:tcPr>
            <w:tcW w:w="6975" w:type="dxa"/>
            <w:vAlign w:val="center"/>
          </w:tcPr>
          <w:p w14:paraId="16A42253">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Director </w:t>
            </w:r>
            <w:r>
              <w:rPr>
                <w:rFonts w:hint="eastAsia" w:eastAsiaTheme="minorEastAsia"/>
                <w:color w:val="auto"/>
                <w:kern w:val="2"/>
                <w:szCs w:val="24"/>
                <w14:ligatures w14:val="standardContextual"/>
              </w:rPr>
              <w:t>of customer management</w:t>
            </w:r>
          </w:p>
        </w:tc>
      </w:tr>
      <w:tr w14:paraId="06F4D2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continue"/>
            <w:vAlign w:val="center"/>
          </w:tcPr>
          <w:p w14:paraId="02E9BEB6">
            <w:pPr>
              <w:snapToGrid w:val="0"/>
              <w:spacing w:line="240" w:lineRule="auto"/>
              <w:ind w:firstLine="0" w:firstLineChars="0"/>
              <w:jc w:val="center"/>
              <w:rPr>
                <w:rFonts w:eastAsiaTheme="minorEastAsia"/>
                <w:color w:val="auto"/>
                <w:kern w:val="2"/>
                <w:szCs w:val="24"/>
                <w14:ligatures w14:val="standardContextual"/>
              </w:rPr>
            </w:pPr>
          </w:p>
        </w:tc>
        <w:tc>
          <w:tcPr>
            <w:tcW w:w="4583" w:type="dxa"/>
            <w:vMerge w:val="continue"/>
            <w:vAlign w:val="center"/>
          </w:tcPr>
          <w:p w14:paraId="5C460D3A">
            <w:pPr>
              <w:snapToGrid w:val="0"/>
              <w:spacing w:line="240" w:lineRule="auto"/>
              <w:ind w:firstLine="0" w:firstLineChars="0"/>
              <w:jc w:val="left"/>
              <w:rPr>
                <w:rFonts w:eastAsiaTheme="minorEastAsia"/>
                <w:color w:val="auto"/>
                <w:kern w:val="2"/>
                <w:szCs w:val="24"/>
                <w14:ligatures w14:val="standardContextual"/>
              </w:rPr>
            </w:pPr>
          </w:p>
        </w:tc>
        <w:tc>
          <w:tcPr>
            <w:tcW w:w="6975" w:type="dxa"/>
            <w:vAlign w:val="center"/>
          </w:tcPr>
          <w:p w14:paraId="0676645C">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Director of product development </w:t>
            </w:r>
          </w:p>
        </w:tc>
      </w:tr>
      <w:tr w14:paraId="6BEF60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restart"/>
            <w:vAlign w:val="center"/>
          </w:tcPr>
          <w:p w14:paraId="793576C4">
            <w:pPr>
              <w:snapToGrid w:val="0"/>
              <w:spacing w:line="240" w:lineRule="auto"/>
              <w:ind w:firstLine="0" w:firstLineChars="0"/>
              <w:jc w:val="center"/>
              <w:rPr>
                <w:rFonts w:eastAsiaTheme="minorEastAsia"/>
                <w:color w:val="auto"/>
                <w:kern w:val="2"/>
                <w:szCs w:val="24"/>
                <w14:ligatures w14:val="standardContextual"/>
              </w:rPr>
            </w:pPr>
            <w:r>
              <w:rPr>
                <w:rFonts w:eastAsiaTheme="minorEastAsia"/>
                <w:color w:val="auto"/>
                <w:kern w:val="2"/>
                <w:szCs w:val="24"/>
                <w14:ligatures w14:val="standardContextual"/>
              </w:rPr>
              <w:t>SME 9</w:t>
            </w:r>
          </w:p>
        </w:tc>
        <w:tc>
          <w:tcPr>
            <w:tcW w:w="4583" w:type="dxa"/>
            <w:vMerge w:val="restart"/>
            <w:vAlign w:val="center"/>
          </w:tcPr>
          <w:p w14:paraId="131A3B63">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Testing and Simulation Equipment</w:t>
            </w:r>
          </w:p>
        </w:tc>
        <w:tc>
          <w:tcPr>
            <w:tcW w:w="6975" w:type="dxa"/>
            <w:vAlign w:val="center"/>
          </w:tcPr>
          <w:p w14:paraId="7064F3F1">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Senior manager </w:t>
            </w:r>
            <w:r>
              <w:rPr>
                <w:rFonts w:hint="eastAsia" w:eastAsiaTheme="minorEastAsia"/>
                <w:color w:val="auto"/>
                <w:kern w:val="2"/>
                <w:szCs w:val="24"/>
                <w14:ligatures w14:val="standardContextual"/>
              </w:rPr>
              <w:t>of operation management</w:t>
            </w:r>
          </w:p>
        </w:tc>
      </w:tr>
      <w:tr w14:paraId="1BFE4D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continue"/>
            <w:vAlign w:val="center"/>
          </w:tcPr>
          <w:p w14:paraId="5955394E">
            <w:pPr>
              <w:snapToGrid w:val="0"/>
              <w:spacing w:line="240" w:lineRule="auto"/>
              <w:ind w:firstLine="0" w:firstLineChars="0"/>
              <w:jc w:val="center"/>
              <w:rPr>
                <w:rFonts w:eastAsiaTheme="minorEastAsia"/>
                <w:color w:val="auto"/>
                <w:kern w:val="2"/>
                <w:szCs w:val="24"/>
                <w14:ligatures w14:val="standardContextual"/>
              </w:rPr>
            </w:pPr>
          </w:p>
        </w:tc>
        <w:tc>
          <w:tcPr>
            <w:tcW w:w="4583" w:type="dxa"/>
            <w:vMerge w:val="continue"/>
            <w:vAlign w:val="center"/>
          </w:tcPr>
          <w:p w14:paraId="35845175">
            <w:pPr>
              <w:snapToGrid w:val="0"/>
              <w:spacing w:line="240" w:lineRule="auto"/>
              <w:ind w:firstLine="0" w:firstLineChars="0"/>
              <w:jc w:val="left"/>
              <w:rPr>
                <w:rFonts w:eastAsiaTheme="minorEastAsia"/>
                <w:color w:val="auto"/>
                <w:kern w:val="2"/>
                <w:szCs w:val="24"/>
                <w14:ligatures w14:val="standardContextual"/>
              </w:rPr>
            </w:pPr>
          </w:p>
        </w:tc>
        <w:tc>
          <w:tcPr>
            <w:tcW w:w="6975" w:type="dxa"/>
            <w:vAlign w:val="center"/>
          </w:tcPr>
          <w:p w14:paraId="3035D377">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Director </w:t>
            </w:r>
            <w:r>
              <w:rPr>
                <w:rFonts w:hint="eastAsia" w:eastAsiaTheme="minorEastAsia"/>
                <w:color w:val="auto"/>
                <w:kern w:val="2"/>
                <w:szCs w:val="24"/>
                <w14:ligatures w14:val="standardContextual"/>
              </w:rPr>
              <w:t>of</w:t>
            </w:r>
            <w:r>
              <w:rPr>
                <w:rFonts w:eastAsiaTheme="minorEastAsia"/>
                <w:color w:val="auto"/>
                <w:kern w:val="2"/>
                <w:szCs w:val="24"/>
                <w14:ligatures w14:val="standardContextual"/>
              </w:rPr>
              <w:t xml:space="preserve"> production </w:t>
            </w:r>
            <w:r>
              <w:rPr>
                <w:rFonts w:hint="eastAsia" w:eastAsiaTheme="minorEastAsia"/>
                <w:color w:val="auto"/>
                <w:kern w:val="2"/>
                <w:szCs w:val="24"/>
                <w14:ligatures w14:val="standardContextual"/>
              </w:rPr>
              <w:t>management</w:t>
            </w:r>
          </w:p>
        </w:tc>
      </w:tr>
      <w:tr w14:paraId="5739E9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restart"/>
            <w:vAlign w:val="center"/>
          </w:tcPr>
          <w:p w14:paraId="05F110F5">
            <w:pPr>
              <w:snapToGrid w:val="0"/>
              <w:spacing w:line="240" w:lineRule="auto"/>
              <w:ind w:firstLine="0" w:firstLineChars="0"/>
              <w:jc w:val="center"/>
              <w:rPr>
                <w:rFonts w:eastAsiaTheme="minorEastAsia"/>
                <w:color w:val="auto"/>
                <w:kern w:val="2"/>
                <w:szCs w:val="24"/>
                <w14:ligatures w14:val="standardContextual"/>
              </w:rPr>
            </w:pPr>
            <w:r>
              <w:rPr>
                <w:rFonts w:eastAsiaTheme="minorEastAsia"/>
                <w:color w:val="auto"/>
                <w:kern w:val="2"/>
                <w:szCs w:val="24"/>
                <w14:ligatures w14:val="standardContextual"/>
              </w:rPr>
              <w:t>SME 10</w:t>
            </w:r>
          </w:p>
        </w:tc>
        <w:tc>
          <w:tcPr>
            <w:tcW w:w="4583" w:type="dxa"/>
            <w:vMerge w:val="restart"/>
            <w:vAlign w:val="center"/>
          </w:tcPr>
          <w:p w14:paraId="0C244379">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Communication Interfaces</w:t>
            </w:r>
          </w:p>
        </w:tc>
        <w:tc>
          <w:tcPr>
            <w:tcW w:w="6975" w:type="dxa"/>
            <w:vAlign w:val="center"/>
          </w:tcPr>
          <w:p w14:paraId="663D42D6">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Manager </w:t>
            </w:r>
            <w:r>
              <w:rPr>
                <w:rFonts w:hint="eastAsia" w:eastAsiaTheme="minorEastAsia"/>
                <w:color w:val="auto"/>
                <w:kern w:val="2"/>
                <w:szCs w:val="24"/>
                <w14:ligatures w14:val="standardContextual"/>
              </w:rPr>
              <w:t>of</w:t>
            </w:r>
            <w:r>
              <w:rPr>
                <w:rFonts w:eastAsiaTheme="minorEastAsia"/>
                <w:color w:val="auto"/>
                <w:kern w:val="2"/>
                <w:szCs w:val="24"/>
                <w14:ligatures w14:val="standardContextual"/>
              </w:rPr>
              <w:t xml:space="preserve"> production </w:t>
            </w:r>
            <w:r>
              <w:rPr>
                <w:rFonts w:hint="eastAsia" w:eastAsiaTheme="minorEastAsia"/>
                <w:color w:val="auto"/>
                <w:kern w:val="2"/>
                <w:szCs w:val="24"/>
                <w14:ligatures w14:val="standardContextual"/>
              </w:rPr>
              <w:t>management</w:t>
            </w:r>
          </w:p>
        </w:tc>
      </w:tr>
      <w:tr w14:paraId="6281C0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Merge w:val="continue"/>
            <w:tcBorders>
              <w:bottom w:val="single" w:color="auto" w:sz="4" w:space="0"/>
            </w:tcBorders>
            <w:vAlign w:val="center"/>
          </w:tcPr>
          <w:p w14:paraId="63B91055">
            <w:pPr>
              <w:snapToGrid w:val="0"/>
              <w:spacing w:line="240" w:lineRule="auto"/>
              <w:ind w:firstLine="0" w:firstLineChars="0"/>
              <w:jc w:val="center"/>
              <w:rPr>
                <w:rFonts w:eastAsiaTheme="minorEastAsia"/>
                <w:color w:val="auto"/>
                <w:kern w:val="2"/>
                <w:szCs w:val="24"/>
                <w14:ligatures w14:val="standardContextual"/>
              </w:rPr>
            </w:pPr>
          </w:p>
        </w:tc>
        <w:tc>
          <w:tcPr>
            <w:tcW w:w="4583" w:type="dxa"/>
            <w:vMerge w:val="continue"/>
            <w:tcBorders>
              <w:bottom w:val="single" w:color="auto" w:sz="4" w:space="0"/>
            </w:tcBorders>
            <w:vAlign w:val="center"/>
          </w:tcPr>
          <w:p w14:paraId="4DB47E65">
            <w:pPr>
              <w:snapToGrid w:val="0"/>
              <w:spacing w:line="240" w:lineRule="auto"/>
              <w:ind w:firstLine="0" w:firstLineChars="0"/>
              <w:jc w:val="left"/>
              <w:rPr>
                <w:rFonts w:eastAsiaTheme="minorEastAsia"/>
                <w:color w:val="auto"/>
                <w:kern w:val="2"/>
                <w:szCs w:val="24"/>
                <w14:ligatures w14:val="standardContextual"/>
              </w:rPr>
            </w:pPr>
          </w:p>
        </w:tc>
        <w:tc>
          <w:tcPr>
            <w:tcW w:w="6975" w:type="dxa"/>
            <w:tcBorders>
              <w:bottom w:val="single" w:color="auto" w:sz="4" w:space="0"/>
            </w:tcBorders>
            <w:vAlign w:val="center"/>
          </w:tcPr>
          <w:p w14:paraId="2061C9A7">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Senior manager </w:t>
            </w:r>
            <w:r>
              <w:rPr>
                <w:rFonts w:hint="eastAsia" w:eastAsiaTheme="minorEastAsia"/>
                <w:color w:val="auto"/>
                <w:kern w:val="2"/>
                <w:szCs w:val="24"/>
                <w14:ligatures w14:val="standardContextual"/>
              </w:rPr>
              <w:t>pf</w:t>
            </w:r>
            <w:r>
              <w:rPr>
                <w:rFonts w:eastAsiaTheme="minorEastAsia"/>
                <w:color w:val="auto"/>
                <w:kern w:val="2"/>
                <w:szCs w:val="24"/>
                <w14:ligatures w14:val="standardContextual"/>
              </w:rPr>
              <w:t xml:space="preserve"> marketing </w:t>
            </w:r>
            <w:r>
              <w:rPr>
                <w:rFonts w:hint="eastAsia" w:eastAsiaTheme="minorEastAsia"/>
                <w:color w:val="auto"/>
                <w:kern w:val="2"/>
                <w:szCs w:val="24"/>
                <w14:ligatures w14:val="standardContextual"/>
              </w:rPr>
              <w:t>management</w:t>
            </w:r>
          </w:p>
        </w:tc>
      </w:tr>
      <w:tr w14:paraId="411BC1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tcBorders>
              <w:top w:val="single" w:color="auto" w:sz="4" w:space="0"/>
              <w:bottom w:val="single" w:color="auto" w:sz="4" w:space="0"/>
            </w:tcBorders>
            <w:shd w:val="clear" w:color="auto" w:fill="FEF2CA" w:themeFill="accent3" w:themeFillTint="33"/>
            <w:vAlign w:val="center"/>
          </w:tcPr>
          <w:p w14:paraId="26CDFD45">
            <w:pPr>
              <w:snapToGrid w:val="0"/>
              <w:spacing w:line="240" w:lineRule="auto"/>
              <w:ind w:firstLine="0" w:firstLineChars="0"/>
              <w:jc w:val="center"/>
              <w:rPr>
                <w:rFonts w:eastAsiaTheme="minorEastAsia"/>
                <w:b/>
                <w:bCs/>
                <w:color w:val="auto"/>
                <w:kern w:val="2"/>
                <w:szCs w:val="24"/>
                <w14:ligatures w14:val="standardContextual"/>
              </w:rPr>
            </w:pPr>
            <w:r>
              <w:rPr>
                <w:rFonts w:hint="eastAsia" w:eastAsiaTheme="minorEastAsia"/>
                <w:b/>
                <w:bCs/>
                <w:color w:val="auto"/>
                <w:kern w:val="2"/>
                <w:szCs w:val="24"/>
                <w14:ligatures w14:val="standardContextual"/>
              </w:rPr>
              <w:t>Buyer</w:t>
            </w:r>
            <w:r>
              <w:rPr>
                <w:rFonts w:eastAsiaTheme="minorEastAsia"/>
                <w:b/>
                <w:bCs/>
                <w:color w:val="auto"/>
                <w:kern w:val="2"/>
                <w:szCs w:val="24"/>
                <w14:ligatures w14:val="standardContextual"/>
              </w:rPr>
              <w:t>s</w:t>
            </w:r>
          </w:p>
        </w:tc>
        <w:tc>
          <w:tcPr>
            <w:tcW w:w="4583" w:type="dxa"/>
            <w:tcBorders>
              <w:top w:val="single" w:color="auto" w:sz="4" w:space="0"/>
              <w:bottom w:val="single" w:color="auto" w:sz="4" w:space="0"/>
            </w:tcBorders>
            <w:shd w:val="clear" w:color="auto" w:fill="FEF2CA" w:themeFill="accent3" w:themeFillTint="33"/>
            <w:vAlign w:val="center"/>
          </w:tcPr>
          <w:p w14:paraId="477A0B85">
            <w:pPr>
              <w:snapToGrid w:val="0"/>
              <w:spacing w:line="240" w:lineRule="auto"/>
              <w:ind w:firstLine="0" w:firstLineChars="0"/>
              <w:jc w:val="center"/>
              <w:rPr>
                <w:rFonts w:eastAsiaTheme="minorEastAsia"/>
                <w:b/>
                <w:bCs/>
                <w:color w:val="auto"/>
                <w:kern w:val="2"/>
                <w:szCs w:val="24"/>
                <w14:ligatures w14:val="standardContextual"/>
              </w:rPr>
            </w:pPr>
            <w:r>
              <w:rPr>
                <w:rFonts w:eastAsiaTheme="minorEastAsia"/>
                <w:b/>
                <w:bCs/>
                <w:color w:val="auto"/>
                <w:kern w:val="2"/>
                <w:szCs w:val="24"/>
                <w14:ligatures w14:val="standardContextual"/>
              </w:rPr>
              <w:t>Main Business</w:t>
            </w:r>
          </w:p>
        </w:tc>
        <w:tc>
          <w:tcPr>
            <w:tcW w:w="6975" w:type="dxa"/>
            <w:tcBorders>
              <w:top w:val="single" w:color="auto" w:sz="4" w:space="0"/>
              <w:bottom w:val="single" w:color="auto" w:sz="4" w:space="0"/>
            </w:tcBorders>
            <w:shd w:val="clear" w:color="auto" w:fill="FEF2CA" w:themeFill="accent3" w:themeFillTint="33"/>
            <w:vAlign w:val="center"/>
          </w:tcPr>
          <w:p w14:paraId="3018C3C9">
            <w:pPr>
              <w:snapToGrid w:val="0"/>
              <w:spacing w:line="240" w:lineRule="auto"/>
              <w:ind w:firstLine="0" w:firstLineChars="0"/>
              <w:jc w:val="center"/>
              <w:rPr>
                <w:rFonts w:eastAsiaTheme="minorEastAsia"/>
                <w:b/>
                <w:bCs/>
                <w:color w:val="auto"/>
                <w:kern w:val="2"/>
                <w:szCs w:val="24"/>
                <w14:ligatures w14:val="standardContextual"/>
              </w:rPr>
            </w:pPr>
            <w:r>
              <w:rPr>
                <w:rFonts w:eastAsiaTheme="minorEastAsia"/>
                <w:b/>
                <w:bCs/>
                <w:color w:val="auto"/>
                <w:kern w:val="2"/>
                <w:szCs w:val="24"/>
                <w14:ligatures w14:val="standardContextual"/>
              </w:rPr>
              <w:t>Informant details</w:t>
            </w:r>
          </w:p>
        </w:tc>
      </w:tr>
      <w:tr w14:paraId="61C3F2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tcBorders>
              <w:top w:val="single" w:color="auto" w:sz="4" w:space="0"/>
            </w:tcBorders>
            <w:vAlign w:val="center"/>
          </w:tcPr>
          <w:p w14:paraId="60C8D633">
            <w:pPr>
              <w:snapToGrid w:val="0"/>
              <w:spacing w:line="240" w:lineRule="auto"/>
              <w:ind w:firstLine="0" w:firstLineChars="0"/>
              <w:jc w:val="center"/>
              <w:rPr>
                <w:rFonts w:eastAsiaTheme="minorEastAsia"/>
                <w:color w:val="auto"/>
                <w:kern w:val="2"/>
                <w:szCs w:val="24"/>
                <w14:ligatures w14:val="standardContextual"/>
              </w:rPr>
            </w:pPr>
            <w:r>
              <w:rPr>
                <w:rFonts w:hint="eastAsia" w:eastAsiaTheme="minorEastAsia"/>
                <w:color w:val="auto"/>
                <w:kern w:val="2"/>
                <w:szCs w:val="24"/>
                <w14:ligatures w14:val="standardContextual"/>
              </w:rPr>
              <w:t>Buyer</w:t>
            </w:r>
            <w:r>
              <w:rPr>
                <w:rFonts w:eastAsiaTheme="minorEastAsia"/>
                <w:color w:val="auto"/>
                <w:kern w:val="2"/>
                <w:szCs w:val="24"/>
                <w14:ligatures w14:val="standardContextual"/>
              </w:rPr>
              <w:t xml:space="preserve"> 1</w:t>
            </w:r>
          </w:p>
        </w:tc>
        <w:tc>
          <w:tcPr>
            <w:tcW w:w="4583" w:type="dxa"/>
            <w:tcBorders>
              <w:top w:val="single" w:color="auto" w:sz="4" w:space="0"/>
            </w:tcBorders>
            <w:vAlign w:val="center"/>
          </w:tcPr>
          <w:p w14:paraId="13CE4643">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Energy machinery</w:t>
            </w:r>
          </w:p>
        </w:tc>
        <w:tc>
          <w:tcPr>
            <w:tcW w:w="6975" w:type="dxa"/>
            <w:tcBorders>
              <w:top w:val="single" w:color="auto" w:sz="4" w:space="0"/>
            </w:tcBorders>
            <w:vAlign w:val="center"/>
          </w:tcPr>
          <w:p w14:paraId="6B6A22BF">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Manager in supplier management</w:t>
            </w:r>
          </w:p>
        </w:tc>
      </w:tr>
      <w:tr w14:paraId="6AD8B2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Align w:val="center"/>
          </w:tcPr>
          <w:p w14:paraId="35313447">
            <w:pPr>
              <w:snapToGrid w:val="0"/>
              <w:spacing w:line="240" w:lineRule="auto"/>
              <w:ind w:firstLine="0" w:firstLineChars="0"/>
              <w:jc w:val="center"/>
              <w:rPr>
                <w:rFonts w:eastAsiaTheme="minorEastAsia"/>
                <w:color w:val="auto"/>
                <w:kern w:val="2"/>
                <w:szCs w:val="24"/>
                <w14:ligatures w14:val="standardContextual"/>
              </w:rPr>
            </w:pPr>
          </w:p>
        </w:tc>
        <w:tc>
          <w:tcPr>
            <w:tcW w:w="4583" w:type="dxa"/>
            <w:vAlign w:val="center"/>
          </w:tcPr>
          <w:p w14:paraId="3BAF5605">
            <w:pPr>
              <w:snapToGrid w:val="0"/>
              <w:spacing w:line="240" w:lineRule="auto"/>
              <w:ind w:firstLine="0" w:firstLineChars="0"/>
              <w:jc w:val="left"/>
              <w:rPr>
                <w:rFonts w:eastAsiaTheme="minorEastAsia"/>
                <w:color w:val="auto"/>
                <w:kern w:val="2"/>
                <w:szCs w:val="24"/>
                <w14:ligatures w14:val="standardContextual"/>
              </w:rPr>
            </w:pPr>
          </w:p>
        </w:tc>
        <w:tc>
          <w:tcPr>
            <w:tcW w:w="6975" w:type="dxa"/>
            <w:vAlign w:val="center"/>
          </w:tcPr>
          <w:p w14:paraId="5083C991">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Manager in business relationship</w:t>
            </w:r>
          </w:p>
        </w:tc>
      </w:tr>
      <w:tr w14:paraId="392743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Align w:val="center"/>
          </w:tcPr>
          <w:p w14:paraId="16322457">
            <w:pPr>
              <w:snapToGrid w:val="0"/>
              <w:spacing w:line="240" w:lineRule="auto"/>
              <w:ind w:firstLine="0" w:firstLineChars="0"/>
              <w:jc w:val="center"/>
              <w:rPr>
                <w:rFonts w:eastAsiaTheme="minorEastAsia"/>
                <w:color w:val="auto"/>
                <w:kern w:val="2"/>
                <w:szCs w:val="24"/>
                <w14:ligatures w14:val="standardContextual"/>
              </w:rPr>
            </w:pPr>
            <w:r>
              <w:rPr>
                <w:rFonts w:hint="eastAsia" w:eastAsiaTheme="minorEastAsia"/>
                <w:color w:val="auto"/>
                <w:kern w:val="2"/>
                <w:szCs w:val="24"/>
                <w14:ligatures w14:val="standardContextual"/>
              </w:rPr>
              <w:t>Buyer</w:t>
            </w:r>
            <w:r>
              <w:rPr>
                <w:rFonts w:eastAsiaTheme="minorEastAsia"/>
                <w:color w:val="auto"/>
                <w:kern w:val="2"/>
                <w:szCs w:val="24"/>
                <w14:ligatures w14:val="standardContextual"/>
              </w:rPr>
              <w:t xml:space="preserve"> 2</w:t>
            </w:r>
          </w:p>
        </w:tc>
        <w:tc>
          <w:tcPr>
            <w:tcW w:w="4583" w:type="dxa"/>
            <w:vAlign w:val="center"/>
          </w:tcPr>
          <w:p w14:paraId="1CA8CBD7">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 xml:space="preserve">Automotive </w:t>
            </w:r>
          </w:p>
        </w:tc>
        <w:tc>
          <w:tcPr>
            <w:tcW w:w="6975" w:type="dxa"/>
            <w:vAlign w:val="center"/>
          </w:tcPr>
          <w:p w14:paraId="12A0AD5B">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Director in operation management</w:t>
            </w:r>
          </w:p>
        </w:tc>
      </w:tr>
      <w:tr w14:paraId="566CF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Align w:val="center"/>
          </w:tcPr>
          <w:p w14:paraId="3242CAD1">
            <w:pPr>
              <w:snapToGrid w:val="0"/>
              <w:spacing w:line="240" w:lineRule="auto"/>
              <w:ind w:firstLine="0" w:firstLineChars="0"/>
              <w:jc w:val="center"/>
              <w:rPr>
                <w:rFonts w:eastAsiaTheme="minorEastAsia"/>
                <w:color w:val="auto"/>
                <w:kern w:val="2"/>
                <w:szCs w:val="24"/>
                <w14:ligatures w14:val="standardContextual"/>
              </w:rPr>
            </w:pPr>
          </w:p>
        </w:tc>
        <w:tc>
          <w:tcPr>
            <w:tcW w:w="4583" w:type="dxa"/>
            <w:vAlign w:val="center"/>
          </w:tcPr>
          <w:p w14:paraId="476B9003">
            <w:pPr>
              <w:snapToGrid w:val="0"/>
              <w:spacing w:line="240" w:lineRule="auto"/>
              <w:ind w:firstLine="0" w:firstLineChars="0"/>
              <w:jc w:val="left"/>
              <w:rPr>
                <w:rFonts w:eastAsiaTheme="minorEastAsia"/>
                <w:color w:val="auto"/>
                <w:kern w:val="2"/>
                <w:szCs w:val="24"/>
                <w14:ligatures w14:val="standardContextual"/>
              </w:rPr>
            </w:pPr>
          </w:p>
        </w:tc>
        <w:tc>
          <w:tcPr>
            <w:tcW w:w="6975" w:type="dxa"/>
            <w:vAlign w:val="center"/>
          </w:tcPr>
          <w:p w14:paraId="0480A600">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Manager in procurement</w:t>
            </w:r>
          </w:p>
        </w:tc>
      </w:tr>
      <w:tr w14:paraId="4BC5A5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610" w:type="dxa"/>
            <w:vAlign w:val="center"/>
          </w:tcPr>
          <w:p w14:paraId="2D858683">
            <w:pPr>
              <w:snapToGrid w:val="0"/>
              <w:spacing w:line="240" w:lineRule="auto"/>
              <w:ind w:firstLine="0" w:firstLineChars="0"/>
              <w:jc w:val="center"/>
              <w:rPr>
                <w:rFonts w:eastAsiaTheme="minorEastAsia"/>
                <w:color w:val="auto"/>
                <w:kern w:val="2"/>
                <w:szCs w:val="24"/>
                <w14:ligatures w14:val="standardContextual"/>
              </w:rPr>
            </w:pPr>
            <w:r>
              <w:rPr>
                <w:rFonts w:hint="eastAsia" w:eastAsiaTheme="minorEastAsia"/>
                <w:color w:val="auto"/>
                <w:kern w:val="2"/>
                <w:szCs w:val="24"/>
                <w14:ligatures w14:val="standardContextual"/>
              </w:rPr>
              <w:t>Buyer</w:t>
            </w:r>
            <w:r>
              <w:rPr>
                <w:rFonts w:eastAsiaTheme="minorEastAsia"/>
                <w:color w:val="auto"/>
                <w:kern w:val="2"/>
                <w:szCs w:val="24"/>
                <w14:ligatures w14:val="standardContextual"/>
              </w:rPr>
              <w:t xml:space="preserve"> 3</w:t>
            </w:r>
          </w:p>
        </w:tc>
        <w:tc>
          <w:tcPr>
            <w:tcW w:w="4583" w:type="dxa"/>
            <w:vAlign w:val="center"/>
          </w:tcPr>
          <w:p w14:paraId="768624C8">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Electronics</w:t>
            </w:r>
          </w:p>
        </w:tc>
        <w:tc>
          <w:tcPr>
            <w:tcW w:w="6975" w:type="dxa"/>
            <w:vAlign w:val="center"/>
          </w:tcPr>
          <w:p w14:paraId="133DFAA7">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Director in operation management</w:t>
            </w:r>
          </w:p>
        </w:tc>
      </w:tr>
      <w:tr w14:paraId="1FB8CA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Align w:val="center"/>
          </w:tcPr>
          <w:p w14:paraId="78588E2D">
            <w:pPr>
              <w:snapToGrid w:val="0"/>
              <w:spacing w:line="240" w:lineRule="auto"/>
              <w:ind w:firstLine="0" w:firstLineChars="0"/>
              <w:jc w:val="center"/>
              <w:rPr>
                <w:rFonts w:eastAsiaTheme="minorEastAsia"/>
                <w:color w:val="auto"/>
                <w:kern w:val="2"/>
                <w:szCs w:val="24"/>
                <w14:ligatures w14:val="standardContextual"/>
              </w:rPr>
            </w:pPr>
          </w:p>
        </w:tc>
        <w:tc>
          <w:tcPr>
            <w:tcW w:w="4583" w:type="dxa"/>
            <w:vAlign w:val="center"/>
          </w:tcPr>
          <w:p w14:paraId="78533A9F">
            <w:pPr>
              <w:snapToGrid w:val="0"/>
              <w:spacing w:line="240" w:lineRule="auto"/>
              <w:ind w:firstLine="0" w:firstLineChars="0"/>
              <w:jc w:val="left"/>
              <w:rPr>
                <w:rFonts w:eastAsiaTheme="minorEastAsia"/>
                <w:color w:val="auto"/>
                <w:kern w:val="2"/>
                <w:szCs w:val="24"/>
                <w14:ligatures w14:val="standardContextual"/>
              </w:rPr>
            </w:pPr>
          </w:p>
        </w:tc>
        <w:tc>
          <w:tcPr>
            <w:tcW w:w="6975" w:type="dxa"/>
            <w:vAlign w:val="center"/>
          </w:tcPr>
          <w:p w14:paraId="2BFCE3B8">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Director in supplier management</w:t>
            </w:r>
          </w:p>
        </w:tc>
      </w:tr>
      <w:tr w14:paraId="5EE53E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Align w:val="center"/>
          </w:tcPr>
          <w:p w14:paraId="0F37EDF6">
            <w:pPr>
              <w:snapToGrid w:val="0"/>
              <w:spacing w:line="240" w:lineRule="auto"/>
              <w:ind w:firstLine="0" w:firstLineChars="0"/>
              <w:jc w:val="center"/>
              <w:rPr>
                <w:rFonts w:eastAsiaTheme="minorEastAsia"/>
                <w:color w:val="auto"/>
                <w:kern w:val="2"/>
                <w:szCs w:val="24"/>
                <w14:ligatures w14:val="standardContextual"/>
              </w:rPr>
            </w:pPr>
            <w:r>
              <w:rPr>
                <w:rFonts w:hint="eastAsia" w:eastAsiaTheme="minorEastAsia"/>
                <w:color w:val="auto"/>
                <w:kern w:val="2"/>
                <w:szCs w:val="24"/>
                <w14:ligatures w14:val="standardContextual"/>
              </w:rPr>
              <w:t>Buyer</w:t>
            </w:r>
            <w:r>
              <w:rPr>
                <w:rFonts w:eastAsiaTheme="minorEastAsia"/>
                <w:color w:val="auto"/>
                <w:kern w:val="2"/>
                <w:szCs w:val="24"/>
                <w14:ligatures w14:val="standardContextual"/>
              </w:rPr>
              <w:t xml:space="preserve"> 4</w:t>
            </w:r>
          </w:p>
        </w:tc>
        <w:tc>
          <w:tcPr>
            <w:tcW w:w="4583" w:type="dxa"/>
            <w:vAlign w:val="center"/>
          </w:tcPr>
          <w:p w14:paraId="6FB0B53B">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Scientific equipment</w:t>
            </w:r>
          </w:p>
        </w:tc>
        <w:tc>
          <w:tcPr>
            <w:tcW w:w="6975" w:type="dxa"/>
            <w:vAlign w:val="center"/>
          </w:tcPr>
          <w:p w14:paraId="6925817B">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Manager in procurement</w:t>
            </w:r>
          </w:p>
        </w:tc>
      </w:tr>
      <w:tr w14:paraId="1CDEE4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Align w:val="center"/>
          </w:tcPr>
          <w:p w14:paraId="1BAEAB62">
            <w:pPr>
              <w:snapToGrid w:val="0"/>
              <w:spacing w:line="240" w:lineRule="auto"/>
              <w:ind w:firstLine="0" w:firstLineChars="0"/>
              <w:jc w:val="center"/>
              <w:rPr>
                <w:rFonts w:eastAsiaTheme="minorEastAsia"/>
                <w:color w:val="auto"/>
                <w:kern w:val="2"/>
                <w:szCs w:val="24"/>
                <w14:ligatures w14:val="standardContextual"/>
              </w:rPr>
            </w:pPr>
          </w:p>
        </w:tc>
        <w:tc>
          <w:tcPr>
            <w:tcW w:w="4583" w:type="dxa"/>
            <w:vAlign w:val="center"/>
          </w:tcPr>
          <w:p w14:paraId="16F193EA">
            <w:pPr>
              <w:snapToGrid w:val="0"/>
              <w:spacing w:line="240" w:lineRule="auto"/>
              <w:ind w:firstLine="0" w:firstLineChars="0"/>
              <w:jc w:val="left"/>
              <w:rPr>
                <w:rFonts w:eastAsiaTheme="minorEastAsia"/>
                <w:color w:val="auto"/>
                <w:kern w:val="2"/>
                <w:szCs w:val="24"/>
                <w14:ligatures w14:val="standardContextual"/>
              </w:rPr>
            </w:pPr>
          </w:p>
        </w:tc>
        <w:tc>
          <w:tcPr>
            <w:tcW w:w="6975" w:type="dxa"/>
            <w:vAlign w:val="center"/>
          </w:tcPr>
          <w:p w14:paraId="4CC42C28">
            <w:pPr>
              <w:snapToGrid w:val="0"/>
              <w:spacing w:line="240" w:lineRule="auto"/>
              <w:ind w:firstLine="0" w:firstLineChars="0"/>
              <w:jc w:val="left"/>
              <w:rPr>
                <w:rFonts w:eastAsiaTheme="minorEastAsia"/>
                <w:color w:val="auto"/>
                <w:kern w:val="2"/>
                <w:szCs w:val="24"/>
                <w14:ligatures w14:val="standardContextual"/>
              </w:rPr>
            </w:pPr>
            <w:r>
              <w:rPr>
                <w:rFonts w:eastAsiaTheme="minorEastAsia"/>
                <w:color w:val="auto"/>
                <w:kern w:val="2"/>
                <w:szCs w:val="24"/>
                <w14:ligatures w14:val="standardContextual"/>
              </w:rPr>
              <w:t>Manager in production</w:t>
            </w:r>
          </w:p>
        </w:tc>
      </w:tr>
      <w:tr w14:paraId="14C7A0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tcBorders>
              <w:top w:val="single" w:color="auto" w:sz="4" w:space="0"/>
              <w:bottom w:val="single" w:color="auto" w:sz="4" w:space="0"/>
            </w:tcBorders>
            <w:shd w:val="clear" w:color="auto" w:fill="FEF2CA" w:themeFill="accent3" w:themeFillTint="33"/>
            <w:vAlign w:val="center"/>
          </w:tcPr>
          <w:p w14:paraId="2DF2F640">
            <w:pPr>
              <w:snapToGrid w:val="0"/>
              <w:spacing w:line="240" w:lineRule="auto"/>
              <w:ind w:firstLine="0" w:firstLineChars="0"/>
              <w:jc w:val="center"/>
              <w:rPr>
                <w:rFonts w:eastAsiaTheme="minorEastAsia"/>
                <w:color w:val="auto"/>
                <w:kern w:val="2"/>
                <w:szCs w:val="24"/>
                <w14:ligatures w14:val="standardContextual"/>
              </w:rPr>
            </w:pPr>
            <w:r>
              <w:rPr>
                <w:rFonts w:hint="eastAsia" w:eastAsiaTheme="minorEastAsia"/>
                <w:b/>
                <w:bCs/>
                <w:color w:val="auto"/>
                <w:kern w:val="2"/>
                <w:szCs w:val="24"/>
                <w:lang w:val="en-US"/>
                <w14:ligatures w14:val="standardContextual"/>
              </w:rPr>
              <w:t>Buyers</w:t>
            </w:r>
          </w:p>
        </w:tc>
        <w:tc>
          <w:tcPr>
            <w:tcW w:w="4583" w:type="dxa"/>
            <w:tcBorders>
              <w:top w:val="single" w:color="auto" w:sz="4" w:space="0"/>
              <w:bottom w:val="single" w:color="auto" w:sz="4" w:space="0"/>
            </w:tcBorders>
            <w:shd w:val="clear" w:color="auto" w:fill="FEF2CA" w:themeFill="accent3" w:themeFillTint="33"/>
            <w:vAlign w:val="center"/>
          </w:tcPr>
          <w:p w14:paraId="5CDDC6D8">
            <w:pPr>
              <w:snapToGrid w:val="0"/>
              <w:spacing w:line="240" w:lineRule="auto"/>
              <w:ind w:firstLine="0" w:firstLineChars="0"/>
              <w:jc w:val="left"/>
              <w:rPr>
                <w:rFonts w:eastAsiaTheme="minorEastAsia"/>
                <w:color w:val="auto"/>
                <w:kern w:val="2"/>
                <w:szCs w:val="24"/>
                <w14:ligatures w14:val="standardContextual"/>
              </w:rPr>
            </w:pPr>
            <w:r>
              <w:rPr>
                <w:rFonts w:hint="eastAsia" w:eastAsiaTheme="minorEastAsia"/>
                <w:b/>
                <w:bCs/>
                <w:color w:val="auto"/>
                <w:kern w:val="2"/>
                <w:szCs w:val="24"/>
                <w:lang w:val="en-US"/>
                <w14:ligatures w14:val="standardContextual"/>
              </w:rPr>
              <w:t>SMEs</w:t>
            </w:r>
          </w:p>
        </w:tc>
        <w:tc>
          <w:tcPr>
            <w:tcW w:w="6975" w:type="dxa"/>
            <w:tcBorders>
              <w:top w:val="single" w:color="auto" w:sz="4" w:space="0"/>
              <w:bottom w:val="single" w:color="auto" w:sz="4" w:space="0"/>
            </w:tcBorders>
            <w:shd w:val="clear" w:color="auto" w:fill="FEF2CA" w:themeFill="accent3" w:themeFillTint="33"/>
            <w:vAlign w:val="center"/>
          </w:tcPr>
          <w:p w14:paraId="43224541">
            <w:pPr>
              <w:snapToGrid w:val="0"/>
              <w:spacing w:line="240" w:lineRule="auto"/>
              <w:ind w:firstLine="0" w:firstLineChars="0"/>
              <w:jc w:val="left"/>
              <w:rPr>
                <w:rFonts w:eastAsiaTheme="minorEastAsia"/>
                <w:color w:val="auto"/>
                <w:kern w:val="2"/>
                <w:szCs w:val="24"/>
                <w14:ligatures w14:val="standardContextual"/>
              </w:rPr>
            </w:pPr>
            <w:r>
              <w:rPr>
                <w:rFonts w:hint="eastAsia" w:eastAsiaTheme="minorEastAsia"/>
                <w:b/>
                <w:bCs/>
                <w:color w:val="auto"/>
                <w:kern w:val="2"/>
                <w:szCs w:val="24"/>
                <w:lang w:val="en-US"/>
                <w14:ligatures w14:val="standardContextual"/>
              </w:rPr>
              <w:t>Length of relationship (Year)</w:t>
            </w:r>
          </w:p>
        </w:tc>
      </w:tr>
      <w:tr w14:paraId="6A54A5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tcBorders>
              <w:top w:val="single" w:color="auto" w:sz="4" w:space="0"/>
            </w:tcBorders>
            <w:vAlign w:val="center"/>
          </w:tcPr>
          <w:p w14:paraId="4976C8BF">
            <w:pPr>
              <w:snapToGrid w:val="0"/>
              <w:spacing w:line="240" w:lineRule="auto"/>
              <w:ind w:firstLine="0" w:firstLineChars="0"/>
              <w:jc w:val="center"/>
              <w:rPr>
                <w:rFonts w:eastAsiaTheme="minorEastAsia"/>
                <w:color w:val="auto"/>
                <w:kern w:val="2"/>
                <w:szCs w:val="24"/>
                <w14:ligatures w14:val="standardContextual"/>
              </w:rPr>
            </w:pPr>
            <w:r>
              <w:rPr>
                <w:rFonts w:hint="eastAsia" w:eastAsiaTheme="minorEastAsia"/>
                <w:color w:val="auto"/>
                <w:kern w:val="2"/>
                <w:szCs w:val="24"/>
                <w14:ligatures w14:val="standardContextual"/>
              </w:rPr>
              <w:t>Buyer</w:t>
            </w:r>
            <w:r>
              <w:rPr>
                <w:rFonts w:eastAsiaTheme="minorEastAsia"/>
                <w:color w:val="auto"/>
                <w:kern w:val="2"/>
                <w:szCs w:val="24"/>
                <w14:ligatures w14:val="standardContextual"/>
              </w:rPr>
              <w:t xml:space="preserve"> 1</w:t>
            </w:r>
          </w:p>
        </w:tc>
        <w:tc>
          <w:tcPr>
            <w:tcW w:w="4583" w:type="dxa"/>
            <w:tcBorders>
              <w:top w:val="single" w:color="auto" w:sz="4" w:space="0"/>
            </w:tcBorders>
            <w:vAlign w:val="center"/>
          </w:tcPr>
          <w:p w14:paraId="6D0016E2">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SME1</w:t>
            </w:r>
          </w:p>
          <w:p w14:paraId="377AD197">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SME3</w:t>
            </w:r>
          </w:p>
          <w:p w14:paraId="7DC7607F">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SME6</w:t>
            </w:r>
          </w:p>
        </w:tc>
        <w:tc>
          <w:tcPr>
            <w:tcW w:w="6975" w:type="dxa"/>
            <w:tcBorders>
              <w:top w:val="single" w:color="auto" w:sz="4" w:space="0"/>
            </w:tcBorders>
            <w:vAlign w:val="center"/>
          </w:tcPr>
          <w:p w14:paraId="64CDF5C0">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3</w:t>
            </w:r>
          </w:p>
          <w:p w14:paraId="4C59AC47">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5</w:t>
            </w:r>
          </w:p>
          <w:p w14:paraId="2732FE5B">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4</w:t>
            </w:r>
          </w:p>
        </w:tc>
      </w:tr>
      <w:tr w14:paraId="045C93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Align w:val="center"/>
          </w:tcPr>
          <w:p w14:paraId="4C59362E">
            <w:pPr>
              <w:snapToGrid w:val="0"/>
              <w:spacing w:line="240" w:lineRule="auto"/>
              <w:ind w:firstLine="0" w:firstLineChars="0"/>
              <w:jc w:val="center"/>
              <w:rPr>
                <w:rFonts w:eastAsiaTheme="minorEastAsia"/>
                <w:color w:val="auto"/>
                <w:kern w:val="2"/>
                <w:szCs w:val="24"/>
                <w14:ligatures w14:val="standardContextual"/>
              </w:rPr>
            </w:pPr>
            <w:r>
              <w:rPr>
                <w:rFonts w:hint="eastAsia" w:eastAsiaTheme="minorEastAsia"/>
                <w:color w:val="auto"/>
                <w:kern w:val="2"/>
                <w:szCs w:val="24"/>
                <w14:ligatures w14:val="standardContextual"/>
              </w:rPr>
              <w:t>Buyer</w:t>
            </w:r>
            <w:r>
              <w:rPr>
                <w:rFonts w:eastAsiaTheme="minorEastAsia"/>
                <w:color w:val="auto"/>
                <w:kern w:val="2"/>
                <w:szCs w:val="24"/>
                <w14:ligatures w14:val="standardContextual"/>
              </w:rPr>
              <w:t xml:space="preserve"> 2</w:t>
            </w:r>
          </w:p>
        </w:tc>
        <w:tc>
          <w:tcPr>
            <w:tcW w:w="4583" w:type="dxa"/>
            <w:vAlign w:val="center"/>
          </w:tcPr>
          <w:p w14:paraId="1580688B">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SME1</w:t>
            </w:r>
          </w:p>
          <w:p w14:paraId="7A374A33">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SME2</w:t>
            </w:r>
          </w:p>
          <w:p w14:paraId="36267F17">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SME4</w:t>
            </w:r>
          </w:p>
          <w:p w14:paraId="7DE652DE">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SME5</w:t>
            </w:r>
          </w:p>
        </w:tc>
        <w:tc>
          <w:tcPr>
            <w:tcW w:w="6975" w:type="dxa"/>
            <w:vAlign w:val="center"/>
          </w:tcPr>
          <w:p w14:paraId="080613BA">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4</w:t>
            </w:r>
          </w:p>
          <w:p w14:paraId="6C2F6A75">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3</w:t>
            </w:r>
          </w:p>
          <w:p w14:paraId="72140AEE">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3</w:t>
            </w:r>
          </w:p>
          <w:p w14:paraId="05F43331">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3</w:t>
            </w:r>
          </w:p>
        </w:tc>
      </w:tr>
      <w:tr w14:paraId="6582CE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Align w:val="center"/>
          </w:tcPr>
          <w:p w14:paraId="6E927D65">
            <w:pPr>
              <w:snapToGrid w:val="0"/>
              <w:spacing w:line="240" w:lineRule="auto"/>
              <w:ind w:firstLine="0" w:firstLineChars="0"/>
              <w:jc w:val="center"/>
              <w:rPr>
                <w:rFonts w:eastAsiaTheme="minorEastAsia"/>
                <w:color w:val="auto"/>
                <w:kern w:val="2"/>
                <w:szCs w:val="24"/>
                <w14:ligatures w14:val="standardContextual"/>
              </w:rPr>
            </w:pPr>
            <w:r>
              <w:rPr>
                <w:rFonts w:hint="eastAsia" w:eastAsiaTheme="minorEastAsia"/>
                <w:color w:val="auto"/>
                <w:kern w:val="2"/>
                <w:szCs w:val="24"/>
                <w14:ligatures w14:val="standardContextual"/>
              </w:rPr>
              <w:t>Buyer</w:t>
            </w:r>
            <w:r>
              <w:rPr>
                <w:rFonts w:eastAsiaTheme="minorEastAsia"/>
                <w:color w:val="auto"/>
                <w:kern w:val="2"/>
                <w:szCs w:val="24"/>
                <w14:ligatures w14:val="standardContextual"/>
              </w:rPr>
              <w:t xml:space="preserve"> 3</w:t>
            </w:r>
          </w:p>
        </w:tc>
        <w:tc>
          <w:tcPr>
            <w:tcW w:w="4583" w:type="dxa"/>
            <w:vAlign w:val="center"/>
          </w:tcPr>
          <w:p w14:paraId="04E16FE0">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SME5</w:t>
            </w:r>
          </w:p>
          <w:p w14:paraId="578D924E">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SME6</w:t>
            </w:r>
          </w:p>
          <w:p w14:paraId="6D32A16F">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SME7</w:t>
            </w:r>
          </w:p>
          <w:p w14:paraId="4A681D21">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SME10</w:t>
            </w:r>
          </w:p>
        </w:tc>
        <w:tc>
          <w:tcPr>
            <w:tcW w:w="6975" w:type="dxa"/>
            <w:vAlign w:val="center"/>
          </w:tcPr>
          <w:p w14:paraId="173253EE">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5</w:t>
            </w:r>
          </w:p>
          <w:p w14:paraId="00CA9C3E">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5</w:t>
            </w:r>
          </w:p>
          <w:p w14:paraId="77D8B4A3">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3</w:t>
            </w:r>
          </w:p>
          <w:p w14:paraId="4F96C14F">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6</w:t>
            </w:r>
          </w:p>
        </w:tc>
      </w:tr>
      <w:tr w14:paraId="043CA0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10" w:type="dxa"/>
            <w:vAlign w:val="center"/>
          </w:tcPr>
          <w:p w14:paraId="6647B67A">
            <w:pPr>
              <w:snapToGrid w:val="0"/>
              <w:spacing w:line="240" w:lineRule="auto"/>
              <w:ind w:firstLine="0" w:firstLineChars="0"/>
              <w:jc w:val="center"/>
              <w:rPr>
                <w:rFonts w:eastAsiaTheme="minorEastAsia"/>
                <w:color w:val="auto"/>
                <w:kern w:val="2"/>
                <w:szCs w:val="24"/>
                <w14:ligatures w14:val="standardContextual"/>
              </w:rPr>
            </w:pPr>
            <w:r>
              <w:rPr>
                <w:rFonts w:hint="eastAsia" w:eastAsiaTheme="minorEastAsia"/>
                <w:color w:val="auto"/>
                <w:kern w:val="2"/>
                <w:szCs w:val="24"/>
                <w14:ligatures w14:val="standardContextual"/>
              </w:rPr>
              <w:t>Buyer</w:t>
            </w:r>
            <w:r>
              <w:rPr>
                <w:rFonts w:eastAsiaTheme="minorEastAsia"/>
                <w:color w:val="auto"/>
                <w:kern w:val="2"/>
                <w:szCs w:val="24"/>
                <w14:ligatures w14:val="standardContextual"/>
              </w:rPr>
              <w:t xml:space="preserve"> 4</w:t>
            </w:r>
          </w:p>
        </w:tc>
        <w:tc>
          <w:tcPr>
            <w:tcW w:w="4583" w:type="dxa"/>
            <w:vAlign w:val="center"/>
          </w:tcPr>
          <w:p w14:paraId="68304241">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SME8</w:t>
            </w:r>
          </w:p>
          <w:p w14:paraId="1E6AB2F3">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SME9</w:t>
            </w:r>
          </w:p>
          <w:p w14:paraId="7E5FC700">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SME10</w:t>
            </w:r>
          </w:p>
        </w:tc>
        <w:tc>
          <w:tcPr>
            <w:tcW w:w="6975" w:type="dxa"/>
            <w:vAlign w:val="center"/>
          </w:tcPr>
          <w:p w14:paraId="3B624A14">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4</w:t>
            </w:r>
          </w:p>
          <w:p w14:paraId="44C0BD81">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6</w:t>
            </w:r>
          </w:p>
          <w:p w14:paraId="3132C858">
            <w:pPr>
              <w:snapToGrid w:val="0"/>
              <w:spacing w:line="240" w:lineRule="auto"/>
              <w:ind w:firstLine="0" w:firstLineChars="0"/>
              <w:jc w:val="left"/>
              <w:rPr>
                <w:rFonts w:eastAsiaTheme="minorEastAsia"/>
                <w:color w:val="auto"/>
                <w:kern w:val="2"/>
                <w:szCs w:val="24"/>
                <w:lang w:val="en-US"/>
                <w14:ligatures w14:val="standardContextual"/>
              </w:rPr>
            </w:pPr>
            <w:r>
              <w:rPr>
                <w:rFonts w:hint="eastAsia" w:eastAsiaTheme="minorEastAsia"/>
                <w:color w:val="auto"/>
                <w:kern w:val="2"/>
                <w:szCs w:val="24"/>
                <w:lang w:val="en-US"/>
                <w14:ligatures w14:val="standardContextual"/>
              </w:rPr>
              <w:t>5</w:t>
            </w:r>
          </w:p>
        </w:tc>
      </w:tr>
      <w:bookmarkEnd w:id="0"/>
    </w:tbl>
    <w:p w14:paraId="24E9019E">
      <w:pPr>
        <w:spacing w:line="276" w:lineRule="auto"/>
        <w:ind w:left="-720" w:leftChars="-300"/>
        <w:jc w:val="center"/>
        <w:rPr>
          <w:b/>
          <w:bCs/>
          <w:i/>
          <w:iCs/>
          <w:color w:val="auto"/>
          <w:lang w:val="en-US"/>
        </w:rPr>
      </w:pPr>
    </w:p>
    <w:p w14:paraId="19EFD88D">
      <w:pPr>
        <w:ind w:firstLine="400"/>
        <w:jc w:val="left"/>
        <w:rPr>
          <w:color w:val="auto"/>
          <w:sz w:val="20"/>
          <w:szCs w:val="20"/>
        </w:rPr>
      </w:pPr>
      <w:r>
        <w:rPr>
          <w:color w:val="auto"/>
          <w:sz w:val="20"/>
          <w:szCs w:val="20"/>
        </w:rPr>
        <w:br w:type="page"/>
      </w:r>
    </w:p>
    <w:p w14:paraId="21535E02">
      <w:pPr>
        <w:ind w:firstLine="482"/>
        <w:jc w:val="center"/>
        <w:rPr>
          <w:rFonts w:eastAsia="宋体"/>
          <w:b/>
          <w:bCs/>
          <w:color w:val="auto"/>
          <w:lang w:val="en-US"/>
        </w:rPr>
      </w:pPr>
      <w:r>
        <w:rPr>
          <w:rFonts w:hint="eastAsia" w:eastAsia="宋体"/>
          <w:b/>
          <w:bCs/>
          <w:color w:val="auto"/>
          <w:lang w:val="en-US"/>
        </w:rPr>
        <w:t>Appendix 2 Summary of interview protocol</w:t>
      </w:r>
    </w:p>
    <w:tbl>
      <w:tblPr>
        <w:tblStyle w:val="4"/>
        <w:tblW w:w="14174" w:type="dxa"/>
        <w:jc w:val="center"/>
        <w:tblCellSpacing w:w="15" w:type="dxa"/>
        <w:tblLayout w:type="autofit"/>
        <w:tblCellMar>
          <w:top w:w="15" w:type="dxa"/>
          <w:left w:w="15" w:type="dxa"/>
          <w:bottom w:w="15" w:type="dxa"/>
          <w:right w:w="15" w:type="dxa"/>
        </w:tblCellMar>
      </w:tblPr>
      <w:tblGrid>
        <w:gridCol w:w="1953"/>
        <w:gridCol w:w="4337"/>
        <w:gridCol w:w="3606"/>
        <w:gridCol w:w="4278"/>
      </w:tblGrid>
      <w:tr w14:paraId="4CBDCA1B">
        <w:tblPrEx>
          <w:tblCellMar>
            <w:top w:w="15" w:type="dxa"/>
            <w:left w:w="15" w:type="dxa"/>
            <w:bottom w:w="15" w:type="dxa"/>
            <w:right w:w="15" w:type="dxa"/>
          </w:tblCellMar>
        </w:tblPrEx>
        <w:trPr>
          <w:tblHeader/>
          <w:tblCellSpacing w:w="15" w:type="dxa"/>
          <w:jc w:val="center"/>
        </w:trPr>
        <w:tc>
          <w:tcPr>
            <w:tcW w:w="1908" w:type="dxa"/>
            <w:tcBorders>
              <w:top w:val="single" w:color="auto" w:sz="12" w:space="0"/>
              <w:left w:val="nil"/>
              <w:bottom w:val="single" w:color="auto" w:sz="4" w:space="0"/>
            </w:tcBorders>
            <w:vAlign w:val="center"/>
          </w:tcPr>
          <w:p w14:paraId="164A42D4">
            <w:pPr>
              <w:widowControl/>
              <w:snapToGrid w:val="0"/>
              <w:spacing w:line="240" w:lineRule="auto"/>
              <w:ind w:firstLine="0" w:firstLineChars="0"/>
              <w:jc w:val="center"/>
              <w:rPr>
                <w:rFonts w:eastAsia="宋体"/>
                <w:b/>
                <w:bCs/>
                <w:color w:val="auto"/>
                <w:lang w:val="en-US"/>
              </w:rPr>
            </w:pPr>
            <w:r>
              <w:rPr>
                <w:rStyle w:val="7"/>
                <w:rFonts w:eastAsia="宋体"/>
                <w:color w:val="auto"/>
                <w:szCs w:val="24"/>
                <w:lang w:val="en-US" w:bidi="ar"/>
              </w:rPr>
              <w:t>Them</w:t>
            </w:r>
            <w:r>
              <w:rPr>
                <w:rStyle w:val="7"/>
                <w:rFonts w:hint="eastAsia" w:eastAsia="宋体"/>
                <w:color w:val="auto"/>
                <w:szCs w:val="24"/>
                <w:lang w:val="en-US" w:bidi="ar"/>
              </w:rPr>
              <w:t>es</w:t>
            </w:r>
          </w:p>
        </w:tc>
        <w:tc>
          <w:tcPr>
            <w:tcW w:w="4307" w:type="dxa"/>
            <w:tcBorders>
              <w:top w:val="single" w:color="auto" w:sz="12" w:space="0"/>
              <w:bottom w:val="single" w:color="auto" w:sz="4" w:space="0"/>
            </w:tcBorders>
            <w:vAlign w:val="center"/>
          </w:tcPr>
          <w:p w14:paraId="39F27929">
            <w:pPr>
              <w:widowControl/>
              <w:snapToGrid w:val="0"/>
              <w:spacing w:line="240" w:lineRule="auto"/>
              <w:ind w:firstLine="0" w:firstLineChars="0"/>
              <w:jc w:val="center"/>
              <w:rPr>
                <w:rFonts w:eastAsia="宋体"/>
                <w:b/>
                <w:bCs/>
                <w:color w:val="auto"/>
              </w:rPr>
            </w:pPr>
            <w:r>
              <w:rPr>
                <w:rStyle w:val="7"/>
                <w:rFonts w:eastAsia="宋体"/>
                <w:color w:val="auto"/>
                <w:szCs w:val="24"/>
                <w:lang w:val="en-US" w:bidi="ar"/>
              </w:rPr>
              <w:t>Sample Questions for SMEs (Suppliers)</w:t>
            </w:r>
          </w:p>
        </w:tc>
        <w:tc>
          <w:tcPr>
            <w:tcW w:w="3576" w:type="dxa"/>
            <w:tcBorders>
              <w:top w:val="single" w:color="auto" w:sz="12" w:space="0"/>
              <w:bottom w:val="single" w:color="auto" w:sz="4" w:space="0"/>
            </w:tcBorders>
            <w:vAlign w:val="center"/>
          </w:tcPr>
          <w:p w14:paraId="261EF1F0">
            <w:pPr>
              <w:widowControl/>
              <w:snapToGrid w:val="0"/>
              <w:spacing w:line="240" w:lineRule="auto"/>
              <w:ind w:firstLine="0" w:firstLineChars="0"/>
              <w:jc w:val="center"/>
              <w:rPr>
                <w:rFonts w:eastAsia="宋体"/>
                <w:b/>
                <w:bCs/>
                <w:color w:val="auto"/>
              </w:rPr>
            </w:pPr>
            <w:r>
              <w:rPr>
                <w:rStyle w:val="7"/>
                <w:rFonts w:eastAsia="宋体"/>
                <w:color w:val="auto"/>
                <w:szCs w:val="24"/>
                <w:lang w:val="en-US" w:bidi="ar"/>
              </w:rPr>
              <w:t>Sample Questions for Buyers</w:t>
            </w:r>
          </w:p>
        </w:tc>
        <w:tc>
          <w:tcPr>
            <w:tcW w:w="4233" w:type="dxa"/>
            <w:tcBorders>
              <w:top w:val="single" w:color="auto" w:sz="12" w:space="0"/>
              <w:bottom w:val="single" w:color="auto" w:sz="4" w:space="0"/>
              <w:right w:val="nil"/>
            </w:tcBorders>
            <w:vAlign w:val="center"/>
          </w:tcPr>
          <w:p w14:paraId="0C344813">
            <w:pPr>
              <w:widowControl/>
              <w:snapToGrid w:val="0"/>
              <w:spacing w:line="240" w:lineRule="auto"/>
              <w:ind w:firstLine="0" w:firstLineChars="0"/>
              <w:jc w:val="center"/>
              <w:rPr>
                <w:rFonts w:eastAsia="宋体"/>
                <w:b/>
                <w:bCs/>
                <w:color w:val="auto"/>
              </w:rPr>
            </w:pPr>
            <w:r>
              <w:rPr>
                <w:rStyle w:val="7"/>
                <w:rFonts w:eastAsia="宋体"/>
                <w:color w:val="auto"/>
                <w:szCs w:val="24"/>
                <w:lang w:val="en-US" w:bidi="ar"/>
              </w:rPr>
              <w:t>Research Phenomenon Addressed</w:t>
            </w:r>
          </w:p>
        </w:tc>
      </w:tr>
      <w:tr w14:paraId="7838F9BF">
        <w:tblPrEx>
          <w:tblCellMar>
            <w:top w:w="15" w:type="dxa"/>
            <w:left w:w="15" w:type="dxa"/>
            <w:bottom w:w="15" w:type="dxa"/>
            <w:right w:w="15" w:type="dxa"/>
          </w:tblCellMar>
        </w:tblPrEx>
        <w:trPr>
          <w:tblCellSpacing w:w="15" w:type="dxa"/>
          <w:jc w:val="center"/>
        </w:trPr>
        <w:tc>
          <w:tcPr>
            <w:tcW w:w="1908" w:type="dxa"/>
            <w:vAlign w:val="center"/>
          </w:tcPr>
          <w:p w14:paraId="27FF5968">
            <w:pPr>
              <w:widowControl/>
              <w:snapToGrid w:val="0"/>
              <w:spacing w:line="240" w:lineRule="auto"/>
              <w:ind w:firstLine="0" w:firstLineChars="0"/>
              <w:jc w:val="left"/>
              <w:rPr>
                <w:rFonts w:eastAsia="宋体"/>
                <w:color w:val="auto"/>
              </w:rPr>
            </w:pPr>
            <w:r>
              <w:rPr>
                <w:rStyle w:val="7"/>
                <w:rFonts w:eastAsia="宋体"/>
                <w:color w:val="auto"/>
                <w:szCs w:val="24"/>
                <w:lang w:val="en-US" w:bidi="ar"/>
              </w:rPr>
              <w:t>Background &amp; Context</w:t>
            </w:r>
          </w:p>
        </w:tc>
        <w:tc>
          <w:tcPr>
            <w:tcW w:w="4307" w:type="dxa"/>
            <w:vAlign w:val="center"/>
          </w:tcPr>
          <w:p w14:paraId="0A15BE54">
            <w:pPr>
              <w:widowControl/>
              <w:snapToGrid w:val="0"/>
              <w:spacing w:line="240" w:lineRule="auto"/>
              <w:ind w:firstLine="0" w:firstLineChars="0"/>
              <w:jc w:val="left"/>
              <w:rPr>
                <w:rFonts w:eastAsia="宋体"/>
                <w:color w:val="auto"/>
              </w:rPr>
            </w:pPr>
            <w:r>
              <w:rPr>
                <w:rFonts w:eastAsia="宋体"/>
                <w:color w:val="auto"/>
                <w:szCs w:val="24"/>
                <w:lang w:val="en-US" w:bidi="ar"/>
              </w:rPr>
              <w:t>“Describe your company’s primary business and your history with [Buyer Name].”</w:t>
            </w:r>
          </w:p>
        </w:tc>
        <w:tc>
          <w:tcPr>
            <w:tcW w:w="3576" w:type="dxa"/>
            <w:vAlign w:val="center"/>
          </w:tcPr>
          <w:p w14:paraId="7F33644B">
            <w:pPr>
              <w:widowControl/>
              <w:snapToGrid w:val="0"/>
              <w:spacing w:line="240" w:lineRule="auto"/>
              <w:ind w:firstLine="0" w:firstLineChars="0"/>
              <w:jc w:val="left"/>
              <w:rPr>
                <w:rFonts w:eastAsia="宋体"/>
                <w:color w:val="auto"/>
              </w:rPr>
            </w:pPr>
            <w:r>
              <w:rPr>
                <w:rFonts w:eastAsia="宋体"/>
                <w:color w:val="auto"/>
                <w:szCs w:val="24"/>
                <w:lang w:val="en-US" w:bidi="ar"/>
              </w:rPr>
              <w:t>“Describe the strategic importance of this supplier relationship for your operations.”</w:t>
            </w:r>
          </w:p>
        </w:tc>
        <w:tc>
          <w:tcPr>
            <w:tcW w:w="4233" w:type="dxa"/>
            <w:vAlign w:val="center"/>
          </w:tcPr>
          <w:p w14:paraId="719B91E5">
            <w:pPr>
              <w:widowControl/>
              <w:snapToGrid w:val="0"/>
              <w:spacing w:line="240" w:lineRule="auto"/>
              <w:ind w:firstLine="0" w:firstLineChars="0"/>
              <w:jc w:val="left"/>
              <w:rPr>
                <w:rFonts w:eastAsia="宋体"/>
                <w:color w:val="auto"/>
              </w:rPr>
            </w:pPr>
            <w:r>
              <w:rPr>
                <w:rFonts w:eastAsia="宋体"/>
                <w:color w:val="auto"/>
                <w:szCs w:val="24"/>
                <w:lang w:val="en-US" w:bidi="ar"/>
              </w:rPr>
              <w:t>Case context, nature of the dyad.</w:t>
            </w:r>
          </w:p>
        </w:tc>
      </w:tr>
      <w:tr w14:paraId="13C097E2">
        <w:tblPrEx>
          <w:tblCellMar>
            <w:top w:w="15" w:type="dxa"/>
            <w:left w:w="15" w:type="dxa"/>
            <w:bottom w:w="15" w:type="dxa"/>
            <w:right w:w="15" w:type="dxa"/>
          </w:tblCellMar>
        </w:tblPrEx>
        <w:trPr>
          <w:tblCellSpacing w:w="15" w:type="dxa"/>
          <w:jc w:val="center"/>
        </w:trPr>
        <w:tc>
          <w:tcPr>
            <w:tcW w:w="1908" w:type="dxa"/>
            <w:vAlign w:val="center"/>
          </w:tcPr>
          <w:p w14:paraId="3CD20275">
            <w:pPr>
              <w:widowControl/>
              <w:snapToGrid w:val="0"/>
              <w:spacing w:line="240" w:lineRule="auto"/>
              <w:ind w:firstLine="0" w:firstLineChars="0"/>
              <w:jc w:val="left"/>
              <w:rPr>
                <w:rFonts w:eastAsia="宋体"/>
                <w:color w:val="auto"/>
              </w:rPr>
            </w:pPr>
            <w:r>
              <w:rPr>
                <w:rStyle w:val="7"/>
                <w:rFonts w:eastAsia="宋体"/>
                <w:color w:val="auto"/>
                <w:szCs w:val="24"/>
                <w:lang w:val="en-US" w:bidi="ar"/>
              </w:rPr>
              <w:t>Pre-Pandemic Power Dynamics</w:t>
            </w:r>
          </w:p>
        </w:tc>
        <w:tc>
          <w:tcPr>
            <w:tcW w:w="4307" w:type="dxa"/>
            <w:vAlign w:val="center"/>
          </w:tcPr>
          <w:p w14:paraId="5FB515E6">
            <w:pPr>
              <w:widowControl/>
              <w:snapToGrid w:val="0"/>
              <w:spacing w:line="240" w:lineRule="auto"/>
              <w:ind w:firstLine="0" w:firstLineChars="0"/>
              <w:jc w:val="left"/>
              <w:rPr>
                <w:rFonts w:eastAsia="宋体"/>
                <w:color w:val="auto"/>
              </w:rPr>
            </w:pPr>
            <w:r>
              <w:rPr>
                <w:rFonts w:eastAsia="宋体"/>
                <w:color w:val="auto"/>
                <w:szCs w:val="24"/>
                <w:lang w:val="en-US" w:bidi="ar"/>
              </w:rPr>
              <w:t>“Before the pandemic, how would you characterize the balance of power? Who typically set contract terms?”</w:t>
            </w:r>
          </w:p>
        </w:tc>
        <w:tc>
          <w:tcPr>
            <w:tcW w:w="3576" w:type="dxa"/>
            <w:vAlign w:val="center"/>
          </w:tcPr>
          <w:p w14:paraId="4115F8C3">
            <w:pPr>
              <w:widowControl/>
              <w:snapToGrid w:val="0"/>
              <w:spacing w:line="240" w:lineRule="auto"/>
              <w:ind w:firstLine="0" w:firstLineChars="0"/>
              <w:jc w:val="left"/>
              <w:rPr>
                <w:rFonts w:eastAsia="宋体"/>
                <w:color w:val="auto"/>
              </w:rPr>
            </w:pPr>
            <w:r>
              <w:rPr>
                <w:rFonts w:eastAsia="宋体"/>
                <w:color w:val="auto"/>
                <w:szCs w:val="24"/>
                <w:lang w:val="en-US" w:bidi="ar"/>
              </w:rPr>
              <w:t>“How did you manage this relationship to ensure reliability and value before 2020?”</w:t>
            </w:r>
          </w:p>
        </w:tc>
        <w:tc>
          <w:tcPr>
            <w:tcW w:w="4233" w:type="dxa"/>
            <w:vAlign w:val="center"/>
          </w:tcPr>
          <w:p w14:paraId="02F53360">
            <w:pPr>
              <w:widowControl/>
              <w:snapToGrid w:val="0"/>
              <w:spacing w:line="240" w:lineRule="auto"/>
              <w:ind w:firstLine="0" w:firstLineChars="0"/>
              <w:jc w:val="left"/>
              <w:rPr>
                <w:rFonts w:eastAsia="宋体"/>
                <w:color w:val="auto"/>
              </w:rPr>
            </w:pPr>
            <w:r>
              <w:rPr>
                <w:rFonts w:eastAsia="宋体"/>
                <w:color w:val="auto"/>
                <w:szCs w:val="24"/>
                <w:lang w:val="en-US" w:bidi="ar"/>
              </w:rPr>
              <w:t>Baseline assessment of power asymmetry, use of power sources.</w:t>
            </w:r>
          </w:p>
        </w:tc>
      </w:tr>
      <w:tr w14:paraId="36C2D368">
        <w:tblPrEx>
          <w:tblCellMar>
            <w:top w:w="15" w:type="dxa"/>
            <w:left w:w="15" w:type="dxa"/>
            <w:bottom w:w="15" w:type="dxa"/>
            <w:right w:w="15" w:type="dxa"/>
          </w:tblCellMar>
        </w:tblPrEx>
        <w:trPr>
          <w:tblCellSpacing w:w="15" w:type="dxa"/>
          <w:jc w:val="center"/>
        </w:trPr>
        <w:tc>
          <w:tcPr>
            <w:tcW w:w="1908" w:type="dxa"/>
            <w:vAlign w:val="center"/>
          </w:tcPr>
          <w:p w14:paraId="5E8F80CF">
            <w:pPr>
              <w:widowControl/>
              <w:snapToGrid w:val="0"/>
              <w:spacing w:line="240" w:lineRule="auto"/>
              <w:ind w:firstLine="0" w:firstLineChars="0"/>
              <w:jc w:val="left"/>
              <w:rPr>
                <w:rFonts w:eastAsia="宋体"/>
                <w:color w:val="auto"/>
              </w:rPr>
            </w:pPr>
            <w:r>
              <w:rPr>
                <w:rStyle w:val="7"/>
                <w:rFonts w:eastAsia="宋体"/>
                <w:color w:val="auto"/>
                <w:szCs w:val="24"/>
                <w:lang w:val="en-US" w:bidi="ar"/>
              </w:rPr>
              <w:t>Pandemic Experience</w:t>
            </w:r>
          </w:p>
        </w:tc>
        <w:tc>
          <w:tcPr>
            <w:tcW w:w="4307" w:type="dxa"/>
            <w:vAlign w:val="center"/>
          </w:tcPr>
          <w:p w14:paraId="424D6F86">
            <w:pPr>
              <w:widowControl/>
              <w:snapToGrid w:val="0"/>
              <w:spacing w:line="240" w:lineRule="auto"/>
              <w:ind w:firstLine="0" w:firstLineChars="0"/>
              <w:jc w:val="left"/>
              <w:rPr>
                <w:rFonts w:eastAsia="宋体"/>
                <w:color w:val="auto"/>
              </w:rPr>
            </w:pPr>
            <w:r>
              <w:rPr>
                <w:rFonts w:eastAsia="宋体"/>
                <w:color w:val="auto"/>
                <w:szCs w:val="24"/>
                <w:lang w:val="en-US" w:bidi="ar"/>
              </w:rPr>
              <w:t>“Can you describe a specific challenge with [Buyer] caused by the pandemic? How did you each respond?”</w:t>
            </w:r>
          </w:p>
        </w:tc>
        <w:tc>
          <w:tcPr>
            <w:tcW w:w="3576" w:type="dxa"/>
            <w:vAlign w:val="center"/>
          </w:tcPr>
          <w:p w14:paraId="2FBC37DB">
            <w:pPr>
              <w:widowControl/>
              <w:snapToGrid w:val="0"/>
              <w:spacing w:line="240" w:lineRule="auto"/>
              <w:ind w:firstLine="0" w:firstLineChars="0"/>
              <w:jc w:val="left"/>
              <w:rPr>
                <w:rFonts w:eastAsia="宋体"/>
                <w:color w:val="auto"/>
              </w:rPr>
            </w:pPr>
            <w:r>
              <w:rPr>
                <w:rFonts w:eastAsia="宋体"/>
                <w:color w:val="auto"/>
                <w:szCs w:val="24"/>
                <w:lang w:val="en-US" w:bidi="ar"/>
              </w:rPr>
              <w:t>“What was the biggest supply chain challenge with this supplier during the lockdowns? How did you address it?”</w:t>
            </w:r>
          </w:p>
        </w:tc>
        <w:tc>
          <w:tcPr>
            <w:tcW w:w="4233" w:type="dxa"/>
            <w:vAlign w:val="center"/>
          </w:tcPr>
          <w:p w14:paraId="62B78DAB">
            <w:pPr>
              <w:widowControl/>
              <w:snapToGrid w:val="0"/>
              <w:spacing w:line="240" w:lineRule="auto"/>
              <w:ind w:firstLine="0" w:firstLineChars="0"/>
              <w:jc w:val="left"/>
              <w:rPr>
                <w:rFonts w:eastAsia="宋体"/>
                <w:color w:val="auto"/>
              </w:rPr>
            </w:pPr>
            <w:r>
              <w:rPr>
                <w:rFonts w:eastAsia="宋体"/>
                <w:color w:val="auto"/>
                <w:szCs w:val="24"/>
                <w:lang w:val="en-US" w:bidi="ar"/>
              </w:rPr>
              <w:t>Impact of environmental volatility on power dynamics; opportunistic/collaborative behaviors.</w:t>
            </w:r>
          </w:p>
        </w:tc>
      </w:tr>
      <w:tr w14:paraId="75C328E2">
        <w:tblPrEx>
          <w:tblCellMar>
            <w:top w:w="15" w:type="dxa"/>
            <w:left w:w="15" w:type="dxa"/>
            <w:bottom w:w="15" w:type="dxa"/>
            <w:right w:w="15" w:type="dxa"/>
          </w:tblCellMar>
        </w:tblPrEx>
        <w:trPr>
          <w:tblCellSpacing w:w="15" w:type="dxa"/>
          <w:jc w:val="center"/>
        </w:trPr>
        <w:tc>
          <w:tcPr>
            <w:tcW w:w="1908" w:type="dxa"/>
            <w:tcBorders>
              <w:bottom w:val="single" w:color="auto" w:sz="12" w:space="0"/>
            </w:tcBorders>
            <w:vAlign w:val="center"/>
          </w:tcPr>
          <w:p w14:paraId="6B35010A">
            <w:pPr>
              <w:widowControl/>
              <w:snapToGrid w:val="0"/>
              <w:spacing w:line="240" w:lineRule="auto"/>
              <w:ind w:firstLine="0" w:firstLineChars="0"/>
              <w:jc w:val="left"/>
              <w:rPr>
                <w:rFonts w:eastAsia="宋体"/>
                <w:color w:val="auto"/>
              </w:rPr>
            </w:pPr>
            <w:r>
              <w:rPr>
                <w:rStyle w:val="7"/>
                <w:rFonts w:eastAsia="宋体"/>
                <w:color w:val="auto"/>
                <w:szCs w:val="24"/>
                <w:lang w:val="en-US" w:bidi="ar"/>
              </w:rPr>
              <w:t>Institutional Interventions</w:t>
            </w:r>
          </w:p>
        </w:tc>
        <w:tc>
          <w:tcPr>
            <w:tcW w:w="4307" w:type="dxa"/>
            <w:tcBorders>
              <w:bottom w:val="single" w:color="auto" w:sz="12" w:space="0"/>
            </w:tcBorders>
            <w:vAlign w:val="center"/>
          </w:tcPr>
          <w:p w14:paraId="6B75C8AD">
            <w:pPr>
              <w:widowControl/>
              <w:snapToGrid w:val="0"/>
              <w:spacing w:line="240" w:lineRule="auto"/>
              <w:ind w:firstLine="0" w:firstLineChars="0"/>
              <w:jc w:val="left"/>
              <w:rPr>
                <w:rFonts w:eastAsia="宋体"/>
                <w:color w:val="auto"/>
              </w:rPr>
            </w:pPr>
            <w:r>
              <w:rPr>
                <w:rFonts w:eastAsia="宋体"/>
                <w:color w:val="auto"/>
                <w:szCs w:val="24"/>
                <w:lang w:val="en-US" w:bidi="ar"/>
              </w:rPr>
              <w:t>“Did any external organizations (government, associations, etc.) get involved? What did they do, and how did it change your situation?”</w:t>
            </w:r>
          </w:p>
        </w:tc>
        <w:tc>
          <w:tcPr>
            <w:tcW w:w="3576" w:type="dxa"/>
            <w:tcBorders>
              <w:bottom w:val="single" w:color="auto" w:sz="12" w:space="0"/>
            </w:tcBorders>
            <w:vAlign w:val="center"/>
          </w:tcPr>
          <w:p w14:paraId="20A0925B">
            <w:pPr>
              <w:widowControl/>
              <w:snapToGrid w:val="0"/>
              <w:spacing w:line="240" w:lineRule="auto"/>
              <w:ind w:firstLine="0" w:firstLineChars="0"/>
              <w:jc w:val="left"/>
              <w:rPr>
                <w:rFonts w:eastAsia="宋体"/>
                <w:color w:val="auto"/>
              </w:rPr>
            </w:pPr>
            <w:r>
              <w:rPr>
                <w:rFonts w:eastAsia="宋体"/>
                <w:color w:val="auto"/>
                <w:szCs w:val="24"/>
                <w:lang w:val="en-US" w:bidi="ar"/>
              </w:rPr>
              <w:t>“Were there any new regulations or external pressures that affected how you managed suppliers during this period?”</w:t>
            </w:r>
          </w:p>
        </w:tc>
        <w:tc>
          <w:tcPr>
            <w:tcW w:w="4233" w:type="dxa"/>
            <w:tcBorders>
              <w:bottom w:val="single" w:color="auto" w:sz="12" w:space="0"/>
            </w:tcBorders>
            <w:vAlign w:val="center"/>
          </w:tcPr>
          <w:p w14:paraId="4B1B6A20">
            <w:pPr>
              <w:widowControl/>
              <w:snapToGrid w:val="0"/>
              <w:spacing w:line="240" w:lineRule="auto"/>
              <w:ind w:firstLine="0" w:firstLineChars="0"/>
              <w:jc w:val="left"/>
              <w:rPr>
                <w:rFonts w:eastAsia="宋体"/>
                <w:color w:val="auto"/>
              </w:rPr>
            </w:pPr>
            <w:r>
              <w:rPr>
                <w:rFonts w:eastAsia="宋体"/>
                <w:color w:val="auto"/>
                <w:szCs w:val="24"/>
                <w:lang w:val="en-US" w:bidi="ar"/>
              </w:rPr>
              <w:t>Identification of institutional actors and tactics; perceived mechanism of impact on power balance.</w:t>
            </w:r>
          </w:p>
        </w:tc>
      </w:tr>
    </w:tbl>
    <w:p w14:paraId="5B046F72">
      <w:pPr>
        <w:rPr>
          <w:color w:val="auto"/>
        </w:rPr>
      </w:pPr>
      <w:r>
        <w:rPr>
          <w:color w:val="auto"/>
        </w:rPr>
        <w:br w:type="page"/>
      </w:r>
    </w:p>
    <w:p w14:paraId="5434404E">
      <w:pPr>
        <w:spacing w:line="276" w:lineRule="auto"/>
        <w:ind w:left="-720" w:leftChars="-300"/>
        <w:jc w:val="center"/>
        <w:rPr>
          <w:b/>
          <w:bCs/>
          <w:color w:val="auto"/>
          <w:lang w:val="en-US"/>
        </w:rPr>
      </w:pPr>
      <w:r>
        <w:rPr>
          <w:b/>
          <w:bCs/>
          <w:color w:val="auto"/>
          <w:lang w:val="en-US"/>
        </w:rPr>
        <w:t xml:space="preserve">Appendix </w:t>
      </w:r>
      <w:r>
        <w:rPr>
          <w:rFonts w:hint="eastAsia"/>
          <w:b/>
          <w:bCs/>
          <w:color w:val="auto"/>
          <w:lang w:val="en-US"/>
        </w:rPr>
        <w:t>3</w:t>
      </w:r>
      <w:r>
        <w:rPr>
          <w:b/>
          <w:bCs/>
          <w:color w:val="auto"/>
          <w:lang w:val="en-US"/>
        </w:rPr>
        <w:t xml:space="preserve"> Case–Tactic–Power Dynamics Matrix</w:t>
      </w:r>
    </w:p>
    <w:tbl>
      <w:tblPr>
        <w:tblStyle w:val="10"/>
        <w:tblW w:w="149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64" w:type="dxa"/>
          <w:bottom w:w="40" w:type="dxa"/>
          <w:right w:w="64" w:type="dxa"/>
        </w:tblCellMar>
      </w:tblPr>
      <w:tblGrid>
        <w:gridCol w:w="1357"/>
        <w:gridCol w:w="1865"/>
        <w:gridCol w:w="1946"/>
        <w:gridCol w:w="2344"/>
        <w:gridCol w:w="2351"/>
        <w:gridCol w:w="2905"/>
        <w:gridCol w:w="2179"/>
      </w:tblGrid>
      <w:tr w14:paraId="2C464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525" w:hRule="atLeast"/>
          <w:tblHeader/>
          <w:jc w:val="center"/>
        </w:trPr>
        <w:tc>
          <w:tcPr>
            <w:tcW w:w="1357" w:type="dxa"/>
            <w:tcBorders>
              <w:top w:val="single" w:color="auto" w:sz="12" w:space="0"/>
              <w:left w:val="nil"/>
              <w:bottom w:val="single" w:color="auto" w:sz="4" w:space="0"/>
              <w:right w:val="nil"/>
            </w:tcBorders>
            <w:shd w:val="clear" w:color="auto" w:fill="FEF2CA" w:themeFill="accent3" w:themeFillTint="33"/>
            <w:vAlign w:val="center"/>
          </w:tcPr>
          <w:p w14:paraId="7393CCA5">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Dyadic Relationship</w:t>
            </w:r>
          </w:p>
        </w:tc>
        <w:tc>
          <w:tcPr>
            <w:tcW w:w="1865" w:type="dxa"/>
            <w:tcBorders>
              <w:top w:val="single" w:color="auto" w:sz="12" w:space="0"/>
              <w:left w:val="nil"/>
              <w:bottom w:val="single" w:color="auto" w:sz="4" w:space="0"/>
              <w:right w:val="nil"/>
            </w:tcBorders>
            <w:shd w:val="clear" w:color="auto" w:fill="FEF2CA" w:themeFill="accent3" w:themeFillTint="33"/>
            <w:vAlign w:val="center"/>
          </w:tcPr>
          <w:p w14:paraId="081ECDC1">
            <w:pPr>
              <w:widowControl/>
              <w:snapToGrid w:val="0"/>
              <w:spacing w:before="100" w:beforeAutospacing="1" w:line="240" w:lineRule="auto"/>
              <w:ind w:firstLine="0" w:firstLineChars="0"/>
              <w:jc w:val="center"/>
              <w:rPr>
                <w:rFonts w:eastAsia="MS Mincho"/>
                <w:b/>
                <w:bCs/>
                <w:color w:val="auto"/>
                <w:sz w:val="18"/>
                <w:szCs w:val="18"/>
                <w:lang w:val="en-US"/>
              </w:rPr>
            </w:pPr>
            <w:r>
              <w:rPr>
                <w:rFonts w:hint="eastAsia" w:eastAsia="MS Mincho"/>
                <w:b/>
                <w:bCs/>
                <w:color w:val="auto"/>
                <w:sz w:val="18"/>
                <w:szCs w:val="18"/>
                <w:lang w:val="en-US"/>
              </w:rPr>
              <w:t>Institutional</w:t>
            </w:r>
            <w:r>
              <w:rPr>
                <w:rFonts w:eastAsia="MS Mincho"/>
                <w:b/>
                <w:bCs/>
                <w:color w:val="auto"/>
                <w:sz w:val="18"/>
                <w:szCs w:val="18"/>
                <w:lang w:val="en-US"/>
              </w:rPr>
              <w:t xml:space="preserve"> </w:t>
            </w:r>
            <w:r>
              <w:rPr>
                <w:rFonts w:hint="eastAsia" w:eastAsia="MS Mincho"/>
                <w:b/>
                <w:bCs/>
                <w:color w:val="auto"/>
                <w:sz w:val="18"/>
                <w:szCs w:val="18"/>
                <w:lang w:val="en-US"/>
              </w:rPr>
              <w:t>Tactics</w:t>
            </w:r>
            <w:r>
              <w:rPr>
                <w:rFonts w:eastAsia="MS Mincho"/>
                <w:b/>
                <w:bCs/>
                <w:color w:val="auto"/>
                <w:sz w:val="18"/>
                <w:szCs w:val="18"/>
                <w:lang w:val="en-US"/>
              </w:rPr>
              <w:t xml:space="preserve"> </w:t>
            </w:r>
          </w:p>
          <w:p w14:paraId="20C829AD">
            <w:pPr>
              <w:widowControl/>
              <w:snapToGrid w:val="0"/>
              <w:spacing w:before="100" w:beforeAutospacing="1" w:line="240" w:lineRule="auto"/>
              <w:ind w:firstLine="0" w:firstLineChars="0"/>
              <w:jc w:val="center"/>
              <w:rPr>
                <w:rFonts w:eastAsia="MS Mincho"/>
                <w:b/>
                <w:bCs/>
                <w:color w:val="auto"/>
                <w:sz w:val="18"/>
                <w:szCs w:val="18"/>
                <w:lang w:val="en-US"/>
              </w:rPr>
            </w:pPr>
            <w:r>
              <w:rPr>
                <w:rFonts w:hint="eastAsia" w:eastAsia="MS Mincho"/>
                <w:b/>
                <w:bCs/>
                <w:color w:val="auto"/>
                <w:sz w:val="18"/>
                <w:szCs w:val="18"/>
                <w:lang w:val="en-US"/>
              </w:rPr>
              <w:t>(Observed)</w:t>
            </w:r>
          </w:p>
        </w:tc>
        <w:tc>
          <w:tcPr>
            <w:tcW w:w="1946" w:type="dxa"/>
            <w:tcBorders>
              <w:top w:val="single" w:color="auto" w:sz="12" w:space="0"/>
              <w:left w:val="nil"/>
              <w:bottom w:val="single" w:color="auto" w:sz="4" w:space="0"/>
              <w:right w:val="nil"/>
            </w:tcBorders>
            <w:shd w:val="clear" w:color="auto" w:fill="FEF2CA" w:themeFill="accent3" w:themeFillTint="33"/>
            <w:vAlign w:val="center"/>
          </w:tcPr>
          <w:p w14:paraId="39F38D0B">
            <w:pPr>
              <w:widowControl/>
              <w:snapToGrid w:val="0"/>
              <w:spacing w:before="100" w:beforeAutospacing="1" w:line="240" w:lineRule="auto"/>
              <w:ind w:firstLine="0" w:firstLineChars="0"/>
              <w:jc w:val="center"/>
              <w:rPr>
                <w:rFonts w:eastAsia="MS Mincho"/>
                <w:b/>
                <w:bCs/>
                <w:color w:val="auto"/>
                <w:sz w:val="18"/>
                <w:szCs w:val="18"/>
                <w:lang w:val="en-US"/>
              </w:rPr>
            </w:pPr>
            <w:r>
              <w:rPr>
                <w:rFonts w:hint="eastAsia" w:eastAsia="MS Mincho"/>
                <w:b/>
                <w:bCs/>
                <w:color w:val="auto"/>
                <w:sz w:val="18"/>
                <w:szCs w:val="18"/>
                <w:lang w:val="en-US"/>
              </w:rPr>
              <w:t>Institutional</w:t>
            </w:r>
            <w:r>
              <w:rPr>
                <w:rFonts w:eastAsia="MS Mincho"/>
                <w:b/>
                <w:bCs/>
                <w:color w:val="auto"/>
                <w:sz w:val="18"/>
                <w:szCs w:val="18"/>
                <w:lang w:val="en-US"/>
              </w:rPr>
              <w:t xml:space="preserve"> </w:t>
            </w:r>
            <w:r>
              <w:rPr>
                <w:rFonts w:hint="eastAsia" w:eastAsia="MS Mincho"/>
                <w:b/>
                <w:bCs/>
                <w:color w:val="auto"/>
                <w:sz w:val="18"/>
                <w:szCs w:val="18"/>
                <w:lang w:val="en-US"/>
              </w:rPr>
              <w:t>Source</w:t>
            </w:r>
          </w:p>
        </w:tc>
        <w:tc>
          <w:tcPr>
            <w:tcW w:w="2344" w:type="dxa"/>
            <w:tcBorders>
              <w:top w:val="single" w:color="auto" w:sz="12" w:space="0"/>
              <w:left w:val="nil"/>
              <w:bottom w:val="single" w:color="auto" w:sz="4" w:space="0"/>
              <w:right w:val="nil"/>
            </w:tcBorders>
            <w:shd w:val="clear" w:color="auto" w:fill="FEF2CA" w:themeFill="accent3" w:themeFillTint="33"/>
            <w:vAlign w:val="center"/>
          </w:tcPr>
          <w:p w14:paraId="4F76A581">
            <w:pPr>
              <w:widowControl/>
              <w:snapToGrid w:val="0"/>
              <w:spacing w:before="100" w:beforeAutospacing="1" w:line="240" w:lineRule="auto"/>
              <w:ind w:firstLine="0" w:firstLineChars="0"/>
              <w:jc w:val="center"/>
              <w:rPr>
                <w:rFonts w:eastAsia="MS Mincho"/>
                <w:b/>
                <w:bCs/>
                <w:color w:val="auto"/>
                <w:sz w:val="18"/>
                <w:szCs w:val="18"/>
                <w:lang w:val="en-US"/>
              </w:rPr>
            </w:pPr>
            <w:r>
              <w:rPr>
                <w:rFonts w:hint="eastAsia" w:eastAsia="MS Mincho"/>
                <w:b/>
                <w:bCs/>
                <w:color w:val="auto"/>
                <w:sz w:val="18"/>
                <w:szCs w:val="18"/>
                <w:lang w:val="en-US"/>
              </w:rPr>
              <w:t>Enhanced</w:t>
            </w:r>
            <w:r>
              <w:rPr>
                <w:rFonts w:eastAsia="MS Mincho"/>
                <w:b/>
                <w:bCs/>
                <w:color w:val="auto"/>
                <w:sz w:val="18"/>
                <w:szCs w:val="18"/>
                <w:lang w:val="en-US"/>
              </w:rPr>
              <w:t xml:space="preserve"> </w:t>
            </w:r>
            <w:r>
              <w:rPr>
                <w:rFonts w:hint="eastAsia" w:eastAsia="MS Mincho"/>
                <w:b/>
                <w:bCs/>
                <w:color w:val="auto"/>
                <w:sz w:val="18"/>
                <w:szCs w:val="18"/>
                <w:lang w:val="en-US"/>
              </w:rPr>
              <w:t>SME</w:t>
            </w:r>
            <w:r>
              <w:rPr>
                <w:rFonts w:eastAsia="MS Mincho"/>
                <w:b/>
                <w:bCs/>
                <w:color w:val="auto"/>
                <w:sz w:val="18"/>
                <w:szCs w:val="18"/>
                <w:lang w:val="en-US"/>
              </w:rPr>
              <w:t xml:space="preserve"> </w:t>
            </w:r>
            <w:r>
              <w:rPr>
                <w:rFonts w:hint="eastAsia" w:eastAsia="MS Mincho"/>
                <w:b/>
                <w:bCs/>
                <w:color w:val="auto"/>
                <w:sz w:val="18"/>
                <w:szCs w:val="18"/>
                <w:lang w:val="en-US"/>
              </w:rPr>
              <w:t>Power</w:t>
            </w:r>
            <w:r>
              <w:rPr>
                <w:rFonts w:eastAsia="MS Mincho"/>
                <w:b/>
                <w:bCs/>
                <w:color w:val="auto"/>
                <w:sz w:val="18"/>
                <w:szCs w:val="18"/>
                <w:lang w:val="en-US"/>
              </w:rPr>
              <w:t xml:space="preserve"> </w:t>
            </w:r>
          </w:p>
        </w:tc>
        <w:tc>
          <w:tcPr>
            <w:tcW w:w="2351" w:type="dxa"/>
            <w:tcBorders>
              <w:top w:val="single" w:color="auto" w:sz="12" w:space="0"/>
              <w:left w:val="nil"/>
              <w:bottom w:val="single" w:color="auto" w:sz="4" w:space="0"/>
              <w:right w:val="nil"/>
            </w:tcBorders>
            <w:shd w:val="clear" w:color="auto" w:fill="FEF2CA" w:themeFill="accent3" w:themeFillTint="33"/>
            <w:vAlign w:val="center"/>
          </w:tcPr>
          <w:p w14:paraId="15B81CC8">
            <w:pPr>
              <w:widowControl/>
              <w:snapToGrid w:val="0"/>
              <w:spacing w:before="100" w:beforeAutospacing="1" w:line="240" w:lineRule="auto"/>
              <w:ind w:firstLine="0" w:firstLineChars="0"/>
              <w:jc w:val="center"/>
              <w:rPr>
                <w:rFonts w:eastAsia="MS Mincho"/>
                <w:b/>
                <w:bCs/>
                <w:color w:val="auto"/>
                <w:sz w:val="18"/>
                <w:szCs w:val="18"/>
                <w:lang w:val="en-US"/>
              </w:rPr>
            </w:pPr>
            <w:r>
              <w:rPr>
                <w:rFonts w:hint="eastAsia" w:eastAsia="MS Mincho"/>
                <w:b/>
                <w:bCs/>
                <w:color w:val="auto"/>
                <w:sz w:val="18"/>
                <w:szCs w:val="18"/>
                <w:lang w:val="en-US"/>
              </w:rPr>
              <w:t>Constrained</w:t>
            </w:r>
            <w:r>
              <w:rPr>
                <w:rFonts w:eastAsia="MS Mincho"/>
                <w:b/>
                <w:bCs/>
                <w:color w:val="auto"/>
                <w:sz w:val="18"/>
                <w:szCs w:val="18"/>
                <w:lang w:val="en-US"/>
              </w:rPr>
              <w:t xml:space="preserve"> </w:t>
            </w:r>
            <w:r>
              <w:rPr>
                <w:rFonts w:hint="eastAsia" w:eastAsia="MS Mincho"/>
                <w:b/>
                <w:bCs/>
                <w:color w:val="auto"/>
                <w:sz w:val="18"/>
                <w:szCs w:val="18"/>
                <w:lang w:val="en-US"/>
              </w:rPr>
              <w:t>Buyer</w:t>
            </w:r>
            <w:r>
              <w:rPr>
                <w:rFonts w:eastAsia="MS Mincho"/>
                <w:b/>
                <w:bCs/>
                <w:color w:val="auto"/>
                <w:sz w:val="18"/>
                <w:szCs w:val="18"/>
                <w:lang w:val="en-US"/>
              </w:rPr>
              <w:t xml:space="preserve"> </w:t>
            </w:r>
            <w:r>
              <w:rPr>
                <w:rFonts w:hint="eastAsia" w:eastAsia="MS Mincho"/>
                <w:b/>
                <w:bCs/>
                <w:color w:val="auto"/>
                <w:sz w:val="18"/>
                <w:szCs w:val="18"/>
                <w:lang w:val="en-US"/>
              </w:rPr>
              <w:t>Power</w:t>
            </w:r>
            <w:r>
              <w:rPr>
                <w:rFonts w:eastAsia="MS Mincho"/>
                <w:b/>
                <w:bCs/>
                <w:color w:val="auto"/>
                <w:sz w:val="18"/>
                <w:szCs w:val="18"/>
                <w:lang w:val="en-US"/>
              </w:rPr>
              <w:t xml:space="preserve"> </w:t>
            </w:r>
          </w:p>
        </w:tc>
        <w:tc>
          <w:tcPr>
            <w:tcW w:w="2905" w:type="dxa"/>
            <w:tcBorders>
              <w:top w:val="single" w:color="auto" w:sz="12" w:space="0"/>
              <w:left w:val="nil"/>
              <w:bottom w:val="single" w:color="auto" w:sz="4" w:space="0"/>
              <w:right w:val="nil"/>
            </w:tcBorders>
            <w:shd w:val="clear" w:color="auto" w:fill="FEF2CA" w:themeFill="accent3" w:themeFillTint="33"/>
            <w:vAlign w:val="center"/>
          </w:tcPr>
          <w:p w14:paraId="5334F31B">
            <w:pPr>
              <w:widowControl/>
              <w:snapToGrid w:val="0"/>
              <w:spacing w:before="100" w:beforeAutospacing="1" w:line="240" w:lineRule="auto"/>
              <w:ind w:firstLine="0" w:firstLineChars="0"/>
              <w:jc w:val="center"/>
              <w:rPr>
                <w:rFonts w:eastAsia="MS Mincho"/>
                <w:b/>
                <w:bCs/>
                <w:color w:val="auto"/>
                <w:sz w:val="18"/>
                <w:szCs w:val="18"/>
                <w:lang w:val="en-US"/>
              </w:rPr>
            </w:pPr>
            <w:r>
              <w:rPr>
                <w:rFonts w:hint="eastAsia" w:eastAsia="MS Mincho"/>
                <w:b/>
                <w:bCs/>
                <w:color w:val="auto"/>
                <w:sz w:val="18"/>
                <w:szCs w:val="18"/>
                <w:lang w:val="en-US"/>
              </w:rPr>
              <w:t>Evidence</w:t>
            </w:r>
            <w:r>
              <w:rPr>
                <w:rFonts w:eastAsia="MS Mincho"/>
                <w:b/>
                <w:bCs/>
                <w:color w:val="auto"/>
                <w:sz w:val="18"/>
                <w:szCs w:val="18"/>
                <w:lang w:val="en-US"/>
              </w:rPr>
              <w:t xml:space="preserve"> </w:t>
            </w:r>
            <w:r>
              <w:rPr>
                <w:rFonts w:hint="eastAsia" w:eastAsia="MS Mincho"/>
                <w:b/>
                <w:bCs/>
                <w:color w:val="auto"/>
                <w:sz w:val="18"/>
                <w:szCs w:val="18"/>
                <w:lang w:val="en-US"/>
              </w:rPr>
              <w:t>from</w:t>
            </w:r>
            <w:r>
              <w:rPr>
                <w:rFonts w:eastAsia="MS Mincho"/>
                <w:b/>
                <w:bCs/>
                <w:color w:val="auto"/>
                <w:sz w:val="18"/>
                <w:szCs w:val="18"/>
                <w:lang w:val="en-US"/>
              </w:rPr>
              <w:t xml:space="preserve"> </w:t>
            </w:r>
            <w:r>
              <w:rPr>
                <w:rFonts w:hint="eastAsia" w:eastAsia="MS Mincho"/>
                <w:b/>
                <w:bCs/>
                <w:color w:val="auto"/>
                <w:sz w:val="18"/>
                <w:szCs w:val="18"/>
                <w:lang w:val="en-US"/>
              </w:rPr>
              <w:t>Findings</w:t>
            </w:r>
          </w:p>
        </w:tc>
        <w:tc>
          <w:tcPr>
            <w:tcW w:w="2179" w:type="dxa"/>
            <w:tcBorders>
              <w:top w:val="single" w:color="auto" w:sz="12" w:space="0"/>
              <w:left w:val="nil"/>
              <w:bottom w:val="single" w:color="auto" w:sz="4" w:space="0"/>
              <w:right w:val="nil"/>
            </w:tcBorders>
            <w:shd w:val="clear" w:color="auto" w:fill="FEF2CA" w:themeFill="accent3" w:themeFillTint="33"/>
            <w:vAlign w:val="center"/>
          </w:tcPr>
          <w:p w14:paraId="315F3378">
            <w:pPr>
              <w:widowControl/>
              <w:snapToGrid w:val="0"/>
              <w:spacing w:before="100" w:beforeAutospacing="1" w:line="240" w:lineRule="auto"/>
              <w:ind w:firstLine="0" w:firstLineChars="0"/>
              <w:jc w:val="center"/>
              <w:rPr>
                <w:rFonts w:eastAsia="MS Mincho"/>
                <w:b/>
                <w:bCs/>
                <w:color w:val="auto"/>
                <w:sz w:val="18"/>
                <w:szCs w:val="18"/>
                <w:lang w:val="en-US"/>
              </w:rPr>
            </w:pPr>
            <w:r>
              <w:rPr>
                <w:rFonts w:hint="eastAsia" w:eastAsia="MS Mincho"/>
                <w:b/>
                <w:bCs/>
                <w:color w:val="auto"/>
                <w:sz w:val="18"/>
                <w:szCs w:val="18"/>
                <w:lang w:val="en-US"/>
              </w:rPr>
              <w:t>Contribution</w:t>
            </w:r>
            <w:r>
              <w:rPr>
                <w:rFonts w:eastAsia="MS Mincho"/>
                <w:b/>
                <w:bCs/>
                <w:color w:val="auto"/>
                <w:sz w:val="18"/>
                <w:szCs w:val="18"/>
                <w:lang w:val="en-US"/>
              </w:rPr>
              <w:t xml:space="preserve"> </w:t>
            </w:r>
            <w:r>
              <w:rPr>
                <w:rFonts w:hint="eastAsia" w:eastAsia="MS Mincho"/>
                <w:b/>
                <w:bCs/>
                <w:color w:val="auto"/>
                <w:sz w:val="18"/>
                <w:szCs w:val="18"/>
                <w:lang w:val="en-US"/>
              </w:rPr>
              <w:t>to</w:t>
            </w:r>
            <w:r>
              <w:rPr>
                <w:rFonts w:eastAsia="MS Mincho"/>
                <w:b/>
                <w:bCs/>
                <w:color w:val="auto"/>
                <w:sz w:val="18"/>
                <w:szCs w:val="18"/>
                <w:lang w:val="en-US"/>
              </w:rPr>
              <w:t xml:space="preserve"> </w:t>
            </w:r>
            <w:r>
              <w:rPr>
                <w:rFonts w:hint="eastAsia" w:eastAsia="MS Mincho"/>
                <w:b/>
                <w:bCs/>
                <w:color w:val="auto"/>
                <w:sz w:val="18"/>
                <w:szCs w:val="18"/>
                <w:lang w:val="en-US"/>
              </w:rPr>
              <w:t>Power-Balancing</w:t>
            </w:r>
            <w:r>
              <w:rPr>
                <w:rFonts w:eastAsia="MS Mincho"/>
                <w:b/>
                <w:bCs/>
                <w:color w:val="auto"/>
                <w:sz w:val="18"/>
                <w:szCs w:val="18"/>
                <w:lang w:val="en-US"/>
              </w:rPr>
              <w:t xml:space="preserve"> </w:t>
            </w:r>
            <w:r>
              <w:rPr>
                <w:rFonts w:hint="eastAsia" w:eastAsia="MS Mincho"/>
                <w:b/>
                <w:bCs/>
                <w:color w:val="auto"/>
                <w:sz w:val="18"/>
                <w:szCs w:val="18"/>
                <w:lang w:val="en-US"/>
              </w:rPr>
              <w:t>Outcome</w:t>
            </w:r>
          </w:p>
        </w:tc>
      </w:tr>
      <w:tr w14:paraId="0FDED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single" w:color="auto" w:sz="4" w:space="0"/>
              <w:left w:val="nil"/>
              <w:bottom w:val="nil"/>
              <w:right w:val="nil"/>
            </w:tcBorders>
            <w:shd w:val="clear" w:color="auto" w:fill="D3F4F1" w:themeFill="accent5" w:themeFillTint="33"/>
            <w:vAlign w:val="center"/>
          </w:tcPr>
          <w:p w14:paraId="1E66CD43">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SME1–Buyer1</w:t>
            </w:r>
          </w:p>
        </w:tc>
        <w:tc>
          <w:tcPr>
            <w:tcW w:w="1865" w:type="dxa"/>
            <w:tcBorders>
              <w:top w:val="single" w:color="auto" w:sz="4" w:space="0"/>
              <w:left w:val="nil"/>
              <w:bottom w:val="nil"/>
              <w:right w:val="nil"/>
            </w:tcBorders>
            <w:vAlign w:val="center"/>
          </w:tcPr>
          <w:p w14:paraId="68DD4D4B">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Cost reduction (utility waivers); Credit endorsements</w:t>
            </w:r>
            <w:r>
              <w:rPr>
                <w:rFonts w:hint="eastAsia" w:eastAsia="MS Mincho"/>
                <w:color w:val="auto"/>
                <w:sz w:val="18"/>
                <w:szCs w:val="18"/>
                <w:lang w:val="en-US"/>
              </w:rPr>
              <w:t>; Social expectations</w:t>
            </w:r>
          </w:p>
        </w:tc>
        <w:tc>
          <w:tcPr>
            <w:tcW w:w="1946" w:type="dxa"/>
            <w:tcBorders>
              <w:top w:val="single" w:color="auto" w:sz="4" w:space="0"/>
              <w:left w:val="nil"/>
              <w:bottom w:val="nil"/>
              <w:right w:val="nil"/>
            </w:tcBorders>
            <w:vAlign w:val="center"/>
          </w:tcPr>
          <w:p w14:paraId="0CEB1ACE">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Service providers; Government agencies</w:t>
            </w:r>
            <w:r>
              <w:rPr>
                <w:rFonts w:hint="eastAsia" w:eastAsia="MS Mincho"/>
                <w:color w:val="auto"/>
                <w:sz w:val="18"/>
                <w:szCs w:val="18"/>
                <w:lang w:val="en-US"/>
              </w:rPr>
              <w:t>; Regulations; Social expectation</w:t>
            </w:r>
          </w:p>
        </w:tc>
        <w:tc>
          <w:tcPr>
            <w:tcW w:w="2344" w:type="dxa"/>
            <w:tcBorders>
              <w:top w:val="single" w:color="auto" w:sz="4" w:space="0"/>
              <w:left w:val="nil"/>
              <w:bottom w:val="nil"/>
              <w:right w:val="nil"/>
            </w:tcBorders>
            <w:vAlign w:val="center"/>
          </w:tcPr>
          <w:p w14:paraId="326FFB2C">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Expert (continuity focus); Informational (legitimacy)</w:t>
            </w:r>
          </w:p>
        </w:tc>
        <w:tc>
          <w:tcPr>
            <w:tcW w:w="2351" w:type="dxa"/>
            <w:tcBorders>
              <w:top w:val="single" w:color="auto" w:sz="4" w:space="0"/>
              <w:left w:val="nil"/>
              <w:bottom w:val="nil"/>
              <w:right w:val="nil"/>
            </w:tcBorders>
            <w:vAlign w:val="center"/>
          </w:tcPr>
          <w:p w14:paraId="0D039284">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Coercive power constrained (payment renegotiation)</w:t>
            </w:r>
          </w:p>
        </w:tc>
        <w:tc>
          <w:tcPr>
            <w:tcW w:w="2905" w:type="dxa"/>
            <w:tcBorders>
              <w:top w:val="single" w:color="auto" w:sz="4" w:space="0"/>
              <w:left w:val="nil"/>
              <w:bottom w:val="nil"/>
              <w:right w:val="nil"/>
            </w:tcBorders>
            <w:vAlign w:val="center"/>
          </w:tcPr>
          <w:p w14:paraId="5D188906">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 xml:space="preserve">‘We received calls they will reduce cost…’; </w:t>
            </w:r>
          </w:p>
          <w:p w14:paraId="114D986E">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hint="eastAsia" w:eastAsia="MS Mincho"/>
                <w:color w:val="auto"/>
                <w:sz w:val="18"/>
                <w:szCs w:val="18"/>
                <w:lang w:val="en-US"/>
              </w:rPr>
              <w:t>'The free government certificate enabled us to renegotiate contract terms without penalty.'</w:t>
            </w:r>
          </w:p>
        </w:tc>
        <w:tc>
          <w:tcPr>
            <w:tcW w:w="2179" w:type="dxa"/>
            <w:tcBorders>
              <w:top w:val="single" w:color="auto" w:sz="4" w:space="0"/>
              <w:left w:val="nil"/>
              <w:bottom w:val="nil"/>
              <w:right w:val="nil"/>
            </w:tcBorders>
            <w:vAlign w:val="center"/>
          </w:tcPr>
          <w:p w14:paraId="68DD60FE">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Enabled survival and restored legitimacy in contracts</w:t>
            </w:r>
          </w:p>
        </w:tc>
      </w:tr>
      <w:tr w14:paraId="40B09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nil"/>
              <w:right w:val="nil"/>
            </w:tcBorders>
            <w:shd w:val="clear" w:color="auto" w:fill="D3F4F1" w:themeFill="accent5" w:themeFillTint="33"/>
            <w:vAlign w:val="center"/>
          </w:tcPr>
          <w:p w14:paraId="71F0E136">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SME1–Buyer2</w:t>
            </w:r>
          </w:p>
        </w:tc>
        <w:tc>
          <w:tcPr>
            <w:tcW w:w="1865" w:type="dxa"/>
            <w:tcBorders>
              <w:top w:val="nil"/>
              <w:left w:val="nil"/>
              <w:bottom w:val="nil"/>
              <w:right w:val="nil"/>
            </w:tcBorders>
            <w:vAlign w:val="center"/>
          </w:tcPr>
          <w:p w14:paraId="40FCCF5A">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Cost reduction (tax deferrals); Legal aid (contract review)</w:t>
            </w:r>
            <w:r>
              <w:rPr>
                <w:rFonts w:hint="eastAsia" w:eastAsia="MS Mincho"/>
                <w:color w:val="auto"/>
                <w:sz w:val="18"/>
                <w:szCs w:val="18"/>
                <w:lang w:val="en-US"/>
              </w:rPr>
              <w:t>;</w:t>
            </w:r>
            <w:r>
              <w:rPr>
                <w:rFonts w:eastAsia="MS Mincho"/>
                <w:color w:val="auto"/>
                <w:sz w:val="18"/>
                <w:szCs w:val="18"/>
                <w:lang w:val="en-US"/>
              </w:rPr>
              <w:t xml:space="preserve"> </w:t>
            </w:r>
            <w:r>
              <w:rPr>
                <w:rFonts w:hint="eastAsia" w:eastAsia="MS Mincho"/>
                <w:color w:val="auto"/>
                <w:sz w:val="18"/>
                <w:szCs w:val="18"/>
                <w:lang w:val="en-US"/>
              </w:rPr>
              <w:t>Buyer behavior supervision</w:t>
            </w:r>
          </w:p>
        </w:tc>
        <w:tc>
          <w:tcPr>
            <w:tcW w:w="1946" w:type="dxa"/>
            <w:tcBorders>
              <w:top w:val="nil"/>
              <w:left w:val="nil"/>
              <w:bottom w:val="nil"/>
              <w:right w:val="nil"/>
            </w:tcBorders>
            <w:vAlign w:val="center"/>
          </w:tcPr>
          <w:p w14:paraId="3DAB778D">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Government agencies; Trade associations</w:t>
            </w:r>
            <w:r>
              <w:rPr>
                <w:rFonts w:hint="eastAsia" w:eastAsia="MS Mincho"/>
                <w:color w:val="auto"/>
                <w:sz w:val="18"/>
                <w:szCs w:val="18"/>
                <w:lang w:val="en-US"/>
              </w:rPr>
              <w:t>; Regulations</w:t>
            </w:r>
          </w:p>
        </w:tc>
        <w:tc>
          <w:tcPr>
            <w:tcW w:w="2344" w:type="dxa"/>
            <w:tcBorders>
              <w:top w:val="nil"/>
              <w:left w:val="nil"/>
              <w:bottom w:val="nil"/>
              <w:right w:val="nil"/>
            </w:tcBorders>
            <w:vAlign w:val="center"/>
          </w:tcPr>
          <w:p w14:paraId="76163D7A">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Informational (legal clarity); Expert (financial management)</w:t>
            </w:r>
          </w:p>
        </w:tc>
        <w:tc>
          <w:tcPr>
            <w:tcW w:w="2351" w:type="dxa"/>
            <w:tcBorders>
              <w:top w:val="nil"/>
              <w:left w:val="nil"/>
              <w:bottom w:val="nil"/>
              <w:right w:val="nil"/>
            </w:tcBorders>
            <w:vAlign w:val="center"/>
          </w:tcPr>
          <w:p w14:paraId="4E4168AE">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Coercive power reduced (unilateral changes prevented)</w:t>
            </w:r>
          </w:p>
        </w:tc>
        <w:tc>
          <w:tcPr>
            <w:tcW w:w="2905" w:type="dxa"/>
            <w:tcBorders>
              <w:top w:val="nil"/>
              <w:left w:val="nil"/>
              <w:bottom w:val="nil"/>
              <w:right w:val="nil"/>
            </w:tcBorders>
            <w:vAlign w:val="center"/>
          </w:tcPr>
          <w:p w14:paraId="3E59C2B0">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'The association's legal team reviewed the contract, blocking their unfavorable changes...’</w:t>
            </w:r>
          </w:p>
        </w:tc>
        <w:tc>
          <w:tcPr>
            <w:tcW w:w="2179" w:type="dxa"/>
            <w:tcBorders>
              <w:top w:val="nil"/>
              <w:left w:val="nil"/>
              <w:bottom w:val="nil"/>
              <w:right w:val="nil"/>
            </w:tcBorders>
            <w:vAlign w:val="center"/>
          </w:tcPr>
          <w:p w14:paraId="148EADDC">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Prevented contractual exploitation, ensuring fairer terms</w:t>
            </w:r>
          </w:p>
        </w:tc>
      </w:tr>
      <w:tr w14:paraId="2620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nil"/>
              <w:right w:val="nil"/>
            </w:tcBorders>
            <w:shd w:val="clear" w:color="auto" w:fill="D3F4F1" w:themeFill="accent5" w:themeFillTint="33"/>
            <w:vAlign w:val="center"/>
          </w:tcPr>
          <w:p w14:paraId="5157F1C2">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SME2–Buyer2</w:t>
            </w:r>
          </w:p>
        </w:tc>
        <w:tc>
          <w:tcPr>
            <w:tcW w:w="1865" w:type="dxa"/>
            <w:tcBorders>
              <w:top w:val="nil"/>
              <w:left w:val="nil"/>
              <w:bottom w:val="nil"/>
              <w:right w:val="nil"/>
            </w:tcBorders>
            <w:vAlign w:val="center"/>
          </w:tcPr>
          <w:p w14:paraId="35E27678">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Training (associations); Export simplification; Legal support</w:t>
            </w:r>
            <w:r>
              <w:rPr>
                <w:rFonts w:hint="eastAsia" w:eastAsia="MS Mincho"/>
                <w:color w:val="auto"/>
                <w:sz w:val="18"/>
                <w:szCs w:val="18"/>
                <w:lang w:val="en-US"/>
              </w:rPr>
              <w:t>; Communication channel; Buyer behavior supervision</w:t>
            </w:r>
          </w:p>
        </w:tc>
        <w:tc>
          <w:tcPr>
            <w:tcW w:w="1946" w:type="dxa"/>
            <w:tcBorders>
              <w:top w:val="nil"/>
              <w:left w:val="nil"/>
              <w:bottom w:val="nil"/>
              <w:right w:val="nil"/>
            </w:tcBorders>
            <w:vAlign w:val="center"/>
          </w:tcPr>
          <w:p w14:paraId="4BE7AF03">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Professional institutions; Government agencies</w:t>
            </w:r>
            <w:r>
              <w:rPr>
                <w:rFonts w:hint="eastAsia" w:eastAsia="MS Mincho"/>
                <w:color w:val="auto"/>
                <w:sz w:val="18"/>
                <w:szCs w:val="18"/>
                <w:lang w:val="en-US"/>
              </w:rPr>
              <w:t>; Regulations</w:t>
            </w:r>
          </w:p>
        </w:tc>
        <w:tc>
          <w:tcPr>
            <w:tcW w:w="2344" w:type="dxa"/>
            <w:tcBorders>
              <w:top w:val="nil"/>
              <w:left w:val="nil"/>
              <w:bottom w:val="nil"/>
              <w:right w:val="nil"/>
            </w:tcBorders>
            <w:vAlign w:val="center"/>
          </w:tcPr>
          <w:p w14:paraId="1231E2A1">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Expert (managerial training); Informational (legal recognition)</w:t>
            </w:r>
          </w:p>
        </w:tc>
        <w:tc>
          <w:tcPr>
            <w:tcW w:w="2351" w:type="dxa"/>
            <w:tcBorders>
              <w:top w:val="nil"/>
              <w:left w:val="nil"/>
              <w:bottom w:val="nil"/>
              <w:right w:val="nil"/>
            </w:tcBorders>
            <w:vAlign w:val="center"/>
          </w:tcPr>
          <w:p w14:paraId="1ECFFA7B">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Coercive power reduced (contract disputes neutralized)</w:t>
            </w:r>
          </w:p>
        </w:tc>
        <w:tc>
          <w:tcPr>
            <w:tcW w:w="2905" w:type="dxa"/>
            <w:tcBorders>
              <w:top w:val="nil"/>
              <w:left w:val="nil"/>
              <w:bottom w:val="nil"/>
              <w:right w:val="nil"/>
            </w:tcBorders>
            <w:vAlign w:val="center"/>
          </w:tcPr>
          <w:p w14:paraId="2BC8F8CE">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‘Professors shared how they deal with crisis…’;</w:t>
            </w:r>
          </w:p>
          <w:p w14:paraId="57FDD28C">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‘Only after official legal supports intervened…’</w:t>
            </w:r>
          </w:p>
        </w:tc>
        <w:tc>
          <w:tcPr>
            <w:tcW w:w="2179" w:type="dxa"/>
            <w:tcBorders>
              <w:top w:val="nil"/>
              <w:left w:val="nil"/>
              <w:bottom w:val="nil"/>
              <w:right w:val="nil"/>
            </w:tcBorders>
            <w:vAlign w:val="center"/>
          </w:tcPr>
          <w:p w14:paraId="3F832B49">
            <w:pPr>
              <w:widowControl/>
              <w:snapToGrid w:val="0"/>
              <w:spacing w:before="100" w:beforeAutospacing="1" w:line="240" w:lineRule="auto"/>
              <w:ind w:firstLine="0" w:firstLineChars="0"/>
              <w:jc w:val="left"/>
              <w:rPr>
                <w:rFonts w:eastAsia="MS Mincho"/>
                <w:color w:val="auto"/>
                <w:sz w:val="18"/>
                <w:szCs w:val="18"/>
                <w:lang w:val="en-US"/>
              </w:rPr>
            </w:pPr>
            <w:r>
              <w:rPr>
                <w:rFonts w:hint="eastAsia" w:eastAsia="MS Mincho"/>
                <w:color w:val="auto"/>
                <w:sz w:val="18"/>
                <w:szCs w:val="18"/>
                <w:lang w:val="en-US"/>
              </w:rPr>
              <w:t>Strengthened the SME's bargaining position and legitimacy in disputes, shifting the dynamic from subordination to negotiation.</w:t>
            </w:r>
          </w:p>
        </w:tc>
      </w:tr>
      <w:tr w14:paraId="468D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nil"/>
              <w:right w:val="nil"/>
            </w:tcBorders>
            <w:shd w:val="clear" w:color="auto" w:fill="D3F4F1" w:themeFill="accent5" w:themeFillTint="33"/>
            <w:vAlign w:val="center"/>
          </w:tcPr>
          <w:p w14:paraId="46344C0C">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w:t>
            </w:r>
            <w:r>
              <w:rPr>
                <w:rFonts w:hint="eastAsia" w:eastAsia="MS Mincho"/>
                <w:b/>
                <w:bCs/>
                <w:color w:val="auto"/>
                <w:sz w:val="18"/>
                <w:szCs w:val="18"/>
                <w:lang w:val="en-US"/>
              </w:rPr>
              <w:t>3</w:t>
            </w:r>
            <w:r>
              <w:rPr>
                <w:rFonts w:eastAsia="MS Mincho"/>
                <w:b/>
                <w:bCs/>
                <w:color w:val="auto"/>
                <w:sz w:val="18"/>
                <w:szCs w:val="18"/>
                <w:lang w:val="en-US"/>
              </w:rPr>
              <w:t>–Buyer</w:t>
            </w:r>
            <w:r>
              <w:rPr>
                <w:rFonts w:hint="eastAsia" w:eastAsia="MS Mincho"/>
                <w:b/>
                <w:bCs/>
                <w:color w:val="auto"/>
                <w:sz w:val="18"/>
                <w:szCs w:val="18"/>
                <w:lang w:val="en-US"/>
              </w:rPr>
              <w:t>1</w:t>
            </w:r>
          </w:p>
        </w:tc>
        <w:tc>
          <w:tcPr>
            <w:tcW w:w="1865" w:type="dxa"/>
            <w:tcBorders>
              <w:top w:val="nil"/>
              <w:left w:val="nil"/>
              <w:bottom w:val="nil"/>
              <w:right w:val="nil"/>
            </w:tcBorders>
            <w:vAlign w:val="center"/>
          </w:tcPr>
          <w:p w14:paraId="5F564F29">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Legal support</w:t>
            </w:r>
            <w:r>
              <w:rPr>
                <w:rFonts w:hint="eastAsia" w:eastAsia="MS Mincho"/>
                <w:color w:val="auto"/>
                <w:sz w:val="18"/>
                <w:szCs w:val="18"/>
                <w:lang w:val="en-US"/>
              </w:rPr>
              <w:t xml:space="preserve">; </w:t>
            </w:r>
            <w:r>
              <w:rPr>
                <w:rFonts w:eastAsia="MS Mincho"/>
                <w:color w:val="auto"/>
                <w:sz w:val="18"/>
                <w:szCs w:val="18"/>
                <w:lang w:val="en-US"/>
              </w:rPr>
              <w:t>Credit endorsements</w:t>
            </w:r>
            <w:r>
              <w:rPr>
                <w:rFonts w:hint="eastAsia" w:eastAsia="MS Mincho"/>
                <w:color w:val="auto"/>
                <w:sz w:val="18"/>
                <w:szCs w:val="18"/>
                <w:lang w:val="en-US"/>
              </w:rPr>
              <w:t>; Behavior supervision; Social expectations</w:t>
            </w:r>
          </w:p>
        </w:tc>
        <w:tc>
          <w:tcPr>
            <w:tcW w:w="1946" w:type="dxa"/>
            <w:tcBorders>
              <w:top w:val="nil"/>
              <w:left w:val="nil"/>
              <w:bottom w:val="nil"/>
              <w:right w:val="nil"/>
            </w:tcBorders>
            <w:vAlign w:val="center"/>
          </w:tcPr>
          <w:p w14:paraId="0D27B9D4">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Government agencies</w:t>
            </w:r>
            <w:r>
              <w:rPr>
                <w:rFonts w:hint="eastAsia" w:eastAsia="MS Mincho"/>
                <w:color w:val="auto"/>
                <w:sz w:val="18"/>
                <w:szCs w:val="18"/>
                <w:lang w:val="en-US"/>
              </w:rPr>
              <w:t xml:space="preserve">; </w:t>
            </w:r>
            <w:r>
              <w:rPr>
                <w:rFonts w:eastAsia="MS Mincho"/>
                <w:color w:val="auto"/>
                <w:sz w:val="18"/>
                <w:szCs w:val="18"/>
                <w:lang w:val="en-US"/>
              </w:rPr>
              <w:t xml:space="preserve">Service </w:t>
            </w:r>
            <w:r>
              <w:rPr>
                <w:rFonts w:hint="eastAsia" w:eastAsia="MS Mincho"/>
                <w:color w:val="auto"/>
                <w:sz w:val="18"/>
                <w:szCs w:val="18"/>
                <w:lang w:val="en-US"/>
              </w:rPr>
              <w:t>providers</w:t>
            </w:r>
            <w:r>
              <w:rPr>
                <w:rFonts w:hint="eastAsia" w:hAnsi="MS Mincho" w:eastAsia="MS Mincho"/>
                <w:color w:val="auto"/>
                <w:sz w:val="18"/>
                <w:szCs w:val="18"/>
                <w:lang w:val="en-US"/>
              </w:rPr>
              <w:t xml:space="preserve">; </w:t>
            </w:r>
            <w:r>
              <w:rPr>
                <w:rFonts w:hint="eastAsia" w:eastAsia="MS Mincho"/>
                <w:color w:val="auto"/>
                <w:sz w:val="18"/>
                <w:szCs w:val="18"/>
                <w:lang w:val="en-US"/>
              </w:rPr>
              <w:t>Social expectation</w:t>
            </w:r>
          </w:p>
        </w:tc>
        <w:tc>
          <w:tcPr>
            <w:tcW w:w="2344" w:type="dxa"/>
            <w:tcBorders>
              <w:top w:val="nil"/>
              <w:left w:val="nil"/>
              <w:bottom w:val="nil"/>
              <w:right w:val="nil"/>
            </w:tcBorders>
            <w:vAlign w:val="center"/>
          </w:tcPr>
          <w:p w14:paraId="4810BD00">
            <w:pPr>
              <w:widowControl/>
              <w:snapToGrid w:val="0"/>
              <w:spacing w:before="100" w:beforeAutospacing="1" w:line="240" w:lineRule="auto"/>
              <w:ind w:firstLine="0" w:firstLineChars="0"/>
              <w:jc w:val="left"/>
              <w:rPr>
                <w:rFonts w:eastAsia="MS Mincho"/>
                <w:color w:val="auto"/>
                <w:sz w:val="18"/>
                <w:szCs w:val="18"/>
                <w:lang w:val="en-US"/>
              </w:rPr>
            </w:pPr>
            <w:r>
              <w:rPr>
                <w:rFonts w:hint="eastAsia" w:eastAsia="MS Mincho"/>
                <w:color w:val="auto"/>
                <w:sz w:val="18"/>
                <w:szCs w:val="18"/>
                <w:lang w:val="en-US"/>
              </w:rPr>
              <w:t>Expert (compliance knowledge); Informational (creditworthiness); Referent (gov. backing)</w:t>
            </w:r>
          </w:p>
        </w:tc>
        <w:tc>
          <w:tcPr>
            <w:tcW w:w="2351" w:type="dxa"/>
            <w:tcBorders>
              <w:top w:val="nil"/>
              <w:left w:val="nil"/>
              <w:bottom w:val="nil"/>
              <w:right w:val="nil"/>
            </w:tcBorders>
            <w:vAlign w:val="center"/>
          </w:tcPr>
          <w:p w14:paraId="452F91AD">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Coercive power countered (unjust penalties avoided)</w:t>
            </w:r>
          </w:p>
        </w:tc>
        <w:tc>
          <w:tcPr>
            <w:tcW w:w="2905" w:type="dxa"/>
            <w:tcBorders>
              <w:top w:val="nil"/>
              <w:left w:val="nil"/>
              <w:bottom w:val="nil"/>
              <w:right w:val="nil"/>
            </w:tcBorders>
            <w:vAlign w:val="center"/>
          </w:tcPr>
          <w:p w14:paraId="4CF46A2C">
            <w:pPr>
              <w:widowControl/>
              <w:snapToGrid w:val="0"/>
              <w:spacing w:before="100" w:beforeAutospacing="1" w:line="240" w:lineRule="auto"/>
              <w:ind w:firstLine="0" w:firstLineChars="0"/>
              <w:jc w:val="left"/>
              <w:rPr>
                <w:rFonts w:eastAsia="MS Mincho"/>
                <w:color w:val="auto"/>
                <w:sz w:val="18"/>
                <w:szCs w:val="18"/>
                <w:lang w:val="en-US"/>
              </w:rPr>
            </w:pPr>
            <w:r>
              <w:rPr>
                <w:rFonts w:hint="eastAsia" w:eastAsia="MS Mincho"/>
                <w:color w:val="auto"/>
                <w:sz w:val="18"/>
                <w:szCs w:val="18"/>
                <w:lang w:val="en-US"/>
              </w:rPr>
              <w:t>'The official credit endorsement prevented them</w:t>
            </w:r>
            <w:r>
              <w:rPr>
                <w:rFonts w:eastAsia="MS Mincho"/>
                <w:color w:val="auto"/>
                <w:sz w:val="18"/>
                <w:szCs w:val="18"/>
                <w:lang w:val="en-US"/>
              </w:rPr>
              <w:t xml:space="preserve"> </w:t>
            </w:r>
            <w:r>
              <w:rPr>
                <w:rFonts w:hint="eastAsia" w:eastAsia="MS Mincho"/>
                <w:color w:val="auto"/>
                <w:sz w:val="18"/>
                <w:szCs w:val="18"/>
                <w:lang w:val="en-US"/>
              </w:rPr>
              <w:t>from freezing payments...'</w:t>
            </w:r>
          </w:p>
        </w:tc>
        <w:tc>
          <w:tcPr>
            <w:tcW w:w="2179" w:type="dxa"/>
            <w:tcBorders>
              <w:top w:val="nil"/>
              <w:left w:val="nil"/>
              <w:bottom w:val="nil"/>
              <w:right w:val="nil"/>
            </w:tcBorders>
            <w:vAlign w:val="center"/>
          </w:tcPr>
          <w:p w14:paraId="5799E908">
            <w:pPr>
              <w:widowControl/>
              <w:snapToGrid w:val="0"/>
              <w:spacing w:before="100" w:beforeAutospacing="1" w:line="240" w:lineRule="auto"/>
              <w:ind w:firstLine="0" w:firstLineChars="0"/>
              <w:jc w:val="left"/>
              <w:rPr>
                <w:rFonts w:eastAsia="MS Mincho"/>
                <w:color w:val="auto"/>
                <w:sz w:val="18"/>
                <w:szCs w:val="18"/>
                <w:lang w:val="en-US"/>
              </w:rPr>
            </w:pPr>
            <w:r>
              <w:rPr>
                <w:rFonts w:hint="eastAsia" w:eastAsia="MS Mincho"/>
                <w:color w:val="auto"/>
                <w:sz w:val="18"/>
                <w:szCs w:val="18"/>
                <w:lang w:val="en-US"/>
              </w:rPr>
              <w:t>Secured cash flow and deterred buyer's coercive financial tactics</w:t>
            </w:r>
          </w:p>
        </w:tc>
      </w:tr>
      <w:tr w14:paraId="04BD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nil"/>
              <w:right w:val="nil"/>
            </w:tcBorders>
            <w:shd w:val="clear" w:color="auto" w:fill="D3F4F1" w:themeFill="accent5" w:themeFillTint="33"/>
            <w:vAlign w:val="center"/>
          </w:tcPr>
          <w:p w14:paraId="48893449">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SME4–Buyer2</w:t>
            </w:r>
          </w:p>
        </w:tc>
        <w:tc>
          <w:tcPr>
            <w:tcW w:w="1865" w:type="dxa"/>
            <w:tcBorders>
              <w:top w:val="nil"/>
              <w:left w:val="nil"/>
              <w:bottom w:val="nil"/>
              <w:right w:val="nil"/>
            </w:tcBorders>
            <w:vAlign w:val="center"/>
          </w:tcPr>
          <w:p w14:paraId="52A7B986">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Promotion events; Credit endorsements; Utility support systems</w:t>
            </w:r>
            <w:r>
              <w:rPr>
                <w:rFonts w:hint="eastAsia" w:eastAsia="MS Mincho"/>
                <w:color w:val="auto"/>
                <w:sz w:val="18"/>
                <w:szCs w:val="18"/>
                <w:lang w:val="en-US"/>
              </w:rPr>
              <w:t xml:space="preserve">; Communication channel </w:t>
            </w:r>
          </w:p>
        </w:tc>
        <w:tc>
          <w:tcPr>
            <w:tcW w:w="1946" w:type="dxa"/>
            <w:tcBorders>
              <w:top w:val="nil"/>
              <w:left w:val="nil"/>
              <w:bottom w:val="nil"/>
              <w:right w:val="nil"/>
            </w:tcBorders>
            <w:vAlign w:val="center"/>
          </w:tcPr>
          <w:p w14:paraId="07851DD4">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Professional associations; Government; Service providers</w:t>
            </w:r>
            <w:r>
              <w:rPr>
                <w:rFonts w:hint="eastAsia" w:eastAsia="MS Mincho"/>
                <w:color w:val="auto"/>
                <w:sz w:val="18"/>
                <w:szCs w:val="18"/>
                <w:lang w:val="en-US"/>
              </w:rPr>
              <w:t>; Regulations</w:t>
            </w:r>
          </w:p>
        </w:tc>
        <w:tc>
          <w:tcPr>
            <w:tcW w:w="2344" w:type="dxa"/>
            <w:tcBorders>
              <w:top w:val="nil"/>
              <w:left w:val="nil"/>
              <w:bottom w:val="nil"/>
              <w:right w:val="nil"/>
            </w:tcBorders>
            <w:vAlign w:val="center"/>
          </w:tcPr>
          <w:p w14:paraId="18D600D2">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Referent (visibility); Informational (creditworthiness validated)</w:t>
            </w:r>
          </w:p>
        </w:tc>
        <w:tc>
          <w:tcPr>
            <w:tcW w:w="2351" w:type="dxa"/>
            <w:tcBorders>
              <w:top w:val="nil"/>
              <w:left w:val="nil"/>
              <w:bottom w:val="nil"/>
              <w:right w:val="nil"/>
            </w:tcBorders>
            <w:vAlign w:val="center"/>
          </w:tcPr>
          <w:p w14:paraId="64EA319B">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Coercive power weakened (could not label as ‘low-credit’)</w:t>
            </w:r>
          </w:p>
        </w:tc>
        <w:tc>
          <w:tcPr>
            <w:tcW w:w="2905" w:type="dxa"/>
            <w:tcBorders>
              <w:top w:val="nil"/>
              <w:left w:val="nil"/>
              <w:bottom w:val="nil"/>
              <w:right w:val="nil"/>
            </w:tcBorders>
            <w:vAlign w:val="center"/>
          </w:tcPr>
          <w:p w14:paraId="077E05CB">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‘Recognition from government gave us more choices…’</w:t>
            </w:r>
          </w:p>
        </w:tc>
        <w:tc>
          <w:tcPr>
            <w:tcW w:w="2179" w:type="dxa"/>
            <w:tcBorders>
              <w:top w:val="nil"/>
              <w:left w:val="nil"/>
              <w:bottom w:val="nil"/>
              <w:right w:val="nil"/>
            </w:tcBorders>
            <w:vAlign w:val="center"/>
          </w:tcPr>
          <w:p w14:paraId="08B0E13D">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Expanded SME's buyer pool, creating countervailing power</w:t>
            </w:r>
          </w:p>
        </w:tc>
      </w:tr>
      <w:tr w14:paraId="25A0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nil"/>
              <w:right w:val="nil"/>
            </w:tcBorders>
            <w:shd w:val="clear" w:color="auto" w:fill="D3F4F1" w:themeFill="accent5" w:themeFillTint="33"/>
            <w:vAlign w:val="center"/>
          </w:tcPr>
          <w:p w14:paraId="7A9F847E">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w:t>
            </w:r>
            <w:r>
              <w:rPr>
                <w:rFonts w:hint="eastAsia" w:eastAsia="MS Mincho"/>
                <w:b/>
                <w:bCs/>
                <w:color w:val="auto"/>
                <w:sz w:val="18"/>
                <w:szCs w:val="18"/>
                <w:lang w:val="en-US"/>
              </w:rPr>
              <w:t>5</w:t>
            </w:r>
            <w:r>
              <w:rPr>
                <w:rFonts w:eastAsia="MS Mincho"/>
                <w:b/>
                <w:bCs/>
                <w:color w:val="auto"/>
                <w:sz w:val="18"/>
                <w:szCs w:val="18"/>
                <w:lang w:val="en-US"/>
              </w:rPr>
              <w:t>–Buyer</w:t>
            </w:r>
            <w:r>
              <w:rPr>
                <w:rFonts w:hint="eastAsia" w:eastAsia="MS Mincho"/>
                <w:b/>
                <w:bCs/>
                <w:color w:val="auto"/>
                <w:sz w:val="18"/>
                <w:szCs w:val="18"/>
                <w:lang w:val="en-US"/>
              </w:rPr>
              <w:t>2</w:t>
            </w:r>
          </w:p>
        </w:tc>
        <w:tc>
          <w:tcPr>
            <w:tcW w:w="1865" w:type="dxa"/>
            <w:tcBorders>
              <w:top w:val="nil"/>
              <w:left w:val="nil"/>
              <w:bottom w:val="nil"/>
              <w:right w:val="nil"/>
            </w:tcBorders>
            <w:vAlign w:val="center"/>
          </w:tcPr>
          <w:p w14:paraId="54AACC29">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Training (quality standards); Export simplification</w:t>
            </w:r>
            <w:r>
              <w:rPr>
                <w:rFonts w:hint="eastAsia" w:eastAsia="MS Mincho"/>
                <w:color w:val="auto"/>
                <w:sz w:val="18"/>
                <w:szCs w:val="18"/>
                <w:lang w:val="en-US"/>
              </w:rPr>
              <w:t xml:space="preserve">; Communication channel </w:t>
            </w:r>
          </w:p>
        </w:tc>
        <w:tc>
          <w:tcPr>
            <w:tcW w:w="1946" w:type="dxa"/>
            <w:tcBorders>
              <w:top w:val="nil"/>
              <w:left w:val="nil"/>
              <w:bottom w:val="nil"/>
              <w:right w:val="nil"/>
            </w:tcBorders>
            <w:vAlign w:val="center"/>
          </w:tcPr>
          <w:p w14:paraId="37671A6F">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Professional institutions; Customs authority</w:t>
            </w:r>
            <w:r>
              <w:rPr>
                <w:rFonts w:hint="eastAsia" w:eastAsia="MS Mincho"/>
                <w:color w:val="auto"/>
                <w:sz w:val="18"/>
                <w:szCs w:val="18"/>
                <w:lang w:val="en-US"/>
              </w:rPr>
              <w:t>; Regulations</w:t>
            </w:r>
          </w:p>
        </w:tc>
        <w:tc>
          <w:tcPr>
            <w:tcW w:w="2344" w:type="dxa"/>
            <w:tcBorders>
              <w:top w:val="nil"/>
              <w:left w:val="nil"/>
              <w:bottom w:val="nil"/>
              <w:right w:val="nil"/>
            </w:tcBorders>
            <w:vAlign w:val="center"/>
          </w:tcPr>
          <w:p w14:paraId="096DF07D">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Expert (quality certification); Informational (streamlined process knowledge)</w:t>
            </w:r>
          </w:p>
        </w:tc>
        <w:tc>
          <w:tcPr>
            <w:tcW w:w="2351" w:type="dxa"/>
            <w:tcBorders>
              <w:top w:val="nil"/>
              <w:left w:val="nil"/>
              <w:bottom w:val="nil"/>
              <w:right w:val="nil"/>
            </w:tcBorders>
            <w:vAlign w:val="center"/>
          </w:tcPr>
          <w:p w14:paraId="59AFAEEB">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Coercive power reduced (rejection threats neutralized)</w:t>
            </w:r>
          </w:p>
        </w:tc>
        <w:tc>
          <w:tcPr>
            <w:tcW w:w="2905" w:type="dxa"/>
            <w:tcBorders>
              <w:top w:val="nil"/>
              <w:left w:val="nil"/>
              <w:bottom w:val="nil"/>
              <w:right w:val="nil"/>
            </w:tcBorders>
            <w:vAlign w:val="center"/>
          </w:tcPr>
          <w:p w14:paraId="43D66076">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hAnsiTheme="minorEastAsia"/>
                <w:color w:val="auto"/>
                <w:sz w:val="18"/>
                <w:szCs w:val="18"/>
                <w:lang w:val="en-US"/>
              </w:rPr>
              <w:t>‘</w:t>
            </w:r>
            <w:r>
              <w:rPr>
                <w:rFonts w:eastAsia="MS Mincho"/>
                <w:color w:val="auto"/>
                <w:sz w:val="18"/>
                <w:szCs w:val="18"/>
                <w:lang w:val="en-US"/>
              </w:rPr>
              <w:t>After certification, they could no longer threaten to reject our shipments on quality grounds...’</w:t>
            </w:r>
          </w:p>
        </w:tc>
        <w:tc>
          <w:tcPr>
            <w:tcW w:w="2179" w:type="dxa"/>
            <w:tcBorders>
              <w:top w:val="nil"/>
              <w:left w:val="nil"/>
              <w:bottom w:val="nil"/>
              <w:right w:val="nil"/>
            </w:tcBorders>
            <w:vAlign w:val="center"/>
          </w:tcPr>
          <w:p w14:paraId="123F68B6">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Enhanced product legitimacy and reduced quality-based coercion</w:t>
            </w:r>
          </w:p>
        </w:tc>
      </w:tr>
      <w:tr w14:paraId="6426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nil"/>
              <w:right w:val="nil"/>
            </w:tcBorders>
            <w:shd w:val="clear" w:color="auto" w:fill="D3F4F1" w:themeFill="accent5" w:themeFillTint="33"/>
            <w:vAlign w:val="center"/>
          </w:tcPr>
          <w:p w14:paraId="21F663FD">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w:t>
            </w:r>
            <w:r>
              <w:rPr>
                <w:rFonts w:hint="eastAsia" w:eastAsia="MS Mincho"/>
                <w:b/>
                <w:bCs/>
                <w:color w:val="auto"/>
                <w:sz w:val="18"/>
                <w:szCs w:val="18"/>
                <w:lang w:val="en-US"/>
              </w:rPr>
              <w:t>5</w:t>
            </w:r>
            <w:r>
              <w:rPr>
                <w:rFonts w:eastAsia="MS Mincho"/>
                <w:b/>
                <w:bCs/>
                <w:color w:val="auto"/>
                <w:sz w:val="18"/>
                <w:szCs w:val="18"/>
                <w:lang w:val="en-US"/>
              </w:rPr>
              <w:t>–Buyer</w:t>
            </w:r>
            <w:r>
              <w:rPr>
                <w:rFonts w:hint="eastAsia" w:eastAsia="MS Mincho"/>
                <w:b/>
                <w:bCs/>
                <w:color w:val="auto"/>
                <w:sz w:val="18"/>
                <w:szCs w:val="18"/>
                <w:lang w:val="en-US"/>
              </w:rPr>
              <w:t>3</w:t>
            </w:r>
          </w:p>
        </w:tc>
        <w:tc>
          <w:tcPr>
            <w:tcW w:w="1865" w:type="dxa"/>
            <w:tcBorders>
              <w:top w:val="nil"/>
              <w:left w:val="nil"/>
              <w:bottom w:val="nil"/>
              <w:right w:val="nil"/>
            </w:tcBorders>
            <w:vAlign w:val="center"/>
          </w:tcPr>
          <w:p w14:paraId="0466AF24">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Legal support</w:t>
            </w:r>
            <w:r>
              <w:rPr>
                <w:rFonts w:hint="eastAsia" w:eastAsia="MS Mincho"/>
                <w:color w:val="auto"/>
                <w:sz w:val="18"/>
                <w:szCs w:val="18"/>
                <w:lang w:val="en-US"/>
              </w:rPr>
              <w:t xml:space="preserve">; </w:t>
            </w:r>
            <w:r>
              <w:rPr>
                <w:rFonts w:eastAsia="MS Mincho"/>
                <w:color w:val="auto"/>
                <w:sz w:val="18"/>
                <w:szCs w:val="18"/>
                <w:lang w:val="en-US"/>
              </w:rPr>
              <w:t>Credit endorsements</w:t>
            </w:r>
            <w:r>
              <w:rPr>
                <w:rFonts w:hint="eastAsia" w:eastAsia="MS Mincho"/>
                <w:color w:val="auto"/>
                <w:sz w:val="18"/>
                <w:szCs w:val="18"/>
                <w:lang w:val="en-US"/>
              </w:rPr>
              <w:t xml:space="preserve">; </w:t>
            </w:r>
            <w:r>
              <w:rPr>
                <w:rFonts w:eastAsia="MS Mincho"/>
                <w:color w:val="auto"/>
                <w:sz w:val="18"/>
                <w:szCs w:val="18"/>
                <w:lang w:val="en-US"/>
              </w:rPr>
              <w:t>Promotion events</w:t>
            </w:r>
            <w:r>
              <w:rPr>
                <w:rFonts w:hint="eastAsia" w:eastAsia="MS Mincho"/>
                <w:color w:val="auto"/>
                <w:sz w:val="18"/>
                <w:szCs w:val="18"/>
                <w:lang w:val="en-US"/>
              </w:rPr>
              <w:t>; Communication channel; Behavior supervision</w:t>
            </w:r>
          </w:p>
        </w:tc>
        <w:tc>
          <w:tcPr>
            <w:tcW w:w="1946" w:type="dxa"/>
            <w:tcBorders>
              <w:top w:val="nil"/>
              <w:left w:val="nil"/>
              <w:bottom w:val="nil"/>
              <w:right w:val="nil"/>
            </w:tcBorders>
            <w:vAlign w:val="center"/>
          </w:tcPr>
          <w:p w14:paraId="72599D77">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Government agencies</w:t>
            </w:r>
            <w:r>
              <w:rPr>
                <w:rFonts w:hint="eastAsia" w:eastAsia="MS Mincho"/>
                <w:color w:val="auto"/>
                <w:sz w:val="18"/>
                <w:szCs w:val="18"/>
                <w:lang w:val="en-US"/>
              </w:rPr>
              <w:t xml:space="preserve">; </w:t>
            </w:r>
            <w:r>
              <w:rPr>
                <w:rFonts w:eastAsia="MS Mincho"/>
                <w:color w:val="auto"/>
                <w:sz w:val="18"/>
                <w:szCs w:val="18"/>
                <w:lang w:val="en-US"/>
              </w:rPr>
              <w:t>Service providers</w:t>
            </w:r>
            <w:r>
              <w:rPr>
                <w:rFonts w:hint="eastAsia" w:eastAsia="MS Mincho"/>
                <w:color w:val="auto"/>
                <w:sz w:val="18"/>
                <w:szCs w:val="18"/>
                <w:lang w:val="en-US"/>
              </w:rPr>
              <w:t xml:space="preserve">; </w:t>
            </w:r>
            <w:r>
              <w:rPr>
                <w:rFonts w:eastAsia="MS Mincho"/>
                <w:color w:val="auto"/>
                <w:sz w:val="18"/>
                <w:szCs w:val="18"/>
                <w:lang w:val="en-US"/>
              </w:rPr>
              <w:t>Professional institutions</w:t>
            </w:r>
            <w:r>
              <w:rPr>
                <w:rFonts w:hint="eastAsia" w:eastAsia="MS Mincho"/>
                <w:color w:val="auto"/>
                <w:sz w:val="18"/>
                <w:szCs w:val="18"/>
                <w:lang w:val="en-US"/>
              </w:rPr>
              <w:t>; Regulations</w:t>
            </w:r>
          </w:p>
        </w:tc>
        <w:tc>
          <w:tcPr>
            <w:tcW w:w="2344" w:type="dxa"/>
            <w:tcBorders>
              <w:top w:val="nil"/>
              <w:left w:val="nil"/>
              <w:bottom w:val="nil"/>
              <w:right w:val="nil"/>
            </w:tcBorders>
            <w:vAlign w:val="center"/>
          </w:tcPr>
          <w:p w14:paraId="72FAD091">
            <w:pPr>
              <w:widowControl/>
              <w:snapToGrid w:val="0"/>
              <w:spacing w:before="100" w:beforeAutospacing="1" w:line="240" w:lineRule="auto"/>
              <w:ind w:firstLine="0" w:firstLineChars="0"/>
              <w:jc w:val="left"/>
              <w:rPr>
                <w:rFonts w:eastAsia="MS Mincho"/>
                <w:color w:val="auto"/>
                <w:sz w:val="18"/>
                <w:szCs w:val="18"/>
                <w:lang w:val="en-US"/>
              </w:rPr>
            </w:pPr>
            <w:r>
              <w:rPr>
                <w:rFonts w:hint="eastAsia" w:eastAsia="MS Mincho"/>
                <w:color w:val="auto"/>
                <w:sz w:val="18"/>
                <w:szCs w:val="18"/>
                <w:lang w:val="en-US"/>
              </w:rPr>
              <w:t>Expert (</w:t>
            </w:r>
            <w:r>
              <w:rPr>
                <w:rFonts w:eastAsia="MS Mincho"/>
                <w:color w:val="auto"/>
                <w:sz w:val="18"/>
                <w:szCs w:val="18"/>
                <w:lang w:val="en-US"/>
              </w:rPr>
              <w:t xml:space="preserve"> (technology </w:t>
            </w:r>
            <w:r>
              <w:rPr>
                <w:rFonts w:hint="eastAsia" w:eastAsia="MS Mincho"/>
                <w:color w:val="auto"/>
                <w:sz w:val="18"/>
                <w:szCs w:val="18"/>
                <w:lang w:val="en-US"/>
              </w:rPr>
              <w:t>advancement</w:t>
            </w:r>
            <w:r>
              <w:rPr>
                <w:rFonts w:eastAsia="MS Mincho"/>
                <w:color w:val="auto"/>
                <w:sz w:val="18"/>
                <w:szCs w:val="18"/>
                <w:lang w:val="en-US"/>
              </w:rPr>
              <w:t>)</w:t>
            </w:r>
            <w:r>
              <w:rPr>
                <w:rFonts w:hint="eastAsia" w:eastAsia="MS Mincho"/>
                <w:color w:val="auto"/>
                <w:sz w:val="18"/>
                <w:szCs w:val="18"/>
                <w:lang w:val="en-US"/>
              </w:rPr>
              <w:t>; Referent (global market expanded); Informational (grant legitimacy)</w:t>
            </w:r>
          </w:p>
        </w:tc>
        <w:tc>
          <w:tcPr>
            <w:tcW w:w="2351" w:type="dxa"/>
            <w:tcBorders>
              <w:top w:val="nil"/>
              <w:left w:val="nil"/>
              <w:bottom w:val="nil"/>
              <w:right w:val="nil"/>
            </w:tcBorders>
            <w:vAlign w:val="center"/>
          </w:tcPr>
          <w:p w14:paraId="1B205213">
            <w:pPr>
              <w:widowControl/>
              <w:snapToGrid w:val="0"/>
              <w:spacing w:before="100" w:beforeAutospacing="1" w:line="240" w:lineRule="auto"/>
              <w:ind w:firstLine="0" w:firstLineChars="0"/>
              <w:jc w:val="left"/>
              <w:rPr>
                <w:rFonts w:eastAsia="MS Mincho"/>
                <w:color w:val="auto"/>
                <w:sz w:val="18"/>
                <w:szCs w:val="18"/>
                <w:lang w:val="en-US"/>
              </w:rPr>
            </w:pPr>
            <w:r>
              <w:rPr>
                <w:rFonts w:hint="eastAsia" w:eastAsia="MS Mincho"/>
                <w:color w:val="auto"/>
                <w:sz w:val="18"/>
                <w:szCs w:val="18"/>
                <w:lang w:val="en-US"/>
              </w:rPr>
              <w:t>Coercive power weakened (could not dictate tech</w:t>
            </w:r>
            <w:r>
              <w:rPr>
                <w:rFonts w:eastAsia="MS Mincho"/>
                <w:color w:val="auto"/>
                <w:sz w:val="18"/>
                <w:szCs w:val="18"/>
                <w:lang w:val="en-US"/>
              </w:rPr>
              <w:t>nology</w:t>
            </w:r>
            <w:r>
              <w:rPr>
                <w:rFonts w:hint="eastAsia" w:eastAsia="MS Mincho"/>
                <w:color w:val="auto"/>
                <w:sz w:val="18"/>
                <w:szCs w:val="18"/>
                <w:lang w:val="en-US"/>
              </w:rPr>
              <w:t xml:space="preserve"> spec</w:t>
            </w:r>
            <w:r>
              <w:rPr>
                <w:rFonts w:eastAsia="MS Mincho"/>
                <w:color w:val="auto"/>
                <w:sz w:val="18"/>
                <w:szCs w:val="18"/>
                <w:lang w:val="en-US"/>
              </w:rPr>
              <w:t>ification</w:t>
            </w:r>
            <w:r>
              <w:rPr>
                <w:rFonts w:hint="eastAsia" w:eastAsia="MS Mincho"/>
                <w:color w:val="auto"/>
                <w:sz w:val="18"/>
                <w:szCs w:val="18"/>
                <w:lang w:val="en-US"/>
              </w:rPr>
              <w:t>s)</w:t>
            </w:r>
          </w:p>
          <w:p w14:paraId="41F95F12">
            <w:pPr>
              <w:widowControl/>
              <w:snapToGrid w:val="0"/>
              <w:spacing w:before="100" w:beforeAutospacing="1" w:line="240" w:lineRule="auto"/>
              <w:ind w:firstLine="0" w:firstLineChars="0"/>
              <w:jc w:val="left"/>
              <w:rPr>
                <w:rFonts w:eastAsia="MS Mincho"/>
                <w:color w:val="auto"/>
                <w:sz w:val="18"/>
                <w:szCs w:val="18"/>
                <w:lang w:val="en-US"/>
              </w:rPr>
            </w:pPr>
            <w:r>
              <w:rPr>
                <w:rFonts w:hint="eastAsia" w:eastAsia="MS Mincho"/>
                <w:color w:val="auto"/>
                <w:sz w:val="18"/>
                <w:szCs w:val="18"/>
                <w:lang w:val="en-US"/>
              </w:rPr>
              <w:t>Reward power (positive) use encouraged (for the SME</w:t>
            </w:r>
            <w:r>
              <w:rPr>
                <w:rFonts w:eastAsia="MS Mincho"/>
                <w:color w:val="auto"/>
                <w:sz w:val="18"/>
                <w:szCs w:val="18"/>
                <w:lang w:val="en-US"/>
              </w:rPr>
              <w:t>’</w:t>
            </w:r>
            <w:r>
              <w:rPr>
                <w:rFonts w:hint="eastAsia" w:eastAsia="MS Mincho"/>
                <w:color w:val="auto"/>
                <w:sz w:val="18"/>
                <w:szCs w:val="18"/>
                <w:lang w:val="en-US"/>
              </w:rPr>
              <w:t>s receiving official supports)</w:t>
            </w:r>
          </w:p>
        </w:tc>
        <w:tc>
          <w:tcPr>
            <w:tcW w:w="2905" w:type="dxa"/>
            <w:tcBorders>
              <w:top w:val="nil"/>
              <w:left w:val="nil"/>
              <w:bottom w:val="nil"/>
              <w:right w:val="nil"/>
            </w:tcBorders>
            <w:vAlign w:val="center"/>
          </w:tcPr>
          <w:p w14:paraId="16C109E9">
            <w:pPr>
              <w:widowControl/>
              <w:snapToGrid w:val="0"/>
              <w:spacing w:before="100" w:beforeAutospacing="1" w:line="240" w:lineRule="auto"/>
              <w:ind w:firstLine="0" w:firstLineChars="0"/>
              <w:jc w:val="left"/>
              <w:rPr>
                <w:rFonts w:eastAsia="MS Mincho"/>
                <w:color w:val="auto"/>
                <w:sz w:val="18"/>
                <w:szCs w:val="18"/>
                <w:lang w:val="en-US"/>
              </w:rPr>
            </w:pPr>
            <w:r>
              <w:rPr>
                <w:rFonts w:hint="eastAsia" w:eastAsia="MS Mincho"/>
                <w:color w:val="auto"/>
                <w:sz w:val="18"/>
                <w:szCs w:val="18"/>
                <w:lang w:val="en-US"/>
              </w:rPr>
              <w:t>'They</w:t>
            </w:r>
            <w:r>
              <w:rPr>
                <w:rFonts w:eastAsia="MS Mincho"/>
                <w:color w:val="auto"/>
                <w:sz w:val="18"/>
                <w:szCs w:val="18"/>
                <w:lang w:val="en-US"/>
              </w:rPr>
              <w:t xml:space="preserve"> </w:t>
            </w:r>
            <w:r>
              <w:rPr>
                <w:rFonts w:hint="eastAsia" w:eastAsia="MS Mincho"/>
                <w:color w:val="auto"/>
                <w:sz w:val="18"/>
                <w:szCs w:val="18"/>
                <w:lang w:val="en-US"/>
              </w:rPr>
              <w:t>had to acknowledge our upgraded tech, reducing their pressure on pricing...'</w:t>
            </w:r>
          </w:p>
          <w:p w14:paraId="06A5F75B">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‘We</w:t>
            </w:r>
            <w:r>
              <w:rPr>
                <w:rFonts w:hint="eastAsia" w:eastAsia="MS Mincho"/>
                <w:color w:val="auto"/>
                <w:sz w:val="18"/>
                <w:szCs w:val="18"/>
                <w:lang w:val="en-US"/>
              </w:rPr>
              <w:t xml:space="preserve"> work with official departments for certain projects...the buyer </w:t>
            </w:r>
            <w:r>
              <w:rPr>
                <w:rFonts w:eastAsia="MS Mincho"/>
                <w:color w:val="auto"/>
                <w:sz w:val="18"/>
                <w:szCs w:val="18"/>
                <w:lang w:val="en-US"/>
              </w:rPr>
              <w:t>cherishes</w:t>
            </w:r>
            <w:r>
              <w:rPr>
                <w:rFonts w:hint="eastAsia" w:eastAsia="MS Mincho"/>
                <w:color w:val="auto"/>
                <w:sz w:val="18"/>
                <w:szCs w:val="18"/>
                <w:lang w:val="en-US"/>
              </w:rPr>
              <w:t xml:space="preserve"> this...</w:t>
            </w:r>
            <w:r>
              <w:rPr>
                <w:rFonts w:eastAsia="MS Mincho"/>
                <w:color w:val="auto"/>
                <w:sz w:val="18"/>
                <w:szCs w:val="18"/>
                <w:lang w:val="en-US"/>
              </w:rPr>
              <w:t>’</w:t>
            </w:r>
          </w:p>
        </w:tc>
        <w:tc>
          <w:tcPr>
            <w:tcW w:w="2179" w:type="dxa"/>
            <w:tcBorders>
              <w:top w:val="nil"/>
              <w:left w:val="nil"/>
              <w:bottom w:val="nil"/>
              <w:right w:val="nil"/>
            </w:tcBorders>
            <w:vAlign w:val="center"/>
          </w:tcPr>
          <w:p w14:paraId="280F0B04">
            <w:pPr>
              <w:widowControl/>
              <w:snapToGrid w:val="0"/>
              <w:spacing w:before="100" w:beforeAutospacing="1" w:line="240" w:lineRule="auto"/>
              <w:ind w:firstLine="0" w:firstLineChars="0"/>
              <w:jc w:val="left"/>
              <w:rPr>
                <w:rFonts w:eastAsia="MS Mincho"/>
                <w:color w:val="auto"/>
                <w:sz w:val="18"/>
                <w:szCs w:val="18"/>
                <w:lang w:val="en-US"/>
              </w:rPr>
            </w:pPr>
            <w:r>
              <w:rPr>
                <w:rFonts w:hint="eastAsia" w:eastAsia="MS Mincho"/>
                <w:color w:val="auto"/>
                <w:sz w:val="18"/>
                <w:szCs w:val="18"/>
                <w:lang w:val="en-US"/>
              </w:rPr>
              <w:t xml:space="preserve">Gained technological parity, shifting relationship </w:t>
            </w:r>
            <w:r>
              <w:rPr>
                <w:rFonts w:eastAsia="MS Mincho"/>
                <w:color w:val="auto"/>
                <w:sz w:val="18"/>
                <w:szCs w:val="18"/>
                <w:lang w:val="en-US"/>
              </w:rPr>
              <w:t>from a buyer-dominated hierarchy to a more collaborative partnership</w:t>
            </w:r>
          </w:p>
        </w:tc>
      </w:tr>
      <w:tr w14:paraId="6C200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nil"/>
              <w:right w:val="nil"/>
            </w:tcBorders>
            <w:shd w:val="clear" w:color="auto" w:fill="D3F4F1" w:themeFill="accent5" w:themeFillTint="33"/>
            <w:vAlign w:val="center"/>
          </w:tcPr>
          <w:p w14:paraId="31E479F4">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SME6–Buyer</w:t>
            </w:r>
            <w:r>
              <w:rPr>
                <w:rFonts w:hint="eastAsia" w:eastAsia="MS Mincho"/>
                <w:b/>
                <w:bCs/>
                <w:color w:val="auto"/>
                <w:sz w:val="18"/>
                <w:szCs w:val="18"/>
                <w:lang w:val="en-US"/>
              </w:rPr>
              <w:t>1</w:t>
            </w:r>
          </w:p>
        </w:tc>
        <w:tc>
          <w:tcPr>
            <w:tcW w:w="1865" w:type="dxa"/>
            <w:tcBorders>
              <w:top w:val="nil"/>
              <w:left w:val="nil"/>
              <w:bottom w:val="nil"/>
              <w:right w:val="nil"/>
            </w:tcBorders>
            <w:vAlign w:val="center"/>
          </w:tcPr>
          <w:p w14:paraId="252759A3">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Industrial consultancy (efficiency); Utility support systems; Behavior</w:t>
            </w:r>
            <w:r>
              <w:rPr>
                <w:rFonts w:hint="eastAsia" w:eastAsia="MS Mincho"/>
                <w:color w:val="auto"/>
                <w:sz w:val="18"/>
                <w:szCs w:val="18"/>
                <w:lang w:val="en-US"/>
              </w:rPr>
              <w:t xml:space="preserve"> supervision</w:t>
            </w:r>
          </w:p>
        </w:tc>
        <w:tc>
          <w:tcPr>
            <w:tcW w:w="1946" w:type="dxa"/>
            <w:tcBorders>
              <w:top w:val="nil"/>
              <w:left w:val="nil"/>
              <w:bottom w:val="nil"/>
              <w:right w:val="nil"/>
            </w:tcBorders>
            <w:vAlign w:val="center"/>
          </w:tcPr>
          <w:p w14:paraId="71A68D71">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Professional institutions; Service providers</w:t>
            </w:r>
            <w:r>
              <w:rPr>
                <w:rFonts w:hint="eastAsia" w:eastAsia="MS Mincho"/>
                <w:color w:val="auto"/>
                <w:sz w:val="18"/>
                <w:szCs w:val="18"/>
                <w:lang w:val="en-US"/>
              </w:rPr>
              <w:t>; Regulations</w:t>
            </w:r>
          </w:p>
        </w:tc>
        <w:tc>
          <w:tcPr>
            <w:tcW w:w="2344" w:type="dxa"/>
            <w:tcBorders>
              <w:top w:val="nil"/>
              <w:left w:val="nil"/>
              <w:bottom w:val="nil"/>
              <w:right w:val="nil"/>
            </w:tcBorders>
            <w:vAlign w:val="center"/>
          </w:tcPr>
          <w:p w14:paraId="1D8D0FFB">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Expert (process optimization); Informational (cost stability)</w:t>
            </w:r>
          </w:p>
        </w:tc>
        <w:tc>
          <w:tcPr>
            <w:tcW w:w="2351" w:type="dxa"/>
            <w:tcBorders>
              <w:top w:val="nil"/>
              <w:left w:val="nil"/>
              <w:bottom w:val="nil"/>
              <w:right w:val="nil"/>
            </w:tcBorders>
            <w:vAlign w:val="center"/>
          </w:tcPr>
          <w:p w14:paraId="47AAC143">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Coercive power constrained (cost-cutting demands mitigated)</w:t>
            </w:r>
          </w:p>
        </w:tc>
        <w:tc>
          <w:tcPr>
            <w:tcW w:w="2905" w:type="dxa"/>
            <w:tcBorders>
              <w:top w:val="nil"/>
              <w:left w:val="nil"/>
              <w:bottom w:val="nil"/>
              <w:right w:val="nil"/>
            </w:tcBorders>
            <w:vAlign w:val="center"/>
          </w:tcPr>
          <w:p w14:paraId="7CC50034">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'Efficiency gains allowed us to absorb their cost pressures without sacrificing margin...'</w:t>
            </w:r>
          </w:p>
        </w:tc>
        <w:tc>
          <w:tcPr>
            <w:tcW w:w="2179" w:type="dxa"/>
            <w:tcBorders>
              <w:top w:val="nil"/>
              <w:left w:val="nil"/>
              <w:bottom w:val="nil"/>
              <w:right w:val="nil"/>
            </w:tcBorders>
            <w:vAlign w:val="center"/>
          </w:tcPr>
          <w:p w14:paraId="2CA5B511">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Improved operational resilience to buyer price pressure</w:t>
            </w:r>
          </w:p>
        </w:tc>
      </w:tr>
      <w:tr w14:paraId="2C40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nil"/>
              <w:right w:val="nil"/>
            </w:tcBorders>
            <w:shd w:val="clear" w:color="auto" w:fill="D3F4F1" w:themeFill="accent5" w:themeFillTint="33"/>
            <w:vAlign w:val="center"/>
          </w:tcPr>
          <w:p w14:paraId="24FEFEBC">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SME6–Buyer3</w:t>
            </w:r>
          </w:p>
        </w:tc>
        <w:tc>
          <w:tcPr>
            <w:tcW w:w="1865" w:type="dxa"/>
            <w:tcBorders>
              <w:top w:val="nil"/>
              <w:left w:val="nil"/>
              <w:bottom w:val="nil"/>
              <w:right w:val="nil"/>
            </w:tcBorders>
            <w:vAlign w:val="center"/>
          </w:tcPr>
          <w:p w14:paraId="657F4158">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Industrial transformation consultancy; Export simplification</w:t>
            </w:r>
            <w:r>
              <w:rPr>
                <w:rFonts w:hint="eastAsia" w:eastAsia="MS Mincho"/>
                <w:color w:val="auto"/>
                <w:sz w:val="18"/>
                <w:szCs w:val="18"/>
                <w:lang w:val="en-US"/>
              </w:rPr>
              <w:t>; Communication channel; Behavior supervision</w:t>
            </w:r>
          </w:p>
        </w:tc>
        <w:tc>
          <w:tcPr>
            <w:tcW w:w="1946" w:type="dxa"/>
            <w:tcBorders>
              <w:top w:val="nil"/>
              <w:left w:val="nil"/>
              <w:bottom w:val="nil"/>
              <w:right w:val="nil"/>
            </w:tcBorders>
            <w:vAlign w:val="center"/>
          </w:tcPr>
          <w:p w14:paraId="5DFABF02">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Professional institutions; Customs authority</w:t>
            </w:r>
            <w:r>
              <w:rPr>
                <w:rFonts w:hint="eastAsia" w:eastAsia="MS Mincho"/>
                <w:color w:val="auto"/>
                <w:sz w:val="18"/>
                <w:szCs w:val="18"/>
                <w:lang w:val="en-US"/>
              </w:rPr>
              <w:t>; Regulations</w:t>
            </w:r>
          </w:p>
        </w:tc>
        <w:tc>
          <w:tcPr>
            <w:tcW w:w="2344" w:type="dxa"/>
            <w:tcBorders>
              <w:top w:val="nil"/>
              <w:left w:val="nil"/>
              <w:bottom w:val="nil"/>
              <w:right w:val="nil"/>
            </w:tcBorders>
            <w:vAlign w:val="center"/>
          </w:tcPr>
          <w:p w14:paraId="777E9B19">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Expert (technology upgrading); Informational (faster export approvals)</w:t>
            </w:r>
          </w:p>
        </w:tc>
        <w:tc>
          <w:tcPr>
            <w:tcW w:w="2351" w:type="dxa"/>
            <w:tcBorders>
              <w:top w:val="nil"/>
              <w:left w:val="nil"/>
              <w:bottom w:val="nil"/>
              <w:right w:val="nil"/>
            </w:tcBorders>
            <w:vAlign w:val="center"/>
          </w:tcPr>
          <w:p w14:paraId="4F10F316">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Coercive power reduced (fewer excuses for order delays)</w:t>
            </w:r>
          </w:p>
          <w:p w14:paraId="584A6723">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hint="eastAsia" w:eastAsia="MS Mincho"/>
                <w:color w:val="auto"/>
                <w:sz w:val="18"/>
                <w:szCs w:val="18"/>
                <w:lang w:val="en-US"/>
              </w:rPr>
              <w:t>Reward power (positive) use encouraged (for the SME</w:t>
            </w:r>
            <w:r>
              <w:rPr>
                <w:rFonts w:eastAsia="MS Mincho"/>
                <w:color w:val="auto"/>
                <w:sz w:val="18"/>
                <w:szCs w:val="18"/>
                <w:lang w:val="en-US"/>
              </w:rPr>
              <w:t>’</w:t>
            </w:r>
            <w:r>
              <w:rPr>
                <w:rFonts w:hint="eastAsia" w:eastAsia="MS Mincho"/>
                <w:color w:val="auto"/>
                <w:sz w:val="18"/>
                <w:szCs w:val="18"/>
                <w:lang w:val="en-US"/>
              </w:rPr>
              <w:t>s tech)</w:t>
            </w:r>
          </w:p>
        </w:tc>
        <w:tc>
          <w:tcPr>
            <w:tcW w:w="2905" w:type="dxa"/>
            <w:tcBorders>
              <w:top w:val="nil"/>
              <w:left w:val="nil"/>
              <w:bottom w:val="nil"/>
              <w:right w:val="nil"/>
            </w:tcBorders>
            <w:vAlign w:val="center"/>
          </w:tcPr>
          <w:p w14:paraId="396382E1">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‘We were encouraged to develop our own technologies…’</w:t>
            </w:r>
          </w:p>
          <w:p w14:paraId="39A0D16C">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w:t>
            </w:r>
            <w:r>
              <w:rPr>
                <w:rFonts w:hint="eastAsia" w:eastAsia="MS Mincho"/>
                <w:color w:val="auto"/>
                <w:sz w:val="18"/>
                <w:szCs w:val="18"/>
                <w:lang w:val="en-US"/>
              </w:rPr>
              <w:t>The buyer talked about technical collaboration...</w:t>
            </w:r>
            <w:r>
              <w:rPr>
                <w:rFonts w:eastAsia="MS Mincho"/>
                <w:color w:val="auto"/>
                <w:sz w:val="18"/>
                <w:szCs w:val="18"/>
                <w:lang w:val="en-US"/>
              </w:rPr>
              <w:t>’</w:t>
            </w:r>
          </w:p>
        </w:tc>
        <w:tc>
          <w:tcPr>
            <w:tcW w:w="2179" w:type="dxa"/>
            <w:tcBorders>
              <w:top w:val="nil"/>
              <w:left w:val="nil"/>
              <w:bottom w:val="nil"/>
              <w:right w:val="nil"/>
            </w:tcBorders>
            <w:vAlign w:val="center"/>
          </w:tcPr>
          <w:p w14:paraId="698EF459">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Increased competitiveness, making the SME less replaceable and reducing buyer leverage</w:t>
            </w:r>
          </w:p>
        </w:tc>
      </w:tr>
      <w:tr w14:paraId="0181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nil"/>
              <w:right w:val="nil"/>
            </w:tcBorders>
            <w:shd w:val="clear" w:color="auto" w:fill="D3F4F1" w:themeFill="accent5" w:themeFillTint="33"/>
            <w:vAlign w:val="center"/>
          </w:tcPr>
          <w:p w14:paraId="5199454E">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SME7–Buyer3</w:t>
            </w:r>
          </w:p>
        </w:tc>
        <w:tc>
          <w:tcPr>
            <w:tcW w:w="1865" w:type="dxa"/>
            <w:tcBorders>
              <w:top w:val="nil"/>
              <w:left w:val="nil"/>
              <w:bottom w:val="nil"/>
              <w:right w:val="nil"/>
            </w:tcBorders>
            <w:vAlign w:val="center"/>
          </w:tcPr>
          <w:p w14:paraId="0004AD50">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Industrial transformation; Promotion; Utility support systems</w:t>
            </w:r>
            <w:r>
              <w:rPr>
                <w:rFonts w:hint="eastAsia" w:eastAsia="MS Mincho"/>
                <w:color w:val="auto"/>
                <w:sz w:val="18"/>
                <w:szCs w:val="18"/>
                <w:lang w:val="en-US"/>
              </w:rPr>
              <w:t>; Communication channel</w:t>
            </w:r>
          </w:p>
        </w:tc>
        <w:tc>
          <w:tcPr>
            <w:tcW w:w="1946" w:type="dxa"/>
            <w:tcBorders>
              <w:top w:val="nil"/>
              <w:left w:val="nil"/>
              <w:bottom w:val="nil"/>
              <w:right w:val="nil"/>
            </w:tcBorders>
            <w:vAlign w:val="center"/>
          </w:tcPr>
          <w:p w14:paraId="4E797FB9">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Professional institutions; Gov</w:t>
            </w:r>
            <w:r>
              <w:rPr>
                <w:rFonts w:hint="eastAsia" w:eastAsia="MS Mincho"/>
                <w:color w:val="auto"/>
                <w:sz w:val="18"/>
                <w:szCs w:val="18"/>
                <w:lang w:val="en-US"/>
              </w:rPr>
              <w:t xml:space="preserve">ernmental </w:t>
            </w:r>
            <w:r>
              <w:rPr>
                <w:rFonts w:eastAsia="MS Mincho"/>
                <w:color w:val="auto"/>
                <w:sz w:val="18"/>
                <w:szCs w:val="18"/>
                <w:lang w:val="en-US"/>
              </w:rPr>
              <w:t>agencies; Service providers</w:t>
            </w:r>
            <w:r>
              <w:rPr>
                <w:rFonts w:hint="eastAsia" w:eastAsia="MS Mincho"/>
                <w:color w:val="auto"/>
                <w:sz w:val="18"/>
                <w:szCs w:val="18"/>
                <w:lang w:val="en-US"/>
              </w:rPr>
              <w:t>; Regulations</w:t>
            </w:r>
          </w:p>
        </w:tc>
        <w:tc>
          <w:tcPr>
            <w:tcW w:w="2344" w:type="dxa"/>
            <w:tcBorders>
              <w:top w:val="nil"/>
              <w:left w:val="nil"/>
              <w:bottom w:val="nil"/>
              <w:right w:val="nil"/>
            </w:tcBorders>
            <w:vAlign w:val="center"/>
          </w:tcPr>
          <w:p w14:paraId="2625B5C0">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Expert (tech upgrading); Referent (promotion alternatives); Informational (stable utilities)</w:t>
            </w:r>
          </w:p>
        </w:tc>
        <w:tc>
          <w:tcPr>
            <w:tcW w:w="2351" w:type="dxa"/>
            <w:tcBorders>
              <w:top w:val="nil"/>
              <w:left w:val="nil"/>
              <w:bottom w:val="nil"/>
              <w:right w:val="nil"/>
            </w:tcBorders>
            <w:vAlign w:val="center"/>
          </w:tcPr>
          <w:p w14:paraId="0FBA4A6A">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 xml:space="preserve">Coercive power constrained (instability reduced); </w:t>
            </w:r>
          </w:p>
          <w:p w14:paraId="78C578CE">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The use of positive reward power is encouraged in relation to the SME’s technology.</w:t>
            </w:r>
          </w:p>
        </w:tc>
        <w:tc>
          <w:tcPr>
            <w:tcW w:w="2905" w:type="dxa"/>
            <w:tcBorders>
              <w:top w:val="nil"/>
              <w:left w:val="nil"/>
              <w:bottom w:val="nil"/>
              <w:right w:val="nil"/>
            </w:tcBorders>
            <w:vAlign w:val="center"/>
          </w:tcPr>
          <w:p w14:paraId="4AB86ECC">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‘Local business communities promoted us…’</w:t>
            </w:r>
          </w:p>
          <w:p w14:paraId="207F5A9C">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'They know we can serve their competitors now.'</w:t>
            </w:r>
          </w:p>
        </w:tc>
        <w:tc>
          <w:tcPr>
            <w:tcW w:w="2179" w:type="dxa"/>
            <w:tcBorders>
              <w:top w:val="nil"/>
              <w:left w:val="nil"/>
              <w:bottom w:val="nil"/>
              <w:right w:val="nil"/>
            </w:tcBorders>
            <w:vAlign w:val="center"/>
          </w:tcPr>
          <w:p w14:paraId="50C3C59F">
            <w:pPr>
              <w:widowControl/>
              <w:snapToGrid w:val="0"/>
              <w:spacing w:before="100" w:beforeAutospacing="1" w:line="240" w:lineRule="auto"/>
              <w:ind w:firstLine="0" w:firstLineChars="0"/>
              <w:jc w:val="left"/>
              <w:rPr>
                <w:rFonts w:eastAsia="MS Mincho"/>
                <w:color w:val="auto"/>
                <w:sz w:val="18"/>
                <w:szCs w:val="18"/>
                <w:lang w:val="en-US"/>
              </w:rPr>
            </w:pPr>
            <w:r>
              <w:rPr>
                <w:rFonts w:hint="eastAsia" w:eastAsia="MS Mincho"/>
                <w:color w:val="auto"/>
                <w:sz w:val="18"/>
                <w:szCs w:val="18"/>
                <w:lang w:val="en-US"/>
              </w:rPr>
              <w:t>Reduced buyer opportunism by eliminating excuses for coercion, forcing them to use more collaborate approach.</w:t>
            </w:r>
          </w:p>
        </w:tc>
      </w:tr>
      <w:tr w14:paraId="3B9A0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nil"/>
              <w:right w:val="nil"/>
            </w:tcBorders>
            <w:shd w:val="clear" w:color="auto" w:fill="D3F4F1" w:themeFill="accent5" w:themeFillTint="33"/>
            <w:vAlign w:val="center"/>
          </w:tcPr>
          <w:p w14:paraId="59424979">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SME8–Buyer</w:t>
            </w:r>
            <w:r>
              <w:rPr>
                <w:rFonts w:hint="eastAsia" w:eastAsia="MS Mincho"/>
                <w:b/>
                <w:bCs/>
                <w:color w:val="auto"/>
                <w:sz w:val="18"/>
                <w:szCs w:val="18"/>
                <w:lang w:val="en-US"/>
              </w:rPr>
              <w:t>2</w:t>
            </w:r>
          </w:p>
        </w:tc>
        <w:tc>
          <w:tcPr>
            <w:tcW w:w="1865" w:type="dxa"/>
            <w:tcBorders>
              <w:top w:val="nil"/>
              <w:left w:val="nil"/>
              <w:bottom w:val="nil"/>
              <w:right w:val="nil"/>
            </w:tcBorders>
            <w:vAlign w:val="center"/>
          </w:tcPr>
          <w:p w14:paraId="5F0998EC">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Platform access; Benefit redistribution</w:t>
            </w:r>
            <w:r>
              <w:rPr>
                <w:rFonts w:hint="eastAsia" w:eastAsia="MS Mincho"/>
                <w:color w:val="auto"/>
                <w:sz w:val="18"/>
                <w:szCs w:val="18"/>
                <w:lang w:val="en-US"/>
              </w:rPr>
              <w:t xml:space="preserve">; Communication channel </w:t>
            </w:r>
          </w:p>
        </w:tc>
        <w:tc>
          <w:tcPr>
            <w:tcW w:w="1946" w:type="dxa"/>
            <w:tcBorders>
              <w:top w:val="nil"/>
              <w:left w:val="nil"/>
              <w:bottom w:val="nil"/>
              <w:right w:val="nil"/>
            </w:tcBorders>
            <w:vAlign w:val="center"/>
          </w:tcPr>
          <w:p w14:paraId="0E3C859B">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International associations; Gov</w:t>
            </w:r>
            <w:r>
              <w:rPr>
                <w:rFonts w:hint="eastAsia" w:eastAsia="MS Mincho"/>
                <w:color w:val="auto"/>
                <w:sz w:val="18"/>
                <w:szCs w:val="18"/>
                <w:lang w:val="en-US"/>
              </w:rPr>
              <w:t xml:space="preserve">ernmental </w:t>
            </w:r>
            <w:r>
              <w:rPr>
                <w:rFonts w:eastAsia="MS Mincho"/>
                <w:color w:val="auto"/>
                <w:sz w:val="18"/>
                <w:szCs w:val="18"/>
                <w:lang w:val="en-US"/>
              </w:rPr>
              <w:t>agencies</w:t>
            </w:r>
            <w:r>
              <w:rPr>
                <w:rFonts w:hint="eastAsia" w:eastAsia="MS Mincho"/>
                <w:color w:val="auto"/>
                <w:sz w:val="18"/>
                <w:szCs w:val="18"/>
                <w:lang w:val="en-US"/>
              </w:rPr>
              <w:t>; Regulations</w:t>
            </w:r>
          </w:p>
        </w:tc>
        <w:tc>
          <w:tcPr>
            <w:tcW w:w="2344" w:type="dxa"/>
            <w:tcBorders>
              <w:top w:val="nil"/>
              <w:left w:val="nil"/>
              <w:bottom w:val="nil"/>
              <w:right w:val="nil"/>
            </w:tcBorders>
            <w:vAlign w:val="center"/>
          </w:tcPr>
          <w:p w14:paraId="42DE460D">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Referent (alternative client access); Informational (market credibility)</w:t>
            </w:r>
          </w:p>
        </w:tc>
        <w:tc>
          <w:tcPr>
            <w:tcW w:w="2351" w:type="dxa"/>
            <w:tcBorders>
              <w:top w:val="nil"/>
              <w:left w:val="nil"/>
              <w:bottom w:val="nil"/>
              <w:right w:val="nil"/>
            </w:tcBorders>
            <w:vAlign w:val="center"/>
          </w:tcPr>
          <w:p w14:paraId="64324A25">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The use of negative reward power is reduced, as order volume leverage has decreased.</w:t>
            </w:r>
          </w:p>
        </w:tc>
        <w:tc>
          <w:tcPr>
            <w:tcW w:w="2905" w:type="dxa"/>
            <w:tcBorders>
              <w:top w:val="nil"/>
              <w:left w:val="nil"/>
              <w:bottom w:val="nil"/>
              <w:right w:val="nil"/>
            </w:tcBorders>
            <w:vAlign w:val="center"/>
          </w:tcPr>
          <w:p w14:paraId="78535D15">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'We used the international platform to replace the lost orders, reducing our dependence on them...</w:t>
            </w:r>
          </w:p>
        </w:tc>
        <w:tc>
          <w:tcPr>
            <w:tcW w:w="2179" w:type="dxa"/>
            <w:tcBorders>
              <w:top w:val="nil"/>
              <w:left w:val="nil"/>
              <w:bottom w:val="nil"/>
              <w:right w:val="nil"/>
            </w:tcBorders>
            <w:vAlign w:val="center"/>
          </w:tcPr>
          <w:p w14:paraId="3126E132">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Diversified revenue streams, weakening buyer's reward power</w:t>
            </w:r>
          </w:p>
        </w:tc>
      </w:tr>
      <w:tr w14:paraId="6DB9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nil"/>
              <w:right w:val="nil"/>
            </w:tcBorders>
            <w:shd w:val="clear" w:color="auto" w:fill="D3F4F1" w:themeFill="accent5" w:themeFillTint="33"/>
            <w:vAlign w:val="center"/>
          </w:tcPr>
          <w:p w14:paraId="1F97EAE2">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SME8–Buyer4</w:t>
            </w:r>
          </w:p>
        </w:tc>
        <w:tc>
          <w:tcPr>
            <w:tcW w:w="1865" w:type="dxa"/>
            <w:tcBorders>
              <w:top w:val="nil"/>
              <w:left w:val="nil"/>
              <w:bottom w:val="nil"/>
              <w:right w:val="nil"/>
            </w:tcBorders>
            <w:vAlign w:val="center"/>
          </w:tcPr>
          <w:p w14:paraId="221AB2C0">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Platform to international markets; Benefit redistribution; Behavior</w:t>
            </w:r>
            <w:r>
              <w:rPr>
                <w:rFonts w:hint="eastAsia" w:eastAsia="MS Mincho"/>
                <w:color w:val="auto"/>
                <w:sz w:val="18"/>
                <w:szCs w:val="18"/>
                <w:lang w:val="en-US"/>
              </w:rPr>
              <w:t xml:space="preserve"> supervision</w:t>
            </w:r>
          </w:p>
        </w:tc>
        <w:tc>
          <w:tcPr>
            <w:tcW w:w="1946" w:type="dxa"/>
            <w:tcBorders>
              <w:top w:val="nil"/>
              <w:left w:val="nil"/>
              <w:bottom w:val="nil"/>
              <w:right w:val="nil"/>
            </w:tcBorders>
            <w:vAlign w:val="center"/>
          </w:tcPr>
          <w:p w14:paraId="754830A3">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International associations; Gov</w:t>
            </w:r>
            <w:r>
              <w:rPr>
                <w:rFonts w:hint="eastAsia" w:eastAsia="MS Mincho"/>
                <w:color w:val="auto"/>
                <w:sz w:val="18"/>
                <w:szCs w:val="18"/>
                <w:lang w:val="en-US"/>
              </w:rPr>
              <w:t xml:space="preserve">ernmental </w:t>
            </w:r>
            <w:r>
              <w:rPr>
                <w:rFonts w:eastAsia="MS Mincho"/>
                <w:color w:val="auto"/>
                <w:sz w:val="18"/>
                <w:szCs w:val="18"/>
                <w:lang w:val="en-US"/>
              </w:rPr>
              <w:t>agencies</w:t>
            </w:r>
            <w:r>
              <w:rPr>
                <w:rFonts w:hint="eastAsia" w:eastAsia="MS Mincho"/>
                <w:color w:val="auto"/>
                <w:sz w:val="18"/>
                <w:szCs w:val="18"/>
                <w:lang w:val="en-US"/>
              </w:rPr>
              <w:t>; Regulations</w:t>
            </w:r>
          </w:p>
        </w:tc>
        <w:tc>
          <w:tcPr>
            <w:tcW w:w="2344" w:type="dxa"/>
            <w:tcBorders>
              <w:top w:val="nil"/>
              <w:left w:val="nil"/>
              <w:bottom w:val="nil"/>
              <w:right w:val="nil"/>
            </w:tcBorders>
            <w:vAlign w:val="center"/>
          </w:tcPr>
          <w:p w14:paraId="6D7EC297">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Referent (international buyer access); Informational (policy credibility)</w:t>
            </w:r>
          </w:p>
        </w:tc>
        <w:tc>
          <w:tcPr>
            <w:tcW w:w="2351" w:type="dxa"/>
            <w:tcBorders>
              <w:top w:val="nil"/>
              <w:left w:val="nil"/>
              <w:bottom w:val="nil"/>
              <w:right w:val="nil"/>
            </w:tcBorders>
            <w:vAlign w:val="center"/>
          </w:tcPr>
          <w:p w14:paraId="32FC11EB">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Coercive power reduced (funds shifted away);</w:t>
            </w:r>
          </w:p>
          <w:p w14:paraId="0B482FFA">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The use of negative reward power is reduced, as order volume leverage has decreased.</w:t>
            </w:r>
          </w:p>
        </w:tc>
        <w:tc>
          <w:tcPr>
            <w:tcW w:w="2905" w:type="dxa"/>
            <w:tcBorders>
              <w:top w:val="nil"/>
              <w:left w:val="nil"/>
              <w:bottom w:val="nil"/>
              <w:right w:val="nil"/>
            </w:tcBorders>
            <w:vAlign w:val="center"/>
          </w:tcPr>
          <w:p w14:paraId="6B6547DC">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‘Commercial associations became the bridge to clients abroad…’</w:t>
            </w:r>
          </w:p>
          <w:p w14:paraId="2782AC0C">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w:t>
            </w:r>
            <w:r>
              <w:rPr>
                <w:rFonts w:hint="eastAsia" w:eastAsia="MS Mincho"/>
                <w:color w:val="auto"/>
                <w:sz w:val="18"/>
                <w:szCs w:val="18"/>
                <w:lang w:val="en-US"/>
              </w:rPr>
              <w:t>W</w:t>
            </w:r>
            <w:r>
              <w:rPr>
                <w:rFonts w:eastAsia="MS Mincho"/>
                <w:color w:val="auto"/>
                <w:sz w:val="18"/>
                <w:szCs w:val="18"/>
                <w:lang w:val="en-US"/>
              </w:rPr>
              <w:t>e are no longer solely dependent on the MNC's orders.'</w:t>
            </w:r>
          </w:p>
        </w:tc>
        <w:tc>
          <w:tcPr>
            <w:tcW w:w="2179" w:type="dxa"/>
            <w:tcBorders>
              <w:top w:val="nil"/>
              <w:left w:val="nil"/>
              <w:bottom w:val="nil"/>
              <w:right w:val="nil"/>
            </w:tcBorders>
            <w:vAlign w:val="center"/>
          </w:tcPr>
          <w:p w14:paraId="5B0F1C34">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Diversified dependence; reduced MNC dominance</w:t>
            </w:r>
          </w:p>
        </w:tc>
      </w:tr>
      <w:tr w14:paraId="619A9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nil"/>
              <w:right w:val="nil"/>
            </w:tcBorders>
            <w:shd w:val="clear" w:color="auto" w:fill="D3F4F1" w:themeFill="accent5" w:themeFillTint="33"/>
            <w:vAlign w:val="center"/>
          </w:tcPr>
          <w:p w14:paraId="0E01F6AB">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SME9–Buyer4</w:t>
            </w:r>
          </w:p>
        </w:tc>
        <w:tc>
          <w:tcPr>
            <w:tcW w:w="1865" w:type="dxa"/>
            <w:tcBorders>
              <w:top w:val="nil"/>
              <w:left w:val="nil"/>
              <w:bottom w:val="nil"/>
              <w:right w:val="nil"/>
            </w:tcBorders>
            <w:vAlign w:val="center"/>
          </w:tcPr>
          <w:p w14:paraId="7C60AE72">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Legal support; Utility support systems; Behavior</w:t>
            </w:r>
            <w:r>
              <w:rPr>
                <w:rFonts w:hint="eastAsia" w:eastAsia="MS Mincho"/>
                <w:color w:val="auto"/>
                <w:sz w:val="18"/>
                <w:szCs w:val="18"/>
                <w:lang w:val="en-US"/>
              </w:rPr>
              <w:t xml:space="preserve"> supervision</w:t>
            </w:r>
          </w:p>
        </w:tc>
        <w:tc>
          <w:tcPr>
            <w:tcW w:w="1946" w:type="dxa"/>
            <w:tcBorders>
              <w:top w:val="nil"/>
              <w:left w:val="nil"/>
              <w:bottom w:val="nil"/>
              <w:right w:val="nil"/>
            </w:tcBorders>
            <w:vAlign w:val="center"/>
          </w:tcPr>
          <w:p w14:paraId="241151B0">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Government agencies; Service providers</w:t>
            </w:r>
            <w:r>
              <w:rPr>
                <w:rFonts w:hint="eastAsia" w:eastAsia="MS Mincho"/>
                <w:color w:val="auto"/>
                <w:sz w:val="18"/>
                <w:szCs w:val="18"/>
                <w:lang w:val="en-US"/>
              </w:rPr>
              <w:t>; Regulations</w:t>
            </w:r>
          </w:p>
        </w:tc>
        <w:tc>
          <w:tcPr>
            <w:tcW w:w="2344" w:type="dxa"/>
            <w:tcBorders>
              <w:top w:val="nil"/>
              <w:left w:val="nil"/>
              <w:bottom w:val="nil"/>
              <w:right w:val="nil"/>
            </w:tcBorders>
            <w:vAlign w:val="center"/>
          </w:tcPr>
          <w:p w14:paraId="47779398">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Informational (legal legitimacy); Expert/continuity (stable ops)</w:t>
            </w:r>
          </w:p>
        </w:tc>
        <w:tc>
          <w:tcPr>
            <w:tcW w:w="2351" w:type="dxa"/>
            <w:tcBorders>
              <w:top w:val="nil"/>
              <w:left w:val="nil"/>
              <w:bottom w:val="nil"/>
              <w:right w:val="nil"/>
            </w:tcBorders>
            <w:vAlign w:val="center"/>
          </w:tcPr>
          <w:p w14:paraId="51661312">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Coercive power constrained (payment disputes monitored)</w:t>
            </w:r>
          </w:p>
        </w:tc>
        <w:tc>
          <w:tcPr>
            <w:tcW w:w="2905" w:type="dxa"/>
            <w:tcBorders>
              <w:top w:val="nil"/>
              <w:left w:val="nil"/>
              <w:bottom w:val="nil"/>
              <w:right w:val="nil"/>
            </w:tcBorders>
            <w:vAlign w:val="center"/>
          </w:tcPr>
          <w:p w14:paraId="53F6861C">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‘Only after legal support our words were accepted…’</w:t>
            </w:r>
          </w:p>
          <w:p w14:paraId="3383C194">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'Now we can guarantee timelines they can't challenge.'</w:t>
            </w:r>
          </w:p>
        </w:tc>
        <w:tc>
          <w:tcPr>
            <w:tcW w:w="2179" w:type="dxa"/>
            <w:tcBorders>
              <w:top w:val="nil"/>
              <w:left w:val="nil"/>
              <w:bottom w:val="nil"/>
              <w:right w:val="nil"/>
            </w:tcBorders>
            <w:vAlign w:val="center"/>
          </w:tcPr>
          <w:p w14:paraId="60A629B3">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 xml:space="preserve">Buyers’ opportunism curtailed; </w:t>
            </w:r>
            <w:r>
              <w:rPr>
                <w:rFonts w:hint="eastAsia" w:eastAsia="MS Mincho"/>
                <w:color w:val="auto"/>
                <w:sz w:val="18"/>
                <w:szCs w:val="18"/>
                <w:lang w:val="en-US"/>
              </w:rPr>
              <w:t>effectively protecting the SME's financial interests</w:t>
            </w:r>
          </w:p>
        </w:tc>
      </w:tr>
      <w:tr w14:paraId="0827D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nil"/>
              <w:right w:val="nil"/>
            </w:tcBorders>
            <w:shd w:val="clear" w:color="auto" w:fill="D3F4F1" w:themeFill="accent5" w:themeFillTint="33"/>
            <w:vAlign w:val="center"/>
          </w:tcPr>
          <w:p w14:paraId="02A6DA24">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SME10–Buyer</w:t>
            </w:r>
            <w:r>
              <w:rPr>
                <w:rFonts w:hint="eastAsia" w:eastAsia="MS Mincho"/>
                <w:b/>
                <w:bCs/>
                <w:color w:val="auto"/>
                <w:sz w:val="18"/>
                <w:szCs w:val="18"/>
                <w:lang w:val="en-US"/>
              </w:rPr>
              <w:t>3</w:t>
            </w:r>
          </w:p>
        </w:tc>
        <w:tc>
          <w:tcPr>
            <w:tcW w:w="1865" w:type="dxa"/>
            <w:tcBorders>
              <w:top w:val="nil"/>
              <w:left w:val="nil"/>
              <w:bottom w:val="nil"/>
              <w:right w:val="nil"/>
            </w:tcBorders>
            <w:vAlign w:val="center"/>
          </w:tcPr>
          <w:p w14:paraId="560B586A">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International platform support; Utility support systems</w:t>
            </w:r>
          </w:p>
        </w:tc>
        <w:tc>
          <w:tcPr>
            <w:tcW w:w="1946" w:type="dxa"/>
            <w:tcBorders>
              <w:top w:val="nil"/>
              <w:left w:val="nil"/>
              <w:bottom w:val="nil"/>
              <w:right w:val="nil"/>
            </w:tcBorders>
            <w:vAlign w:val="center"/>
          </w:tcPr>
          <w:p w14:paraId="0C4BC357">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Professional associations; Government agencies</w:t>
            </w:r>
            <w:r>
              <w:rPr>
                <w:rFonts w:hint="eastAsia" w:eastAsia="MS Mincho"/>
                <w:color w:val="auto"/>
                <w:sz w:val="18"/>
                <w:szCs w:val="18"/>
                <w:lang w:val="en-US"/>
              </w:rPr>
              <w:t>; Regulations</w:t>
            </w:r>
          </w:p>
        </w:tc>
        <w:tc>
          <w:tcPr>
            <w:tcW w:w="2344" w:type="dxa"/>
            <w:tcBorders>
              <w:top w:val="nil"/>
              <w:left w:val="nil"/>
              <w:bottom w:val="nil"/>
              <w:right w:val="nil"/>
            </w:tcBorders>
            <w:vAlign w:val="center"/>
          </w:tcPr>
          <w:p w14:paraId="51918924">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Referent (global networks); Expert (operational stability)</w:t>
            </w:r>
          </w:p>
        </w:tc>
        <w:tc>
          <w:tcPr>
            <w:tcW w:w="2351" w:type="dxa"/>
            <w:tcBorders>
              <w:top w:val="nil"/>
              <w:left w:val="nil"/>
              <w:bottom w:val="nil"/>
              <w:right w:val="nil"/>
            </w:tcBorders>
            <w:vAlign w:val="center"/>
          </w:tcPr>
          <w:p w14:paraId="57470E2E">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Coercive power constrained (supply instability arguments negated)</w:t>
            </w:r>
          </w:p>
        </w:tc>
        <w:tc>
          <w:tcPr>
            <w:tcW w:w="2905" w:type="dxa"/>
            <w:tcBorders>
              <w:top w:val="nil"/>
              <w:left w:val="nil"/>
              <w:bottom w:val="nil"/>
              <w:right w:val="nil"/>
            </w:tcBorders>
            <w:vAlign w:val="center"/>
          </w:tcPr>
          <w:p w14:paraId="5BF7EE53">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'With stable utilities and new clients, their threats to switch suppliers lost credibility...'</w:t>
            </w:r>
          </w:p>
        </w:tc>
        <w:tc>
          <w:tcPr>
            <w:tcW w:w="2179" w:type="dxa"/>
            <w:tcBorders>
              <w:top w:val="nil"/>
              <w:left w:val="nil"/>
              <w:bottom w:val="nil"/>
              <w:right w:val="nil"/>
            </w:tcBorders>
            <w:vAlign w:val="center"/>
          </w:tcPr>
          <w:p w14:paraId="517ECA68">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Secured production reliability, making the SME less replaceable</w:t>
            </w:r>
          </w:p>
        </w:tc>
      </w:tr>
      <w:tr w14:paraId="5F30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jc w:val="center"/>
        </w:trPr>
        <w:tc>
          <w:tcPr>
            <w:tcW w:w="1357" w:type="dxa"/>
            <w:tcBorders>
              <w:top w:val="nil"/>
              <w:left w:val="nil"/>
              <w:bottom w:val="single" w:color="auto" w:sz="12" w:space="0"/>
              <w:right w:val="nil"/>
            </w:tcBorders>
            <w:shd w:val="clear" w:color="auto" w:fill="D3F4F1" w:themeFill="accent5" w:themeFillTint="33"/>
            <w:vAlign w:val="center"/>
          </w:tcPr>
          <w:p w14:paraId="7AD5501A">
            <w:pPr>
              <w:widowControl/>
              <w:snapToGrid w:val="0"/>
              <w:spacing w:before="100" w:beforeAutospacing="1" w:line="240" w:lineRule="auto"/>
              <w:ind w:firstLine="0" w:firstLineChars="0"/>
              <w:jc w:val="center"/>
              <w:rPr>
                <w:rFonts w:eastAsia="MS Mincho"/>
                <w:b/>
                <w:bCs/>
                <w:color w:val="auto"/>
                <w:sz w:val="18"/>
                <w:szCs w:val="18"/>
                <w:lang w:val="en-US"/>
              </w:rPr>
            </w:pPr>
            <w:r>
              <w:rPr>
                <w:rFonts w:eastAsia="MS Mincho"/>
                <w:b/>
                <w:bCs/>
                <w:color w:val="auto"/>
                <w:sz w:val="18"/>
                <w:szCs w:val="18"/>
                <w:lang w:val="en-US"/>
              </w:rPr>
              <w:t>SME10–Buyer4</w:t>
            </w:r>
          </w:p>
        </w:tc>
        <w:tc>
          <w:tcPr>
            <w:tcW w:w="1865" w:type="dxa"/>
            <w:tcBorders>
              <w:top w:val="nil"/>
              <w:left w:val="nil"/>
              <w:bottom w:val="single" w:color="auto" w:sz="12" w:space="0"/>
              <w:right w:val="nil"/>
            </w:tcBorders>
            <w:vAlign w:val="center"/>
          </w:tcPr>
          <w:p w14:paraId="646EF7BE">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International platform support</w:t>
            </w:r>
            <w:r>
              <w:rPr>
                <w:rFonts w:hint="eastAsia" w:eastAsia="MS Mincho"/>
                <w:color w:val="auto"/>
                <w:sz w:val="18"/>
                <w:szCs w:val="18"/>
                <w:lang w:val="en-US"/>
              </w:rPr>
              <w:t xml:space="preserve">; </w:t>
            </w:r>
            <w:r>
              <w:rPr>
                <w:rFonts w:eastAsia="MS Mincho"/>
                <w:color w:val="auto"/>
                <w:sz w:val="18"/>
                <w:szCs w:val="18"/>
                <w:lang w:val="en-US"/>
              </w:rPr>
              <w:t>Utility support systems</w:t>
            </w:r>
            <w:r>
              <w:rPr>
                <w:rFonts w:hint="eastAsia" w:eastAsia="MS Mincho"/>
                <w:color w:val="auto"/>
                <w:sz w:val="18"/>
                <w:szCs w:val="18"/>
                <w:lang w:val="en-US"/>
              </w:rPr>
              <w:t>; Promotion events</w:t>
            </w:r>
          </w:p>
        </w:tc>
        <w:tc>
          <w:tcPr>
            <w:tcW w:w="1946" w:type="dxa"/>
            <w:tcBorders>
              <w:top w:val="nil"/>
              <w:left w:val="nil"/>
              <w:bottom w:val="single" w:color="auto" w:sz="12" w:space="0"/>
              <w:right w:val="nil"/>
            </w:tcBorders>
            <w:vAlign w:val="center"/>
          </w:tcPr>
          <w:p w14:paraId="10232F6F">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Professional associations</w:t>
            </w:r>
            <w:r>
              <w:rPr>
                <w:rFonts w:hint="eastAsia" w:eastAsia="MS Mincho"/>
                <w:color w:val="auto"/>
                <w:sz w:val="18"/>
                <w:szCs w:val="18"/>
                <w:lang w:val="en-US"/>
              </w:rPr>
              <w:t xml:space="preserve">; </w:t>
            </w:r>
            <w:r>
              <w:rPr>
                <w:rFonts w:eastAsia="MS Mincho"/>
                <w:color w:val="auto"/>
                <w:sz w:val="18"/>
                <w:szCs w:val="18"/>
                <w:lang w:val="en-US"/>
              </w:rPr>
              <w:t>Government agencies;</w:t>
            </w:r>
            <w:r>
              <w:rPr>
                <w:rFonts w:hint="eastAsia" w:eastAsia="MS Mincho"/>
                <w:color w:val="auto"/>
                <w:sz w:val="18"/>
                <w:szCs w:val="18"/>
                <w:lang w:val="en-US"/>
              </w:rPr>
              <w:t>; Regulations</w:t>
            </w:r>
          </w:p>
        </w:tc>
        <w:tc>
          <w:tcPr>
            <w:tcW w:w="2344" w:type="dxa"/>
            <w:tcBorders>
              <w:top w:val="nil"/>
              <w:left w:val="nil"/>
              <w:bottom w:val="single" w:color="auto" w:sz="12" w:space="0"/>
              <w:right w:val="nil"/>
            </w:tcBorders>
            <w:vAlign w:val="center"/>
          </w:tcPr>
          <w:p w14:paraId="30DF6F05">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hint="eastAsia" w:eastAsia="MS Mincho"/>
                <w:color w:val="auto"/>
                <w:sz w:val="18"/>
                <w:szCs w:val="18"/>
                <w:lang w:val="en-US"/>
              </w:rPr>
              <w:t>Expert (professional technical consultancy)</w:t>
            </w:r>
          </w:p>
          <w:p w14:paraId="06B2E76A">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Referent (global networks)</w:t>
            </w:r>
          </w:p>
        </w:tc>
        <w:tc>
          <w:tcPr>
            <w:tcW w:w="2351" w:type="dxa"/>
            <w:tcBorders>
              <w:top w:val="nil"/>
              <w:left w:val="nil"/>
              <w:bottom w:val="single" w:color="auto" w:sz="12" w:space="0"/>
              <w:right w:val="nil"/>
            </w:tcBorders>
            <w:vAlign w:val="center"/>
          </w:tcPr>
          <w:p w14:paraId="186483C2">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 xml:space="preserve">Coercive power constrained </w:t>
            </w:r>
            <w:r>
              <w:rPr>
                <w:rFonts w:hint="eastAsia" w:eastAsia="MS Mincho"/>
                <w:color w:val="auto"/>
                <w:sz w:val="18"/>
                <w:szCs w:val="18"/>
                <w:lang w:val="en-US"/>
              </w:rPr>
              <w:t>(Proactive diversification negated coercive leverage);</w:t>
            </w:r>
          </w:p>
          <w:p w14:paraId="631F706F">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Negative reward power is diminished due to reduced control over rewarding resources.</w:t>
            </w:r>
          </w:p>
        </w:tc>
        <w:tc>
          <w:tcPr>
            <w:tcW w:w="2905" w:type="dxa"/>
            <w:tcBorders>
              <w:top w:val="nil"/>
              <w:left w:val="nil"/>
              <w:bottom w:val="single" w:color="auto" w:sz="12" w:space="0"/>
              <w:right w:val="nil"/>
            </w:tcBorders>
            <w:vAlign w:val="center"/>
          </w:tcPr>
          <w:p w14:paraId="48292CB0">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‘Associations linked us with international clients…’</w:t>
            </w:r>
          </w:p>
          <w:p w14:paraId="6EA43806">
            <w:pPr>
              <w:widowControl/>
              <w:snapToGrid w:val="0"/>
              <w:spacing w:before="100" w:beforeAutospacing="1" w:line="240" w:lineRule="auto"/>
              <w:ind w:firstLine="0" w:firstLineChars="0"/>
              <w:contextualSpacing/>
              <w:jc w:val="left"/>
              <w:rPr>
                <w:rFonts w:eastAsia="MS Mincho"/>
                <w:color w:val="auto"/>
                <w:sz w:val="18"/>
                <w:szCs w:val="18"/>
                <w:lang w:val="en-US"/>
              </w:rPr>
            </w:pPr>
            <w:r>
              <w:rPr>
                <w:rFonts w:eastAsia="MS Mincho"/>
                <w:color w:val="auto"/>
                <w:sz w:val="18"/>
                <w:szCs w:val="18"/>
                <w:lang w:val="en-US"/>
              </w:rPr>
              <w:t>‘</w:t>
            </w:r>
            <w:r>
              <w:rPr>
                <w:rFonts w:hint="eastAsia" w:eastAsia="MS Mincho"/>
                <w:color w:val="auto"/>
                <w:sz w:val="18"/>
                <w:szCs w:val="18"/>
                <w:lang w:val="en-US"/>
              </w:rPr>
              <w:t>We started to have regular events about important resources sharing...</w:t>
            </w:r>
            <w:r>
              <w:rPr>
                <w:rFonts w:eastAsia="MS Mincho"/>
                <w:color w:val="auto"/>
                <w:sz w:val="18"/>
                <w:szCs w:val="18"/>
                <w:lang w:val="en-US"/>
              </w:rPr>
              <w:t>’</w:t>
            </w:r>
          </w:p>
        </w:tc>
        <w:tc>
          <w:tcPr>
            <w:tcW w:w="2179" w:type="dxa"/>
            <w:tcBorders>
              <w:top w:val="nil"/>
              <w:left w:val="nil"/>
              <w:bottom w:val="single" w:color="auto" w:sz="12" w:space="0"/>
              <w:right w:val="nil"/>
            </w:tcBorders>
            <w:vAlign w:val="center"/>
          </w:tcPr>
          <w:p w14:paraId="2D062116">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Created new, alternative partnerships, fundamentally reducing the SME's structural dependency on any single buyer</w:t>
            </w:r>
          </w:p>
        </w:tc>
      </w:tr>
    </w:tbl>
    <w:p w14:paraId="535C2692">
      <w:pPr>
        <w:widowControl/>
        <w:snapToGrid w:val="0"/>
        <w:spacing w:before="100" w:beforeAutospacing="1" w:line="240" w:lineRule="auto"/>
        <w:ind w:firstLine="0" w:firstLineChars="0"/>
        <w:jc w:val="left"/>
        <w:rPr>
          <w:rFonts w:eastAsia="MS Mincho"/>
          <w:color w:val="auto"/>
          <w:sz w:val="18"/>
          <w:szCs w:val="18"/>
          <w:lang w:val="en-US"/>
        </w:rPr>
      </w:pPr>
      <w:r>
        <w:rPr>
          <w:rFonts w:eastAsia="MS Mincho"/>
          <w:color w:val="auto"/>
          <w:sz w:val="18"/>
          <w:szCs w:val="18"/>
          <w:lang w:val="en-US"/>
        </w:rPr>
        <w:t xml:space="preserve"> </w:t>
      </w:r>
    </w:p>
    <w:p w14:paraId="43993CCA">
      <w:pPr>
        <w:rPr>
          <w:rFonts w:hint="eastAsia"/>
          <w:color w:val="auto"/>
          <w:lang w:val="en-US" w:eastAsia="zh-CN"/>
        </w:rPr>
      </w:pPr>
      <w:r>
        <w:rPr>
          <w:rFonts w:hint="eastAsia"/>
          <w:color w:val="auto"/>
          <w:lang w:val="en-US" w:eastAsia="zh-CN"/>
        </w:rPr>
        <w:br w:type="page"/>
      </w:r>
    </w:p>
    <w:p w14:paraId="52CCBE4E">
      <w:pPr>
        <w:spacing w:line="240" w:lineRule="auto"/>
        <w:jc w:val="center"/>
        <w:rPr>
          <w:rFonts w:hint="default"/>
          <w:b/>
          <w:bCs/>
          <w:color w:val="00B0F0"/>
          <w:lang w:val="en-US" w:eastAsia="zh-CN"/>
        </w:rPr>
      </w:pPr>
      <w:r>
        <w:rPr>
          <w:rFonts w:hint="eastAsia"/>
          <w:b/>
          <w:bCs/>
          <w:color w:val="00B0F0"/>
          <w:lang w:val="en-US" w:eastAsia="zh-CN"/>
        </w:rPr>
        <w:t>Appendix 4 Examples of Documentary Evidence</w:t>
      </w:r>
    </w:p>
    <w:tbl>
      <w:tblPr>
        <w:tblStyle w:val="5"/>
        <w:tblW w:w="141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6"/>
        <w:gridCol w:w="4486"/>
        <w:gridCol w:w="6612"/>
      </w:tblGrid>
      <w:tr w14:paraId="5CC9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tcBorders>
              <w:top w:val="single" w:color="auto" w:sz="12" w:space="0"/>
              <w:left w:val="nil"/>
              <w:bottom w:val="single" w:color="auto" w:sz="4" w:space="0"/>
              <w:right w:val="nil"/>
            </w:tcBorders>
            <w:vAlign w:val="center"/>
          </w:tcPr>
          <w:p w14:paraId="66765304">
            <w:pPr>
              <w:keepNext w:val="0"/>
              <w:keepLines w:val="0"/>
              <w:widowControl/>
              <w:suppressLineNumbers w:val="0"/>
              <w:snapToGrid w:val="0"/>
              <w:spacing w:line="240" w:lineRule="auto"/>
              <w:ind w:left="0" w:leftChars="0" w:right="0" w:rightChars="0" w:firstLine="0" w:firstLineChars="0"/>
              <w:jc w:val="center"/>
              <w:rPr>
                <w:rFonts w:hint="eastAsia"/>
                <w:b/>
                <w:bCs/>
                <w:color w:val="00B0F0"/>
                <w:vertAlign w:val="baseline"/>
                <w:lang w:val="en-US" w:eastAsia="zh-CN"/>
              </w:rPr>
            </w:pPr>
            <w:r>
              <w:rPr>
                <w:rStyle w:val="7"/>
                <w:rFonts w:hint="default" w:ascii="Times New Roman" w:hAnsi="Times New Roman" w:eastAsia="宋体" w:cs="Times New Roman"/>
                <w:b/>
                <w:color w:val="00B0F0"/>
                <w:kern w:val="0"/>
                <w:sz w:val="24"/>
                <w:szCs w:val="24"/>
                <w:lang w:val="en-US" w:eastAsia="zh-CN" w:bidi="ar"/>
              </w:rPr>
              <w:t>Document Type &amp; Purpose</w:t>
            </w:r>
          </w:p>
        </w:tc>
        <w:tc>
          <w:tcPr>
            <w:tcW w:w="4486" w:type="dxa"/>
            <w:tcBorders>
              <w:top w:val="single" w:color="auto" w:sz="12" w:space="0"/>
              <w:left w:val="nil"/>
              <w:bottom w:val="single" w:color="auto" w:sz="4" w:space="0"/>
              <w:right w:val="nil"/>
            </w:tcBorders>
            <w:vAlign w:val="center"/>
          </w:tcPr>
          <w:p w14:paraId="433F12CB">
            <w:pPr>
              <w:keepNext w:val="0"/>
              <w:keepLines w:val="0"/>
              <w:widowControl/>
              <w:suppressLineNumbers w:val="0"/>
              <w:snapToGrid w:val="0"/>
              <w:spacing w:line="240" w:lineRule="auto"/>
              <w:ind w:left="0" w:leftChars="0" w:right="0" w:rightChars="0" w:firstLine="0" w:firstLineChars="0"/>
              <w:jc w:val="center"/>
              <w:rPr>
                <w:rFonts w:hint="eastAsia"/>
                <w:b/>
                <w:bCs/>
                <w:color w:val="00B0F0"/>
                <w:vertAlign w:val="baseline"/>
                <w:lang w:val="en-US" w:eastAsia="zh-CN"/>
              </w:rPr>
            </w:pPr>
            <w:r>
              <w:rPr>
                <w:rStyle w:val="7"/>
                <w:rFonts w:hint="default" w:ascii="Times New Roman" w:hAnsi="Times New Roman" w:eastAsia="宋体" w:cs="Times New Roman"/>
                <w:b/>
                <w:color w:val="00B0F0"/>
                <w:kern w:val="0"/>
                <w:sz w:val="24"/>
                <w:szCs w:val="24"/>
                <w:lang w:val="en-US" w:eastAsia="zh-CN" w:bidi="ar"/>
              </w:rPr>
              <w:t>Relevant Description</w:t>
            </w:r>
          </w:p>
        </w:tc>
        <w:tc>
          <w:tcPr>
            <w:tcW w:w="6612" w:type="dxa"/>
            <w:tcBorders>
              <w:top w:val="single" w:color="auto" w:sz="12" w:space="0"/>
              <w:left w:val="nil"/>
              <w:bottom w:val="single" w:color="auto" w:sz="4" w:space="0"/>
              <w:right w:val="nil"/>
            </w:tcBorders>
            <w:vAlign w:val="center"/>
          </w:tcPr>
          <w:p w14:paraId="2E35117B">
            <w:pPr>
              <w:keepNext w:val="0"/>
              <w:keepLines w:val="0"/>
              <w:widowControl/>
              <w:suppressLineNumbers w:val="0"/>
              <w:snapToGrid w:val="0"/>
              <w:spacing w:line="240" w:lineRule="auto"/>
              <w:ind w:left="0" w:leftChars="0" w:right="0" w:rightChars="0" w:firstLine="0" w:firstLineChars="0"/>
              <w:jc w:val="center"/>
              <w:rPr>
                <w:rStyle w:val="7"/>
                <w:rFonts w:hint="default" w:ascii="Times New Roman" w:hAnsi="Times New Roman" w:eastAsia="宋体" w:cs="Times New Roman"/>
                <w:b/>
                <w:color w:val="00B0F0"/>
                <w:kern w:val="0"/>
                <w:sz w:val="24"/>
                <w:szCs w:val="24"/>
                <w:lang w:val="en-US" w:eastAsia="zh-CN" w:bidi="ar"/>
              </w:rPr>
            </w:pPr>
            <w:r>
              <w:rPr>
                <w:rStyle w:val="7"/>
                <w:rFonts w:hint="default" w:ascii="Times New Roman" w:hAnsi="Times New Roman" w:eastAsia="宋体" w:cs="Times New Roman"/>
                <w:b/>
                <w:color w:val="00B0F0"/>
                <w:kern w:val="0"/>
                <w:sz w:val="24"/>
                <w:szCs w:val="24"/>
                <w:lang w:val="en-US" w:eastAsia="zh-CN" w:bidi="ar"/>
              </w:rPr>
              <w:t xml:space="preserve">How It Was Actively Used by Informants </w:t>
            </w:r>
          </w:p>
          <w:p w14:paraId="7D30E2A8">
            <w:pPr>
              <w:keepNext w:val="0"/>
              <w:keepLines w:val="0"/>
              <w:widowControl/>
              <w:suppressLineNumbers w:val="0"/>
              <w:snapToGrid w:val="0"/>
              <w:spacing w:line="240" w:lineRule="auto"/>
              <w:ind w:left="0" w:leftChars="0" w:right="0" w:rightChars="0" w:firstLine="0" w:firstLineChars="0"/>
              <w:jc w:val="center"/>
              <w:rPr>
                <w:rFonts w:hint="eastAsia"/>
                <w:b/>
                <w:bCs/>
                <w:color w:val="00B0F0"/>
                <w:vertAlign w:val="baseline"/>
                <w:lang w:val="en-US" w:eastAsia="zh-CN"/>
              </w:rPr>
            </w:pPr>
            <w:r>
              <w:rPr>
                <w:rStyle w:val="7"/>
                <w:rFonts w:hint="default" w:ascii="Times New Roman" w:hAnsi="Times New Roman" w:eastAsia="宋体" w:cs="Times New Roman"/>
                <w:b/>
                <w:color w:val="00B0F0"/>
                <w:kern w:val="0"/>
                <w:sz w:val="24"/>
                <w:szCs w:val="24"/>
                <w:lang w:val="en-US" w:eastAsia="zh-CN" w:bidi="ar"/>
              </w:rPr>
              <w:t>(Link to Findings)</w:t>
            </w:r>
          </w:p>
        </w:tc>
      </w:tr>
      <w:tr w14:paraId="5E6B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tcBorders>
              <w:top w:val="single" w:color="auto" w:sz="4" w:space="0"/>
              <w:left w:val="nil"/>
              <w:bottom w:val="nil"/>
              <w:right w:val="nil"/>
            </w:tcBorders>
            <w:vAlign w:val="center"/>
          </w:tcPr>
          <w:p w14:paraId="5B2E7F84">
            <w:pPr>
              <w:keepNext w:val="0"/>
              <w:keepLines w:val="0"/>
              <w:widowControl/>
              <w:suppressLineNumbers w:val="0"/>
              <w:snapToGrid w:val="0"/>
              <w:spacing w:line="240" w:lineRule="auto"/>
              <w:ind w:left="0" w:leftChars="0" w:right="0" w:rightChars="0" w:firstLine="0" w:firstLineChars="0"/>
              <w:jc w:val="left"/>
              <w:rPr>
                <w:rFonts w:hint="eastAsia"/>
                <w:b/>
                <w:bCs/>
                <w:color w:val="00B0F0"/>
                <w:vertAlign w:val="baseline"/>
                <w:lang w:val="en-US" w:eastAsia="zh-CN"/>
              </w:rPr>
            </w:pPr>
            <w:r>
              <w:rPr>
                <w:rStyle w:val="7"/>
                <w:rFonts w:hint="default" w:ascii="Times New Roman" w:hAnsi="Times New Roman" w:eastAsia="宋体" w:cs="Times New Roman"/>
                <w:b w:val="0"/>
                <w:bCs/>
                <w:color w:val="00B0F0"/>
                <w:kern w:val="0"/>
                <w:sz w:val="24"/>
                <w:szCs w:val="24"/>
                <w:lang w:val="en-US" w:eastAsia="zh-CN" w:bidi="ar"/>
              </w:rPr>
              <w:t>Industry Association Circular: “Guidance for Contract Renegotiation During Pandemic”</w:t>
            </w:r>
          </w:p>
        </w:tc>
        <w:tc>
          <w:tcPr>
            <w:tcW w:w="4486" w:type="dxa"/>
            <w:tcBorders>
              <w:top w:val="single" w:color="auto" w:sz="4" w:space="0"/>
              <w:left w:val="nil"/>
              <w:bottom w:val="nil"/>
              <w:right w:val="nil"/>
            </w:tcBorders>
            <w:vAlign w:val="center"/>
          </w:tcPr>
          <w:p w14:paraId="0303B618">
            <w:pPr>
              <w:keepNext w:val="0"/>
              <w:keepLines w:val="0"/>
              <w:widowControl/>
              <w:suppressLineNumbers w:val="0"/>
              <w:snapToGrid w:val="0"/>
              <w:spacing w:line="240" w:lineRule="auto"/>
              <w:ind w:left="0" w:leftChars="0" w:right="0" w:rightChars="0" w:firstLine="0" w:firstLineChars="0"/>
              <w:jc w:val="left"/>
              <w:rPr>
                <w:rFonts w:hint="eastAsia"/>
                <w:b/>
                <w:bCs/>
                <w:color w:val="00B0F0"/>
                <w:vertAlign w:val="baseline"/>
                <w:lang w:val="en-US" w:eastAsia="zh-CN"/>
              </w:rPr>
            </w:pPr>
            <w:r>
              <w:rPr>
                <w:rFonts w:hint="default" w:ascii="Times New Roman" w:hAnsi="Times New Roman" w:eastAsia="宋体" w:cs="Times New Roman"/>
                <w:b w:val="0"/>
                <w:bCs/>
                <w:color w:val="00B0F0"/>
                <w:kern w:val="0"/>
                <w:sz w:val="24"/>
                <w:szCs w:val="24"/>
                <w:lang w:val="en-US" w:eastAsia="zh-CN" w:bidi="ar"/>
              </w:rPr>
              <w:t>Circular issued to member firms recommending specific, more equitable clauses for force majeure, payment schedules, and delivery terms in buyer-supplier contracts during the disruption.</w:t>
            </w:r>
          </w:p>
        </w:tc>
        <w:tc>
          <w:tcPr>
            <w:tcW w:w="6612" w:type="dxa"/>
            <w:tcBorders>
              <w:top w:val="single" w:color="auto" w:sz="4" w:space="0"/>
              <w:left w:val="nil"/>
              <w:bottom w:val="nil"/>
              <w:right w:val="nil"/>
            </w:tcBorders>
            <w:vAlign w:val="center"/>
          </w:tcPr>
          <w:p w14:paraId="738D6EC3">
            <w:pPr>
              <w:keepNext w:val="0"/>
              <w:keepLines w:val="0"/>
              <w:widowControl/>
              <w:suppressLineNumbers w:val="0"/>
              <w:snapToGrid w:val="0"/>
              <w:spacing w:line="240" w:lineRule="auto"/>
              <w:ind w:left="0" w:leftChars="0" w:right="0" w:rightChars="0" w:firstLine="0" w:firstLineChars="0"/>
              <w:jc w:val="left"/>
              <w:rPr>
                <w:rFonts w:hint="eastAsia"/>
                <w:b/>
                <w:bCs/>
                <w:color w:val="00B0F0"/>
                <w:vertAlign w:val="baseline"/>
                <w:lang w:val="en-US" w:eastAsia="zh-CN"/>
              </w:rPr>
            </w:pPr>
            <w:r>
              <w:rPr>
                <w:rStyle w:val="7"/>
                <w:rFonts w:hint="default" w:ascii="Times New Roman" w:hAnsi="Times New Roman" w:eastAsia="宋体" w:cs="Times New Roman"/>
                <w:b w:val="0"/>
                <w:bCs/>
                <w:color w:val="00B0F0"/>
                <w:kern w:val="0"/>
                <w:sz w:val="24"/>
                <w:szCs w:val="24"/>
                <w:lang w:val="en-US" w:eastAsia="zh-CN" w:bidi="ar"/>
              </w:rPr>
              <w:t>SME Leverage:</w:t>
            </w:r>
            <w:r>
              <w:rPr>
                <w:rFonts w:hint="default" w:ascii="Times New Roman" w:hAnsi="Times New Roman" w:eastAsia="宋体" w:cs="Times New Roman"/>
                <w:b w:val="0"/>
                <w:bCs/>
                <w:color w:val="00B0F0"/>
                <w:kern w:val="0"/>
                <w:sz w:val="24"/>
                <w:szCs w:val="24"/>
                <w:lang w:val="en-US" w:eastAsia="zh-CN" w:bidi="ar"/>
              </w:rPr>
              <w:t xml:space="preserve"> SME3 and SME6 cited this circular during negotiations with Buyer2, using it as </w:t>
            </w:r>
            <w:r>
              <w:rPr>
                <w:rStyle w:val="7"/>
                <w:rFonts w:hint="default" w:ascii="Times New Roman" w:hAnsi="Times New Roman" w:eastAsia="宋体" w:cs="Times New Roman"/>
                <w:b w:val="0"/>
                <w:bCs/>
                <w:color w:val="00B0F0"/>
                <w:kern w:val="0"/>
                <w:sz w:val="24"/>
                <w:szCs w:val="24"/>
                <w:lang w:val="en-US" w:eastAsia="zh-CN" w:bidi="ar"/>
              </w:rPr>
              <w:t>external, professional validation</w:t>
            </w:r>
            <w:r>
              <w:rPr>
                <w:rFonts w:hint="default" w:ascii="Times New Roman" w:hAnsi="Times New Roman" w:eastAsia="宋体" w:cs="Times New Roman"/>
                <w:b w:val="0"/>
                <w:bCs/>
                <w:color w:val="00B0F0"/>
                <w:kern w:val="0"/>
                <w:sz w:val="24"/>
                <w:szCs w:val="24"/>
                <w:lang w:val="en-US" w:eastAsia="zh-CN" w:bidi="ar"/>
              </w:rPr>
              <w:t xml:space="preserve"> to argue against one-sided penalty clauses. This exemplifies the </w:t>
            </w:r>
            <w:r>
              <w:rPr>
                <w:rStyle w:val="7"/>
                <w:rFonts w:hint="default" w:ascii="Times New Roman" w:hAnsi="Times New Roman" w:eastAsia="宋体" w:cs="Times New Roman"/>
                <w:b w:val="0"/>
                <w:bCs/>
                <w:color w:val="00B0F0"/>
                <w:kern w:val="0"/>
                <w:sz w:val="24"/>
                <w:szCs w:val="24"/>
                <w:lang w:val="en-US" w:eastAsia="zh-CN" w:bidi="ar"/>
              </w:rPr>
              <w:t>SME-leveraged tactic</w:t>
            </w:r>
            <w:r>
              <w:rPr>
                <w:rFonts w:hint="default" w:ascii="Times New Roman" w:hAnsi="Times New Roman" w:eastAsia="宋体" w:cs="Times New Roman"/>
                <w:b w:val="0"/>
                <w:bCs/>
                <w:color w:val="00B0F0"/>
                <w:kern w:val="0"/>
                <w:sz w:val="24"/>
                <w:szCs w:val="24"/>
                <w:lang w:val="en-US" w:eastAsia="zh-CN" w:bidi="ar"/>
              </w:rPr>
              <w:t xml:space="preserve"> of using institutional resources to enhance bargaining power.</w:t>
            </w:r>
          </w:p>
        </w:tc>
      </w:tr>
      <w:tr w14:paraId="28E4F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tcBorders>
              <w:top w:val="nil"/>
              <w:left w:val="nil"/>
              <w:bottom w:val="nil"/>
              <w:right w:val="nil"/>
            </w:tcBorders>
            <w:vAlign w:val="center"/>
          </w:tcPr>
          <w:p w14:paraId="1D8A2F04">
            <w:pPr>
              <w:keepNext w:val="0"/>
              <w:keepLines w:val="0"/>
              <w:widowControl/>
              <w:suppressLineNumbers w:val="0"/>
              <w:snapToGrid w:val="0"/>
              <w:spacing w:line="240" w:lineRule="auto"/>
              <w:ind w:left="0" w:leftChars="0" w:right="0" w:rightChars="0" w:firstLine="0" w:firstLineChars="0"/>
              <w:jc w:val="left"/>
              <w:rPr>
                <w:rFonts w:hint="eastAsia"/>
                <w:b/>
                <w:bCs/>
                <w:color w:val="00B0F0"/>
                <w:vertAlign w:val="baseline"/>
                <w:lang w:val="en-US" w:eastAsia="zh-CN"/>
              </w:rPr>
            </w:pPr>
            <w:r>
              <w:rPr>
                <w:rStyle w:val="7"/>
                <w:rFonts w:hint="default" w:ascii="Times New Roman" w:hAnsi="Times New Roman" w:eastAsia="宋体" w:cs="Times New Roman"/>
                <w:b w:val="0"/>
                <w:bCs/>
                <w:color w:val="00B0F0"/>
                <w:kern w:val="0"/>
                <w:sz w:val="24"/>
                <w:szCs w:val="24"/>
                <w:lang w:val="en-US" w:eastAsia="zh-CN" w:bidi="ar"/>
              </w:rPr>
              <w:t>Local Government Policy Announcement: “Emergency Measures for SME Operational Support”</w:t>
            </w:r>
          </w:p>
        </w:tc>
        <w:tc>
          <w:tcPr>
            <w:tcW w:w="4486" w:type="dxa"/>
            <w:tcBorders>
              <w:top w:val="nil"/>
              <w:left w:val="nil"/>
              <w:bottom w:val="nil"/>
              <w:right w:val="nil"/>
            </w:tcBorders>
            <w:vAlign w:val="center"/>
          </w:tcPr>
          <w:p w14:paraId="74B1F80D">
            <w:pPr>
              <w:keepNext w:val="0"/>
              <w:keepLines w:val="0"/>
              <w:widowControl/>
              <w:suppressLineNumbers w:val="0"/>
              <w:snapToGrid w:val="0"/>
              <w:spacing w:line="240" w:lineRule="auto"/>
              <w:ind w:left="0" w:leftChars="0" w:right="0" w:rightChars="0" w:firstLine="0" w:firstLineChars="0"/>
              <w:jc w:val="left"/>
              <w:rPr>
                <w:rFonts w:hint="eastAsia"/>
                <w:b/>
                <w:bCs/>
                <w:color w:val="00B0F0"/>
                <w:vertAlign w:val="baseline"/>
                <w:lang w:val="en-US" w:eastAsia="zh-CN"/>
              </w:rPr>
            </w:pPr>
            <w:r>
              <w:rPr>
                <w:rFonts w:hint="default" w:ascii="Times New Roman" w:hAnsi="Times New Roman" w:eastAsia="宋体" w:cs="Times New Roman"/>
                <w:b w:val="0"/>
                <w:bCs/>
                <w:color w:val="00B0F0"/>
                <w:kern w:val="0"/>
                <w:sz w:val="24"/>
                <w:szCs w:val="24"/>
                <w:lang w:val="en-US" w:eastAsia="zh-CN" w:bidi="ar"/>
              </w:rPr>
              <w:t>Public announcement detailing a temporary subsidy program for SME utility costs and a dedicated hotline for reporting “unreasonable financial pressure from large partners.”</w:t>
            </w:r>
          </w:p>
        </w:tc>
        <w:tc>
          <w:tcPr>
            <w:tcW w:w="6612" w:type="dxa"/>
            <w:tcBorders>
              <w:top w:val="nil"/>
              <w:left w:val="nil"/>
              <w:bottom w:val="nil"/>
              <w:right w:val="nil"/>
            </w:tcBorders>
            <w:vAlign w:val="center"/>
          </w:tcPr>
          <w:p w14:paraId="5A30FBAF">
            <w:pPr>
              <w:keepNext w:val="0"/>
              <w:keepLines w:val="0"/>
              <w:widowControl/>
              <w:suppressLineNumbers w:val="0"/>
              <w:snapToGrid w:val="0"/>
              <w:spacing w:line="240" w:lineRule="auto"/>
              <w:ind w:left="0" w:leftChars="0" w:right="0" w:rightChars="0" w:firstLine="0" w:firstLineChars="0"/>
              <w:jc w:val="left"/>
              <w:rPr>
                <w:rFonts w:hint="eastAsia"/>
                <w:b/>
                <w:bCs/>
                <w:color w:val="00B0F0"/>
                <w:vertAlign w:val="baseline"/>
                <w:lang w:val="en-US" w:eastAsia="zh-CN"/>
              </w:rPr>
            </w:pPr>
            <w:r>
              <w:rPr>
                <w:rStyle w:val="7"/>
                <w:rFonts w:hint="default" w:ascii="Times New Roman" w:hAnsi="Times New Roman" w:eastAsia="宋体" w:cs="Times New Roman"/>
                <w:b w:val="0"/>
                <w:bCs/>
                <w:color w:val="00B0F0"/>
                <w:kern w:val="0"/>
                <w:sz w:val="24"/>
                <w:szCs w:val="24"/>
                <w:lang w:val="en-US" w:eastAsia="zh-CN" w:bidi="ar"/>
              </w:rPr>
              <w:t>Signal of Institutional Backing:</w:t>
            </w:r>
            <w:r>
              <w:rPr>
                <w:rFonts w:hint="default" w:ascii="Times New Roman" w:hAnsi="Times New Roman" w:eastAsia="宋体" w:cs="Times New Roman"/>
                <w:b w:val="0"/>
                <w:bCs/>
                <w:color w:val="00B0F0"/>
                <w:kern w:val="0"/>
                <w:sz w:val="24"/>
                <w:szCs w:val="24"/>
                <w:lang w:val="en-US" w:eastAsia="zh-CN" w:bidi="ar"/>
              </w:rPr>
              <w:t xml:space="preserve"> SME1 and SME4 referenced this announcement to their buyers not as a direct threat, but to </w:t>
            </w:r>
            <w:r>
              <w:rPr>
                <w:rStyle w:val="7"/>
                <w:rFonts w:hint="default" w:ascii="Times New Roman" w:hAnsi="Times New Roman" w:eastAsia="宋体" w:cs="Times New Roman"/>
                <w:b w:val="0"/>
                <w:bCs/>
                <w:color w:val="00B0F0"/>
                <w:kern w:val="0"/>
                <w:sz w:val="24"/>
                <w:szCs w:val="24"/>
                <w:lang w:val="en-US" w:eastAsia="zh-CN" w:bidi="ar"/>
              </w:rPr>
              <w:t>signal they were under institutional oversight</w:t>
            </w:r>
            <w:r>
              <w:rPr>
                <w:rFonts w:hint="default" w:ascii="Times New Roman" w:hAnsi="Times New Roman" w:eastAsia="宋体" w:cs="Times New Roman"/>
                <w:b w:val="0"/>
                <w:bCs/>
                <w:color w:val="00B0F0"/>
                <w:kern w:val="0"/>
                <w:sz w:val="24"/>
                <w:szCs w:val="24"/>
                <w:lang w:val="en-US" w:eastAsia="zh-CN" w:bidi="ar"/>
              </w:rPr>
              <w:t xml:space="preserve">. This shaped the buyer's </w:t>
            </w:r>
            <w:r>
              <w:rPr>
                <w:rStyle w:val="7"/>
                <w:rFonts w:hint="default" w:ascii="Times New Roman" w:hAnsi="Times New Roman" w:eastAsia="宋体" w:cs="Times New Roman"/>
                <w:b w:val="0"/>
                <w:bCs/>
                <w:color w:val="00B0F0"/>
                <w:kern w:val="0"/>
                <w:sz w:val="24"/>
                <w:szCs w:val="24"/>
                <w:lang w:val="en-US" w:eastAsia="zh-CN" w:bidi="ar"/>
              </w:rPr>
              <w:t>cost-benefit calculation</w:t>
            </w:r>
            <w:r>
              <w:rPr>
                <w:rFonts w:hint="default" w:ascii="Times New Roman" w:hAnsi="Times New Roman" w:eastAsia="宋体" w:cs="Times New Roman"/>
                <w:b w:val="0"/>
                <w:bCs/>
                <w:color w:val="00B0F0"/>
                <w:kern w:val="0"/>
                <w:sz w:val="24"/>
                <w:szCs w:val="24"/>
                <w:lang w:val="en-US" w:eastAsia="zh-CN" w:bidi="ar"/>
              </w:rPr>
              <w:t xml:space="preserve"> , as noted by Buyer1's increased caution.</w:t>
            </w:r>
          </w:p>
        </w:tc>
      </w:tr>
      <w:tr w14:paraId="7A2B7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tcBorders>
              <w:top w:val="nil"/>
              <w:left w:val="nil"/>
              <w:bottom w:val="nil"/>
              <w:right w:val="nil"/>
            </w:tcBorders>
            <w:vAlign w:val="center"/>
          </w:tcPr>
          <w:p w14:paraId="38B35897">
            <w:pPr>
              <w:keepNext w:val="0"/>
              <w:keepLines w:val="0"/>
              <w:widowControl/>
              <w:suppressLineNumbers w:val="0"/>
              <w:snapToGrid w:val="0"/>
              <w:spacing w:line="240" w:lineRule="auto"/>
              <w:ind w:left="0" w:leftChars="0" w:right="0" w:rightChars="0" w:firstLine="0" w:firstLineChars="0"/>
              <w:jc w:val="left"/>
              <w:rPr>
                <w:rFonts w:hint="eastAsia"/>
                <w:b/>
                <w:bCs/>
                <w:color w:val="00B0F0"/>
                <w:vertAlign w:val="baseline"/>
                <w:lang w:val="en-US" w:eastAsia="zh-CN"/>
              </w:rPr>
            </w:pPr>
            <w:r>
              <w:rPr>
                <w:rStyle w:val="7"/>
                <w:rFonts w:hint="default" w:ascii="Times New Roman" w:hAnsi="Times New Roman" w:eastAsia="宋体" w:cs="Times New Roman"/>
                <w:b w:val="0"/>
                <w:bCs/>
                <w:color w:val="00B0F0"/>
                <w:kern w:val="0"/>
                <w:sz w:val="24"/>
                <w:szCs w:val="24"/>
                <w:lang w:val="en-US" w:eastAsia="zh-CN" w:bidi="ar"/>
              </w:rPr>
              <w:t>Meeting Record from Buyer-Supplier Coordination Forum</w:t>
            </w:r>
          </w:p>
        </w:tc>
        <w:tc>
          <w:tcPr>
            <w:tcW w:w="4486" w:type="dxa"/>
            <w:tcBorders>
              <w:top w:val="nil"/>
              <w:left w:val="nil"/>
              <w:bottom w:val="nil"/>
              <w:right w:val="nil"/>
            </w:tcBorders>
            <w:vAlign w:val="center"/>
          </w:tcPr>
          <w:p w14:paraId="6D55CB2A">
            <w:pPr>
              <w:keepNext w:val="0"/>
              <w:keepLines w:val="0"/>
              <w:widowControl/>
              <w:suppressLineNumbers w:val="0"/>
              <w:snapToGrid w:val="0"/>
              <w:spacing w:line="240" w:lineRule="auto"/>
              <w:ind w:left="0" w:leftChars="0" w:right="0" w:rightChars="0" w:firstLine="0" w:firstLineChars="0"/>
              <w:jc w:val="left"/>
              <w:rPr>
                <w:rFonts w:hint="eastAsia"/>
                <w:b/>
                <w:bCs/>
                <w:color w:val="00B0F0"/>
                <w:vertAlign w:val="baseline"/>
                <w:lang w:val="en-US" w:eastAsia="zh-CN"/>
              </w:rPr>
            </w:pPr>
            <w:r>
              <w:rPr>
                <w:rFonts w:hint="default" w:ascii="Times New Roman" w:hAnsi="Times New Roman" w:eastAsia="宋体" w:cs="Times New Roman"/>
                <w:b w:val="0"/>
                <w:bCs/>
                <w:color w:val="00B0F0"/>
                <w:kern w:val="0"/>
                <w:sz w:val="24"/>
                <w:szCs w:val="24"/>
                <w:lang w:val="en-US" w:eastAsia="zh-CN" w:bidi="ar"/>
              </w:rPr>
              <w:t>Minutes show large buyers (including Buyer3) publicly committing to “fair payment practices” and SMEs describing specific challenges with contract fulfillment.</w:t>
            </w:r>
          </w:p>
        </w:tc>
        <w:tc>
          <w:tcPr>
            <w:tcW w:w="6612" w:type="dxa"/>
            <w:tcBorders>
              <w:top w:val="nil"/>
              <w:left w:val="nil"/>
              <w:bottom w:val="nil"/>
              <w:right w:val="nil"/>
            </w:tcBorders>
            <w:vAlign w:val="center"/>
          </w:tcPr>
          <w:p w14:paraId="637E804B">
            <w:pPr>
              <w:keepNext w:val="0"/>
              <w:keepLines w:val="0"/>
              <w:widowControl/>
              <w:suppressLineNumbers w:val="0"/>
              <w:snapToGrid w:val="0"/>
              <w:spacing w:line="240" w:lineRule="auto"/>
              <w:ind w:left="0" w:leftChars="0" w:right="0" w:rightChars="0" w:firstLine="0" w:firstLineChars="0"/>
              <w:jc w:val="left"/>
              <w:rPr>
                <w:rFonts w:hint="eastAsia"/>
                <w:b/>
                <w:bCs/>
                <w:color w:val="00B0F0"/>
                <w:vertAlign w:val="baseline"/>
                <w:lang w:val="en-US" w:eastAsia="zh-CN"/>
              </w:rPr>
            </w:pPr>
            <w:r>
              <w:rPr>
                <w:rStyle w:val="7"/>
                <w:rFonts w:hint="default" w:ascii="Times New Roman" w:hAnsi="Times New Roman" w:eastAsia="宋体" w:cs="Times New Roman"/>
                <w:b w:val="0"/>
                <w:bCs/>
                <w:color w:val="00B0F0"/>
                <w:kern w:val="0"/>
                <w:sz w:val="24"/>
                <w:szCs w:val="24"/>
                <w:lang w:val="en-US" w:eastAsia="zh-CN" w:bidi="ar"/>
              </w:rPr>
              <w:t>Normative Pressure:</w:t>
            </w:r>
            <w:r>
              <w:rPr>
                <w:rFonts w:hint="default" w:ascii="Times New Roman" w:hAnsi="Times New Roman" w:eastAsia="宋体" w:cs="Times New Roman"/>
                <w:b w:val="0"/>
                <w:bCs/>
                <w:color w:val="00B0F0"/>
                <w:kern w:val="0"/>
                <w:sz w:val="24"/>
                <w:szCs w:val="24"/>
                <w:lang w:val="en-US" w:eastAsia="zh-CN" w:bidi="ar"/>
              </w:rPr>
              <w:t xml:space="preserve"> SME7 and Buyer3 both referenced this forum. For the SME, it was proof of a </w:t>
            </w:r>
            <w:r>
              <w:rPr>
                <w:rStyle w:val="7"/>
                <w:rFonts w:hint="default" w:ascii="Times New Roman" w:hAnsi="Times New Roman" w:eastAsia="宋体" w:cs="Times New Roman"/>
                <w:b w:val="0"/>
                <w:bCs/>
                <w:color w:val="00B0F0"/>
                <w:kern w:val="0"/>
                <w:sz w:val="24"/>
                <w:szCs w:val="24"/>
                <w:lang w:val="en-US" w:eastAsia="zh-CN" w:bidi="ar"/>
              </w:rPr>
              <w:t>public commitment to hold the buyer accountable</w:t>
            </w:r>
            <w:r>
              <w:rPr>
                <w:rFonts w:hint="default" w:ascii="Times New Roman" w:hAnsi="Times New Roman" w:eastAsia="宋体" w:cs="Times New Roman"/>
                <w:b w:val="0"/>
                <w:bCs/>
                <w:color w:val="00B0F0"/>
                <w:kern w:val="0"/>
                <w:sz w:val="24"/>
                <w:szCs w:val="24"/>
                <w:lang w:val="en-US" w:eastAsia="zh-CN" w:bidi="ar"/>
              </w:rPr>
              <w:t xml:space="preserve">. For the buyer, it represented a </w:t>
            </w:r>
            <w:r>
              <w:rPr>
                <w:rStyle w:val="7"/>
                <w:rFonts w:hint="default" w:ascii="Times New Roman" w:hAnsi="Times New Roman" w:eastAsia="宋体" w:cs="Times New Roman"/>
                <w:b w:val="0"/>
                <w:bCs/>
                <w:color w:val="00B0F0"/>
                <w:kern w:val="0"/>
                <w:sz w:val="24"/>
                <w:szCs w:val="24"/>
                <w:lang w:val="en-US" w:eastAsia="zh-CN" w:bidi="ar"/>
              </w:rPr>
              <w:t>social expectation</w:t>
            </w:r>
            <w:r>
              <w:rPr>
                <w:rFonts w:hint="default" w:ascii="Times New Roman" w:hAnsi="Times New Roman" w:eastAsia="宋体" w:cs="Times New Roman"/>
                <w:b w:val="0"/>
                <w:bCs/>
                <w:color w:val="00B0F0"/>
                <w:kern w:val="0"/>
                <w:sz w:val="24"/>
                <w:szCs w:val="24"/>
                <w:lang w:val="en-US" w:eastAsia="zh-CN" w:bidi="ar"/>
              </w:rPr>
              <w:t xml:space="preserve"> they felt compelled to meet, illustrating the mechanism of </w:t>
            </w:r>
            <w:r>
              <w:rPr>
                <w:rStyle w:val="7"/>
                <w:rFonts w:hint="default" w:ascii="Times New Roman" w:hAnsi="Times New Roman" w:eastAsia="宋体" w:cs="Times New Roman"/>
                <w:b w:val="0"/>
                <w:bCs/>
                <w:color w:val="00B0F0"/>
                <w:kern w:val="0"/>
                <w:sz w:val="24"/>
                <w:szCs w:val="24"/>
                <w:lang w:val="en-US" w:eastAsia="zh-CN" w:bidi="ar"/>
              </w:rPr>
              <w:t>industry norm transformation</w:t>
            </w:r>
            <w:r>
              <w:rPr>
                <w:rFonts w:hint="default" w:ascii="Times New Roman" w:hAnsi="Times New Roman" w:eastAsia="宋体" w:cs="Times New Roman"/>
                <w:b w:val="0"/>
                <w:bCs/>
                <w:color w:val="00B0F0"/>
                <w:kern w:val="0"/>
                <w:sz w:val="24"/>
                <w:szCs w:val="24"/>
                <w:lang w:val="en-US" w:eastAsia="zh-CN" w:bidi="ar"/>
              </w:rPr>
              <w:t>.</w:t>
            </w:r>
          </w:p>
        </w:tc>
      </w:tr>
      <w:tr w14:paraId="74BE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tcBorders>
              <w:top w:val="nil"/>
              <w:left w:val="nil"/>
              <w:bottom w:val="single" w:color="auto" w:sz="12" w:space="0"/>
              <w:right w:val="nil"/>
            </w:tcBorders>
            <w:vAlign w:val="center"/>
          </w:tcPr>
          <w:p w14:paraId="38D6C756">
            <w:pPr>
              <w:keepNext w:val="0"/>
              <w:keepLines w:val="0"/>
              <w:widowControl/>
              <w:suppressLineNumbers w:val="0"/>
              <w:snapToGrid w:val="0"/>
              <w:spacing w:line="240" w:lineRule="auto"/>
              <w:ind w:left="0" w:leftChars="0" w:right="0" w:rightChars="0" w:firstLine="0" w:firstLineChars="0"/>
              <w:jc w:val="left"/>
              <w:rPr>
                <w:rFonts w:hint="eastAsia"/>
                <w:b/>
                <w:bCs/>
                <w:color w:val="00B0F0"/>
                <w:vertAlign w:val="baseline"/>
                <w:lang w:val="en-US" w:eastAsia="zh-CN"/>
              </w:rPr>
            </w:pPr>
            <w:r>
              <w:rPr>
                <w:rStyle w:val="7"/>
                <w:rFonts w:hint="default" w:ascii="Times New Roman" w:hAnsi="Times New Roman" w:eastAsia="宋体" w:cs="Times New Roman"/>
                <w:b w:val="0"/>
                <w:bCs/>
                <w:color w:val="00B0F0"/>
                <w:kern w:val="0"/>
                <w:sz w:val="24"/>
                <w:szCs w:val="24"/>
                <w:lang w:val="en-US" w:eastAsia="zh-CN" w:bidi="ar"/>
              </w:rPr>
              <w:t>Professional Institution Bulletin: “Market Access and Credit Endorsement for Export SMEs”</w:t>
            </w:r>
          </w:p>
        </w:tc>
        <w:tc>
          <w:tcPr>
            <w:tcW w:w="4486" w:type="dxa"/>
            <w:tcBorders>
              <w:top w:val="nil"/>
              <w:left w:val="nil"/>
              <w:bottom w:val="single" w:color="auto" w:sz="12" w:space="0"/>
              <w:right w:val="nil"/>
            </w:tcBorders>
            <w:vAlign w:val="center"/>
          </w:tcPr>
          <w:p w14:paraId="55473909">
            <w:pPr>
              <w:keepNext w:val="0"/>
              <w:keepLines w:val="0"/>
              <w:widowControl/>
              <w:suppressLineNumbers w:val="0"/>
              <w:snapToGrid w:val="0"/>
              <w:spacing w:line="240" w:lineRule="auto"/>
              <w:ind w:left="0" w:leftChars="0" w:right="0" w:rightChars="0" w:firstLine="0" w:firstLineChars="0"/>
              <w:jc w:val="left"/>
              <w:rPr>
                <w:rFonts w:hint="eastAsia"/>
                <w:b/>
                <w:bCs/>
                <w:color w:val="00B0F0"/>
                <w:vertAlign w:val="baseline"/>
                <w:lang w:val="en-US" w:eastAsia="zh-CN"/>
              </w:rPr>
            </w:pPr>
            <w:r>
              <w:rPr>
                <w:rFonts w:hint="default" w:ascii="Times New Roman" w:hAnsi="Times New Roman" w:eastAsia="宋体" w:cs="Times New Roman"/>
                <w:b w:val="0"/>
                <w:bCs/>
                <w:color w:val="00B0F0"/>
                <w:kern w:val="0"/>
                <w:sz w:val="24"/>
                <w:szCs w:val="24"/>
                <w:lang w:val="en-US" w:eastAsia="zh-CN" w:bidi="ar"/>
              </w:rPr>
              <w:t>Bulletin outlining simplified procedures for SMEs to obtain force majeure certificates and new credit endorsement services to facilitate international trade.</w:t>
            </w:r>
          </w:p>
        </w:tc>
        <w:tc>
          <w:tcPr>
            <w:tcW w:w="6612" w:type="dxa"/>
            <w:tcBorders>
              <w:top w:val="nil"/>
              <w:left w:val="nil"/>
              <w:bottom w:val="single" w:color="auto" w:sz="12" w:space="0"/>
              <w:right w:val="nil"/>
            </w:tcBorders>
            <w:vAlign w:val="center"/>
          </w:tcPr>
          <w:p w14:paraId="2FFD1C66">
            <w:pPr>
              <w:keepNext w:val="0"/>
              <w:keepLines w:val="0"/>
              <w:widowControl/>
              <w:suppressLineNumbers w:val="0"/>
              <w:snapToGrid w:val="0"/>
              <w:spacing w:line="240" w:lineRule="auto"/>
              <w:ind w:left="0" w:leftChars="0" w:right="0" w:rightChars="0" w:firstLine="0" w:firstLineChars="0"/>
              <w:jc w:val="left"/>
              <w:rPr>
                <w:rFonts w:hint="eastAsia"/>
                <w:b/>
                <w:bCs/>
                <w:color w:val="00B0F0"/>
                <w:vertAlign w:val="baseline"/>
                <w:lang w:val="en-US" w:eastAsia="zh-CN"/>
              </w:rPr>
            </w:pPr>
            <w:r>
              <w:rPr>
                <w:rStyle w:val="7"/>
                <w:rFonts w:hint="default" w:ascii="Times New Roman" w:hAnsi="Times New Roman" w:eastAsia="宋体" w:cs="Times New Roman"/>
                <w:b w:val="0"/>
                <w:bCs/>
                <w:color w:val="00B0F0"/>
                <w:kern w:val="0"/>
                <w:sz w:val="24"/>
                <w:szCs w:val="24"/>
                <w:lang w:val="en-US" w:eastAsia="zh-CN" w:bidi="ar"/>
              </w:rPr>
              <w:t>Credibility Tool:</w:t>
            </w:r>
            <w:r>
              <w:rPr>
                <w:rFonts w:hint="default" w:ascii="Times New Roman" w:hAnsi="Times New Roman" w:eastAsia="宋体" w:cs="Times New Roman"/>
                <w:b w:val="0"/>
                <w:bCs/>
                <w:color w:val="00B0F0"/>
                <w:kern w:val="0"/>
                <w:sz w:val="24"/>
                <w:szCs w:val="24"/>
                <w:lang w:val="en-US" w:eastAsia="zh-CN" w:bidi="ar"/>
              </w:rPr>
              <w:t xml:space="preserve"> SME1 and SME8 specifically applied for and received the certificate. They used the </w:t>
            </w:r>
            <w:r>
              <w:rPr>
                <w:rStyle w:val="7"/>
                <w:rFonts w:hint="default" w:ascii="Times New Roman" w:hAnsi="Times New Roman" w:eastAsia="宋体" w:cs="Times New Roman"/>
                <w:b w:val="0"/>
                <w:bCs/>
                <w:color w:val="00B0F0"/>
                <w:kern w:val="0"/>
                <w:sz w:val="24"/>
                <w:szCs w:val="24"/>
                <w:lang w:val="en-US" w:eastAsia="zh-CN" w:bidi="ar"/>
              </w:rPr>
              <w:t>physical document</w:t>
            </w:r>
            <w:r>
              <w:rPr>
                <w:rFonts w:hint="default" w:ascii="Times New Roman" w:hAnsi="Times New Roman" w:eastAsia="宋体" w:cs="Times New Roman"/>
                <w:b w:val="0"/>
                <w:bCs/>
                <w:color w:val="00B0F0"/>
                <w:kern w:val="0"/>
                <w:sz w:val="24"/>
                <w:szCs w:val="24"/>
                <w:lang w:val="en-US" w:eastAsia="zh-CN" w:bidi="ar"/>
              </w:rPr>
              <w:t xml:space="preserve"> in communications with international buyers and domestic large buyers as </w:t>
            </w:r>
            <w:r>
              <w:rPr>
                <w:rStyle w:val="7"/>
                <w:rFonts w:hint="default" w:ascii="Times New Roman" w:hAnsi="Times New Roman" w:eastAsia="宋体" w:cs="Times New Roman"/>
                <w:b w:val="0"/>
                <w:bCs/>
                <w:color w:val="00B0F0"/>
                <w:kern w:val="0"/>
                <w:sz w:val="24"/>
                <w:szCs w:val="24"/>
                <w:lang w:val="en-US" w:eastAsia="zh-CN" w:bidi="ar"/>
              </w:rPr>
              <w:t>concrete proof of credibility and external endorsement</w:t>
            </w:r>
            <w:r>
              <w:rPr>
                <w:rFonts w:hint="default" w:ascii="Times New Roman" w:hAnsi="Times New Roman" w:eastAsia="宋体" w:cs="Times New Roman"/>
                <w:b w:val="0"/>
                <w:bCs/>
                <w:color w:val="00B0F0"/>
                <w:kern w:val="0"/>
                <w:sz w:val="24"/>
                <w:szCs w:val="24"/>
                <w:lang w:val="en-US" w:eastAsia="zh-CN" w:bidi="ar"/>
              </w:rPr>
              <w:t xml:space="preserve">, directly enhancing their </w:t>
            </w:r>
            <w:r>
              <w:rPr>
                <w:rStyle w:val="7"/>
                <w:rFonts w:hint="default" w:ascii="Times New Roman" w:hAnsi="Times New Roman" w:eastAsia="宋体" w:cs="Times New Roman"/>
                <w:b w:val="0"/>
                <w:bCs/>
                <w:color w:val="00B0F0"/>
                <w:kern w:val="0"/>
                <w:sz w:val="24"/>
                <w:szCs w:val="24"/>
                <w:lang w:val="en-US" w:eastAsia="zh-CN" w:bidi="ar"/>
              </w:rPr>
              <w:t>referent and informational power</w:t>
            </w:r>
            <w:r>
              <w:rPr>
                <w:rFonts w:hint="default" w:ascii="Times New Roman" w:hAnsi="Times New Roman" w:eastAsia="宋体" w:cs="Times New Roman"/>
                <w:b w:val="0"/>
                <w:bCs/>
                <w:color w:val="00B0F0"/>
                <w:kern w:val="0"/>
                <w:sz w:val="24"/>
                <w:szCs w:val="24"/>
                <w:lang w:val="en-US" w:eastAsia="zh-CN" w:bidi="ar"/>
              </w:rPr>
              <w:t>.</w:t>
            </w:r>
          </w:p>
        </w:tc>
      </w:tr>
    </w:tbl>
    <w:p w14:paraId="11123F07">
      <w:pPr>
        <w:spacing w:line="240" w:lineRule="auto"/>
        <w:jc w:val="left"/>
        <w:rPr>
          <w:rFonts w:hint="eastAsia"/>
          <w:b/>
          <w:bCs/>
          <w:color w:val="auto"/>
          <w:lang w:val="en-US" w:eastAsia="zh-CN"/>
        </w:rPr>
      </w:pPr>
    </w:p>
    <w:p w14:paraId="76BC2D19">
      <w:pPr>
        <w:spacing w:line="240" w:lineRule="auto"/>
        <w:rPr>
          <w:color w:val="auto"/>
        </w:rPr>
      </w:pPr>
    </w:p>
    <w:p w14:paraId="4EDEBFB1">
      <w:pPr>
        <w:rPr>
          <w:color w:val="auto"/>
        </w:rPr>
      </w:pPr>
    </w:p>
    <w:p w14:paraId="1140843C">
      <w:pPr>
        <w:jc w:val="center"/>
        <w:rPr>
          <w:b/>
          <w:bCs/>
          <w:color w:val="auto"/>
        </w:rPr>
      </w:pPr>
      <w:r>
        <w:rPr>
          <w:color w:val="auto"/>
        </w:rPr>
        <w:br w:type="page"/>
      </w:r>
      <w:r>
        <w:rPr>
          <w:rFonts w:hint="eastAsia" w:eastAsia="宋体"/>
          <w:b/>
          <w:bCs/>
          <w:color w:val="auto"/>
          <w:lang w:val="en-US"/>
        </w:rPr>
        <w:t xml:space="preserve">Appendix </w:t>
      </w:r>
      <w:r>
        <w:rPr>
          <w:rFonts w:hint="eastAsia" w:eastAsia="宋体"/>
          <w:b/>
          <w:bCs/>
          <w:color w:val="auto"/>
          <w:lang w:val="en-US" w:eastAsia="zh-CN"/>
        </w:rPr>
        <w:t>5</w:t>
      </w:r>
      <w:r>
        <w:rPr>
          <w:rFonts w:hint="eastAsia" w:eastAsia="宋体"/>
          <w:b/>
          <w:bCs/>
          <w:color w:val="auto"/>
          <w:lang w:val="en-US"/>
        </w:rPr>
        <w:t xml:space="preserve"> Supportive Evidence for Causal Mechanisms</w:t>
      </w:r>
    </w:p>
    <w:tbl>
      <w:tblPr>
        <w:tblStyle w:val="4"/>
        <w:tblW w:w="15157" w:type="dxa"/>
        <w:jc w:val="center"/>
        <w:tblCellSpacing w:w="15" w:type="dxa"/>
        <w:tblLayout w:type="autofit"/>
        <w:tblCellMar>
          <w:top w:w="15" w:type="dxa"/>
          <w:left w:w="15" w:type="dxa"/>
          <w:bottom w:w="15" w:type="dxa"/>
          <w:right w:w="15" w:type="dxa"/>
        </w:tblCellMar>
      </w:tblPr>
      <w:tblGrid>
        <w:gridCol w:w="2299"/>
        <w:gridCol w:w="4203"/>
        <w:gridCol w:w="4094"/>
        <w:gridCol w:w="4561"/>
      </w:tblGrid>
      <w:tr w14:paraId="6781FCD8">
        <w:tblPrEx>
          <w:tblCellMar>
            <w:top w:w="15" w:type="dxa"/>
            <w:left w:w="15" w:type="dxa"/>
            <w:bottom w:w="15" w:type="dxa"/>
            <w:right w:w="15" w:type="dxa"/>
          </w:tblCellMar>
        </w:tblPrEx>
        <w:trPr>
          <w:tblHeader/>
          <w:tblCellSpacing w:w="15" w:type="dxa"/>
          <w:jc w:val="center"/>
        </w:trPr>
        <w:tc>
          <w:tcPr>
            <w:tcW w:w="2254" w:type="dxa"/>
            <w:tcBorders>
              <w:top w:val="single" w:color="auto" w:sz="12" w:space="0"/>
              <w:bottom w:val="single" w:color="auto" w:sz="4" w:space="0"/>
            </w:tcBorders>
            <w:vAlign w:val="center"/>
          </w:tcPr>
          <w:p w14:paraId="731DB96D">
            <w:pPr>
              <w:widowControl/>
              <w:snapToGrid w:val="0"/>
              <w:spacing w:line="240" w:lineRule="auto"/>
              <w:ind w:firstLine="0" w:firstLineChars="0"/>
              <w:jc w:val="center"/>
              <w:rPr>
                <w:rFonts w:eastAsia="宋体"/>
                <w:b/>
                <w:bCs/>
                <w:color w:val="auto"/>
              </w:rPr>
            </w:pPr>
            <w:r>
              <w:rPr>
                <w:rStyle w:val="7"/>
                <w:rFonts w:eastAsia="宋体"/>
                <w:color w:val="auto"/>
                <w:szCs w:val="24"/>
                <w:lang w:val="en-US" w:bidi="ar"/>
              </w:rPr>
              <w:t>Mechanism</w:t>
            </w:r>
          </w:p>
        </w:tc>
        <w:tc>
          <w:tcPr>
            <w:tcW w:w="4173" w:type="dxa"/>
            <w:tcBorders>
              <w:top w:val="single" w:color="auto" w:sz="12" w:space="0"/>
              <w:bottom w:val="single" w:color="auto" w:sz="4" w:space="0"/>
            </w:tcBorders>
            <w:vAlign w:val="center"/>
          </w:tcPr>
          <w:p w14:paraId="565F7D50">
            <w:pPr>
              <w:widowControl/>
              <w:snapToGrid w:val="0"/>
              <w:spacing w:line="240" w:lineRule="auto"/>
              <w:ind w:firstLine="0" w:firstLineChars="0"/>
              <w:jc w:val="center"/>
              <w:rPr>
                <w:rStyle w:val="7"/>
                <w:rFonts w:eastAsia="宋体"/>
                <w:color w:val="auto"/>
                <w:szCs w:val="24"/>
                <w:lang w:val="en-US" w:bidi="ar"/>
              </w:rPr>
            </w:pPr>
            <w:r>
              <w:rPr>
                <w:rStyle w:val="7"/>
                <w:rFonts w:eastAsia="宋体"/>
                <w:color w:val="auto"/>
                <w:szCs w:val="24"/>
                <w:lang w:val="en-US" w:bidi="ar"/>
              </w:rPr>
              <w:t xml:space="preserve">Supportive Quote </w:t>
            </w:r>
          </w:p>
          <w:p w14:paraId="28574380">
            <w:pPr>
              <w:widowControl/>
              <w:snapToGrid w:val="0"/>
              <w:spacing w:line="240" w:lineRule="auto"/>
              <w:ind w:firstLine="0" w:firstLineChars="0"/>
              <w:jc w:val="center"/>
              <w:rPr>
                <w:rFonts w:eastAsia="宋体"/>
                <w:b/>
                <w:bCs/>
                <w:color w:val="auto"/>
              </w:rPr>
            </w:pPr>
            <w:r>
              <w:rPr>
                <w:rStyle w:val="7"/>
                <w:rFonts w:eastAsia="宋体"/>
                <w:color w:val="auto"/>
                <w:szCs w:val="24"/>
                <w:lang w:val="en-US" w:bidi="ar"/>
              </w:rPr>
              <w:t>(Supplier Perspective)</w:t>
            </w:r>
          </w:p>
        </w:tc>
        <w:tc>
          <w:tcPr>
            <w:tcW w:w="4064" w:type="dxa"/>
            <w:tcBorders>
              <w:top w:val="single" w:color="auto" w:sz="12" w:space="0"/>
              <w:bottom w:val="single" w:color="auto" w:sz="4" w:space="0"/>
            </w:tcBorders>
            <w:vAlign w:val="center"/>
          </w:tcPr>
          <w:p w14:paraId="36C54C62">
            <w:pPr>
              <w:widowControl/>
              <w:snapToGrid w:val="0"/>
              <w:spacing w:line="240" w:lineRule="auto"/>
              <w:ind w:firstLine="0" w:firstLineChars="0"/>
              <w:jc w:val="center"/>
              <w:rPr>
                <w:rFonts w:eastAsia="宋体"/>
                <w:b/>
                <w:bCs/>
                <w:color w:val="auto"/>
              </w:rPr>
            </w:pPr>
            <w:r>
              <w:rPr>
                <w:rStyle w:val="7"/>
                <w:rFonts w:eastAsia="宋体"/>
                <w:color w:val="auto"/>
                <w:szCs w:val="24"/>
                <w:lang w:val="en-US" w:bidi="ar"/>
              </w:rPr>
              <w:t>Supportive Quote (Buyer Perspective)</w:t>
            </w:r>
          </w:p>
        </w:tc>
        <w:tc>
          <w:tcPr>
            <w:tcW w:w="4516" w:type="dxa"/>
            <w:tcBorders>
              <w:top w:val="single" w:color="auto" w:sz="12" w:space="0"/>
              <w:bottom w:val="single" w:color="auto" w:sz="4" w:space="0"/>
            </w:tcBorders>
            <w:vAlign w:val="center"/>
          </w:tcPr>
          <w:p w14:paraId="4A101EFF">
            <w:pPr>
              <w:widowControl/>
              <w:snapToGrid w:val="0"/>
              <w:spacing w:line="240" w:lineRule="auto"/>
              <w:ind w:firstLine="0" w:firstLineChars="0"/>
              <w:jc w:val="center"/>
              <w:rPr>
                <w:rFonts w:eastAsia="宋体"/>
                <w:b/>
                <w:bCs/>
                <w:color w:val="auto"/>
              </w:rPr>
            </w:pPr>
            <w:r>
              <w:rPr>
                <w:rStyle w:val="7"/>
                <w:rFonts w:eastAsia="宋体"/>
                <w:color w:val="auto"/>
                <w:szCs w:val="24"/>
                <w:lang w:val="en-US" w:bidi="ar"/>
              </w:rPr>
              <w:t xml:space="preserve">Interpretation </w:t>
            </w:r>
          </w:p>
        </w:tc>
      </w:tr>
      <w:tr w14:paraId="2E4C7EF4">
        <w:tblPrEx>
          <w:tblCellMar>
            <w:top w:w="15" w:type="dxa"/>
            <w:left w:w="15" w:type="dxa"/>
            <w:bottom w:w="15" w:type="dxa"/>
            <w:right w:w="15" w:type="dxa"/>
          </w:tblCellMar>
        </w:tblPrEx>
        <w:trPr>
          <w:tblCellSpacing w:w="15" w:type="dxa"/>
          <w:jc w:val="center"/>
        </w:trPr>
        <w:tc>
          <w:tcPr>
            <w:tcW w:w="2254" w:type="dxa"/>
            <w:vAlign w:val="center"/>
          </w:tcPr>
          <w:p w14:paraId="00CDCD01">
            <w:pPr>
              <w:widowControl/>
              <w:snapToGrid w:val="0"/>
              <w:spacing w:line="240" w:lineRule="auto"/>
              <w:ind w:firstLine="0" w:firstLineChars="0"/>
              <w:jc w:val="left"/>
              <w:rPr>
                <w:rFonts w:eastAsia="宋体"/>
                <w:color w:val="auto"/>
              </w:rPr>
            </w:pPr>
            <w:r>
              <w:rPr>
                <w:rStyle w:val="7"/>
                <w:rFonts w:eastAsia="宋体"/>
                <w:color w:val="auto"/>
                <w:szCs w:val="24"/>
                <w:lang w:val="en-US" w:bidi="ar"/>
              </w:rPr>
              <w:t>Multi-</w:t>
            </w:r>
            <w:r>
              <w:rPr>
                <w:rStyle w:val="7"/>
                <w:rFonts w:hint="eastAsia" w:eastAsia="宋体"/>
                <w:color w:val="auto"/>
                <w:szCs w:val="24"/>
                <w:lang w:val="en-US" w:bidi="ar"/>
              </w:rPr>
              <w:t>a</w:t>
            </w:r>
            <w:r>
              <w:rPr>
                <w:rStyle w:val="7"/>
                <w:rFonts w:eastAsia="宋体"/>
                <w:color w:val="auto"/>
                <w:szCs w:val="24"/>
                <w:lang w:val="en-US" w:bidi="ar"/>
              </w:rPr>
              <w:t xml:space="preserve">ctor </w:t>
            </w:r>
            <w:r>
              <w:rPr>
                <w:rStyle w:val="7"/>
                <w:rFonts w:hint="eastAsia" w:eastAsia="宋体"/>
                <w:color w:val="auto"/>
                <w:szCs w:val="24"/>
                <w:lang w:val="en-US" w:bidi="ar"/>
              </w:rPr>
              <w:t>s</w:t>
            </w:r>
            <w:r>
              <w:rPr>
                <w:rStyle w:val="7"/>
                <w:rFonts w:eastAsia="宋体"/>
                <w:color w:val="auto"/>
                <w:szCs w:val="24"/>
                <w:lang w:val="en-US" w:bidi="ar"/>
              </w:rPr>
              <w:t>ynergy</w:t>
            </w:r>
          </w:p>
        </w:tc>
        <w:tc>
          <w:tcPr>
            <w:tcW w:w="4173" w:type="dxa"/>
            <w:vAlign w:val="center"/>
          </w:tcPr>
          <w:p w14:paraId="723E4D5E">
            <w:pPr>
              <w:widowControl/>
              <w:snapToGrid w:val="0"/>
              <w:spacing w:line="240" w:lineRule="auto"/>
              <w:ind w:firstLine="0" w:firstLineChars="0"/>
              <w:jc w:val="left"/>
              <w:rPr>
                <w:rFonts w:eastAsia="宋体"/>
                <w:color w:val="auto"/>
              </w:rPr>
            </w:pPr>
            <w:r>
              <w:rPr>
                <w:rStyle w:val="8"/>
                <w:rFonts w:eastAsia="宋体"/>
                <w:color w:val="auto"/>
                <w:szCs w:val="24"/>
                <w:lang w:val="en-US" w:bidi="ar"/>
              </w:rPr>
              <w:t>“It wasn’t just the loan. It was the training from the association, plus the fast-track customs clearance. Together, it told our buyer we were backed and capable, not just desperate.”</w:t>
            </w:r>
            <w:r>
              <w:rPr>
                <w:rFonts w:eastAsia="宋体"/>
                <w:color w:val="auto"/>
                <w:szCs w:val="24"/>
                <w:lang w:val="en-US" w:bidi="ar"/>
              </w:rPr>
              <w:t xml:space="preserve"> (SME5)</w:t>
            </w:r>
          </w:p>
        </w:tc>
        <w:tc>
          <w:tcPr>
            <w:tcW w:w="4064" w:type="dxa"/>
            <w:vAlign w:val="center"/>
          </w:tcPr>
          <w:p w14:paraId="5B2AFD38">
            <w:pPr>
              <w:widowControl/>
              <w:snapToGrid w:val="0"/>
              <w:spacing w:line="240" w:lineRule="auto"/>
              <w:ind w:firstLine="0" w:firstLineChars="0"/>
              <w:jc w:val="left"/>
              <w:rPr>
                <w:rFonts w:eastAsia="宋体"/>
                <w:color w:val="auto"/>
              </w:rPr>
            </w:pPr>
            <w:r>
              <w:rPr>
                <w:rStyle w:val="8"/>
                <w:rFonts w:eastAsia="宋体"/>
                <w:color w:val="auto"/>
                <w:szCs w:val="24"/>
                <w:lang w:val="en-US" w:bidi="ar"/>
              </w:rPr>
              <w:t>“When we saw they had the government certificate, the bank credit, and were being promoted by the industry group, it changed our calculus. It was a coordinated signal of strength.”</w:t>
            </w:r>
            <w:r>
              <w:rPr>
                <w:rFonts w:eastAsia="宋体"/>
                <w:color w:val="auto"/>
                <w:szCs w:val="24"/>
                <w:lang w:val="en-US" w:bidi="ar"/>
              </w:rPr>
              <w:t xml:space="preserve"> (BUYER3)</w:t>
            </w:r>
          </w:p>
        </w:tc>
        <w:tc>
          <w:tcPr>
            <w:tcW w:w="4516" w:type="dxa"/>
            <w:vAlign w:val="center"/>
          </w:tcPr>
          <w:p w14:paraId="1B412C48">
            <w:pPr>
              <w:widowControl/>
              <w:snapToGrid w:val="0"/>
              <w:spacing w:line="240" w:lineRule="auto"/>
              <w:ind w:firstLine="0" w:firstLineChars="0"/>
              <w:jc w:val="left"/>
              <w:rPr>
                <w:rFonts w:eastAsia="宋体"/>
                <w:color w:val="auto"/>
              </w:rPr>
            </w:pPr>
            <w:r>
              <w:rPr>
                <w:rFonts w:hint="eastAsia" w:eastAsia="宋体"/>
                <w:color w:val="auto"/>
                <w:szCs w:val="24"/>
                <w:lang w:val="en-US" w:bidi="ar"/>
              </w:rPr>
              <w:t>C</w:t>
            </w:r>
            <w:r>
              <w:rPr>
                <w:rFonts w:eastAsia="宋体"/>
                <w:color w:val="auto"/>
                <w:szCs w:val="24"/>
                <w:lang w:val="en-US" w:bidi="ar"/>
              </w:rPr>
              <w:t>ombined effect of multiple institutional supports created a compound signal of legitimacy and resilience, enhancing the supplier’s position more than any single intervention.</w:t>
            </w:r>
          </w:p>
        </w:tc>
      </w:tr>
      <w:tr w14:paraId="54181B3C">
        <w:tblPrEx>
          <w:tblCellMar>
            <w:top w:w="15" w:type="dxa"/>
            <w:left w:w="15" w:type="dxa"/>
            <w:bottom w:w="15" w:type="dxa"/>
            <w:right w:w="15" w:type="dxa"/>
          </w:tblCellMar>
        </w:tblPrEx>
        <w:trPr>
          <w:tblCellSpacing w:w="15" w:type="dxa"/>
          <w:jc w:val="center"/>
        </w:trPr>
        <w:tc>
          <w:tcPr>
            <w:tcW w:w="2254" w:type="dxa"/>
            <w:vAlign w:val="center"/>
          </w:tcPr>
          <w:p w14:paraId="47AF2457">
            <w:pPr>
              <w:widowControl/>
              <w:snapToGrid w:val="0"/>
              <w:spacing w:line="240" w:lineRule="auto"/>
              <w:ind w:firstLine="0" w:firstLineChars="0"/>
              <w:jc w:val="left"/>
              <w:rPr>
                <w:rFonts w:eastAsia="宋体"/>
                <w:color w:val="auto"/>
              </w:rPr>
            </w:pPr>
            <w:r>
              <w:rPr>
                <w:rStyle w:val="7"/>
                <w:rFonts w:eastAsia="宋体"/>
                <w:color w:val="auto"/>
                <w:szCs w:val="24"/>
                <w:lang w:val="en-US" w:bidi="ar"/>
              </w:rPr>
              <w:t xml:space="preserve">Altered </w:t>
            </w:r>
            <w:r>
              <w:rPr>
                <w:rStyle w:val="7"/>
                <w:rFonts w:hint="eastAsia" w:eastAsia="宋体"/>
                <w:color w:val="auto"/>
                <w:szCs w:val="24"/>
                <w:lang w:val="en-US" w:bidi="ar"/>
              </w:rPr>
              <w:t>evaluation</w:t>
            </w:r>
          </w:p>
        </w:tc>
        <w:tc>
          <w:tcPr>
            <w:tcW w:w="4173" w:type="dxa"/>
            <w:vAlign w:val="center"/>
          </w:tcPr>
          <w:p w14:paraId="2512054F">
            <w:pPr>
              <w:widowControl/>
              <w:snapToGrid w:val="0"/>
              <w:spacing w:line="240" w:lineRule="auto"/>
              <w:ind w:firstLine="0" w:firstLineChars="0"/>
              <w:jc w:val="left"/>
              <w:rPr>
                <w:rStyle w:val="8"/>
                <w:rFonts w:eastAsia="宋体"/>
                <w:color w:val="auto"/>
                <w:szCs w:val="24"/>
                <w:lang w:val="en-US" w:bidi="ar"/>
              </w:rPr>
            </w:pPr>
            <w:r>
              <w:rPr>
                <w:rStyle w:val="8"/>
                <w:rFonts w:eastAsia="宋体"/>
                <w:color w:val="auto"/>
                <w:szCs w:val="24"/>
                <w:lang w:val="en-US" w:bidi="ar"/>
              </w:rPr>
              <w:t>“After we got the official credit endorsement, they stopped threatening to withhold payment over minor delays. They knew their ‘low-credit’ argument was gone.”</w:t>
            </w:r>
            <w:r>
              <w:rPr>
                <w:rFonts w:eastAsia="宋体"/>
                <w:color w:val="auto"/>
                <w:szCs w:val="24"/>
                <w:lang w:val="en-US" w:bidi="ar"/>
              </w:rPr>
              <w:t xml:space="preserve"> (SME4)</w:t>
            </w:r>
          </w:p>
          <w:p w14:paraId="3F626A29">
            <w:pPr>
              <w:widowControl/>
              <w:snapToGrid w:val="0"/>
              <w:spacing w:line="240" w:lineRule="auto"/>
              <w:ind w:firstLine="0" w:firstLineChars="0"/>
              <w:jc w:val="left"/>
              <w:rPr>
                <w:rFonts w:eastAsia="宋体"/>
                <w:color w:val="auto"/>
              </w:rPr>
            </w:pPr>
            <w:r>
              <w:rPr>
                <w:rStyle w:val="8"/>
                <w:rFonts w:eastAsia="宋体"/>
                <w:color w:val="auto"/>
                <w:szCs w:val="24"/>
                <w:lang w:val="en-US" w:bidi="ar"/>
              </w:rPr>
              <w:t>“With the international platform, we had real alternatives. I could finally push back on their pricing pressure because walking away was a real option.”</w:t>
            </w:r>
            <w:r>
              <w:rPr>
                <w:rFonts w:eastAsia="宋体"/>
                <w:color w:val="auto"/>
                <w:szCs w:val="24"/>
                <w:lang w:val="en-US" w:bidi="ar"/>
              </w:rPr>
              <w:t xml:space="preserve"> (SME8)</w:t>
            </w:r>
          </w:p>
        </w:tc>
        <w:tc>
          <w:tcPr>
            <w:tcW w:w="4064" w:type="dxa"/>
            <w:vAlign w:val="center"/>
          </w:tcPr>
          <w:p w14:paraId="3D8F8528">
            <w:pPr>
              <w:widowControl/>
              <w:snapToGrid w:val="0"/>
              <w:spacing w:line="240" w:lineRule="auto"/>
              <w:ind w:firstLine="0" w:firstLineChars="0"/>
              <w:jc w:val="left"/>
              <w:rPr>
                <w:rStyle w:val="8"/>
                <w:rFonts w:eastAsia="宋体"/>
                <w:color w:val="auto"/>
                <w:szCs w:val="24"/>
                <w:lang w:val="en-US" w:bidi="ar"/>
              </w:rPr>
            </w:pPr>
            <w:r>
              <w:rPr>
                <w:rStyle w:val="8"/>
                <w:rFonts w:eastAsia="宋体"/>
                <w:color w:val="auto"/>
                <w:szCs w:val="24"/>
                <w:lang w:val="en-US" w:bidi="ar"/>
              </w:rPr>
              <w:t>“The surprise audits made us review all our payment terms. The risk of being flagged for a ‘delayed payment’ violation wasn’t worth the marginal cash flow benefit.”</w:t>
            </w:r>
            <w:r>
              <w:rPr>
                <w:rFonts w:eastAsia="宋体"/>
                <w:color w:val="auto"/>
                <w:szCs w:val="24"/>
                <w:lang w:val="en-US" w:bidi="ar"/>
              </w:rPr>
              <w:t xml:space="preserve"> (BUYER2)</w:t>
            </w:r>
          </w:p>
          <w:p w14:paraId="45F41657">
            <w:pPr>
              <w:widowControl/>
              <w:snapToGrid w:val="0"/>
              <w:spacing w:line="240" w:lineRule="auto"/>
              <w:ind w:firstLine="0" w:firstLineChars="0"/>
              <w:jc w:val="left"/>
              <w:rPr>
                <w:rFonts w:eastAsia="宋体"/>
                <w:color w:val="auto"/>
              </w:rPr>
            </w:pPr>
            <w:r>
              <w:rPr>
                <w:rStyle w:val="8"/>
                <w:rFonts w:eastAsia="宋体"/>
                <w:color w:val="auto"/>
                <w:szCs w:val="24"/>
                <w:lang w:val="en-US" w:bidi="ar"/>
              </w:rPr>
              <w:t>“We realized our key supplier was attending international matchmaking events. The threat of replacing them became hollow; we shifted to negotiating extensions.”</w:t>
            </w:r>
            <w:r>
              <w:rPr>
                <w:rFonts w:eastAsia="宋体"/>
                <w:color w:val="auto"/>
                <w:szCs w:val="24"/>
                <w:lang w:val="en-US" w:bidi="ar"/>
              </w:rPr>
              <w:t xml:space="preserve"> (BUYER4)</w:t>
            </w:r>
          </w:p>
        </w:tc>
        <w:tc>
          <w:tcPr>
            <w:tcW w:w="4516" w:type="dxa"/>
            <w:vAlign w:val="center"/>
          </w:tcPr>
          <w:p w14:paraId="4009D408">
            <w:pPr>
              <w:widowControl/>
              <w:snapToGrid w:val="0"/>
              <w:spacing w:line="240" w:lineRule="auto"/>
              <w:ind w:firstLine="0" w:firstLineChars="0"/>
              <w:jc w:val="left"/>
              <w:rPr>
                <w:rFonts w:eastAsia="宋体"/>
                <w:color w:val="auto"/>
              </w:rPr>
            </w:pPr>
            <w:r>
              <w:rPr>
                <w:rFonts w:hint="eastAsia" w:eastAsia="宋体"/>
                <w:color w:val="auto"/>
                <w:szCs w:val="24"/>
                <w:lang w:val="en-US" w:bidi="ar"/>
              </w:rPr>
              <w:t>D</w:t>
            </w:r>
            <w:r>
              <w:rPr>
                <w:rFonts w:eastAsia="宋体"/>
                <w:color w:val="auto"/>
                <w:szCs w:val="24"/>
                <w:lang w:val="en-US" w:bidi="ar"/>
              </w:rPr>
              <w:t>irect change in buyer behavior due to increased costs and diminished leverage , evidencing the altered cost-benefit analysis.</w:t>
            </w:r>
            <w:r>
              <w:rPr>
                <w:rFonts w:hint="eastAsia" w:eastAsia="宋体"/>
                <w:color w:val="auto"/>
                <w:szCs w:val="24"/>
                <w:lang w:val="en-US" w:bidi="ar"/>
              </w:rPr>
              <w:t xml:space="preserve"> R</w:t>
            </w:r>
            <w:r>
              <w:rPr>
                <w:rFonts w:eastAsia="宋体"/>
                <w:color w:val="auto"/>
                <w:szCs w:val="24"/>
                <w:lang w:val="en-US" w:bidi="ar"/>
              </w:rPr>
              <w:t>educed supplier dependency altering the fundamental bargaining dynamic. The buyer’s threat of replacement was constrained by the supplier’s new alternatives.</w:t>
            </w:r>
          </w:p>
        </w:tc>
      </w:tr>
      <w:tr w14:paraId="302CCF0D">
        <w:tblPrEx>
          <w:tblCellMar>
            <w:top w:w="15" w:type="dxa"/>
            <w:left w:w="15" w:type="dxa"/>
            <w:bottom w:w="15" w:type="dxa"/>
            <w:right w:w="15" w:type="dxa"/>
          </w:tblCellMar>
        </w:tblPrEx>
        <w:trPr>
          <w:tblCellSpacing w:w="15" w:type="dxa"/>
          <w:jc w:val="center"/>
        </w:trPr>
        <w:tc>
          <w:tcPr>
            <w:tcW w:w="2254" w:type="dxa"/>
            <w:vAlign w:val="center"/>
          </w:tcPr>
          <w:p w14:paraId="3BD9AEF4">
            <w:pPr>
              <w:widowControl/>
              <w:snapToGrid w:val="0"/>
              <w:spacing w:line="240" w:lineRule="auto"/>
              <w:ind w:firstLine="0" w:firstLineChars="0"/>
              <w:jc w:val="left"/>
              <w:rPr>
                <w:rFonts w:eastAsia="宋体"/>
                <w:color w:val="auto"/>
              </w:rPr>
            </w:pPr>
            <w:r>
              <w:rPr>
                <w:rStyle w:val="7"/>
                <w:rFonts w:eastAsia="宋体"/>
                <w:color w:val="auto"/>
                <w:szCs w:val="24"/>
                <w:lang w:val="en-US" w:bidi="ar"/>
              </w:rPr>
              <w:t xml:space="preserve">Temporary </w:t>
            </w:r>
            <w:r>
              <w:rPr>
                <w:rStyle w:val="7"/>
                <w:rFonts w:hint="eastAsia" w:eastAsia="宋体"/>
                <w:color w:val="auto"/>
                <w:szCs w:val="24"/>
                <w:lang w:val="en-US" w:bidi="ar"/>
              </w:rPr>
              <w:t>p</w:t>
            </w:r>
            <w:r>
              <w:rPr>
                <w:rStyle w:val="7"/>
                <w:rFonts w:eastAsia="宋体"/>
                <w:color w:val="auto"/>
                <w:szCs w:val="24"/>
                <w:lang w:val="en-US" w:bidi="ar"/>
              </w:rPr>
              <w:t xml:space="preserve">rivilege </w:t>
            </w:r>
            <w:r>
              <w:rPr>
                <w:rStyle w:val="7"/>
                <w:rFonts w:hint="eastAsia" w:eastAsia="宋体"/>
                <w:color w:val="auto"/>
                <w:szCs w:val="24"/>
                <w:lang w:val="en-US" w:bidi="ar"/>
              </w:rPr>
              <w:t>s</w:t>
            </w:r>
            <w:r>
              <w:rPr>
                <w:rStyle w:val="7"/>
                <w:rFonts w:eastAsia="宋体"/>
                <w:color w:val="auto"/>
                <w:szCs w:val="24"/>
                <w:lang w:val="en-US" w:bidi="ar"/>
              </w:rPr>
              <w:t>uspension</w:t>
            </w:r>
          </w:p>
        </w:tc>
        <w:tc>
          <w:tcPr>
            <w:tcW w:w="4173" w:type="dxa"/>
            <w:vAlign w:val="center"/>
          </w:tcPr>
          <w:p w14:paraId="29199E89">
            <w:pPr>
              <w:widowControl/>
              <w:snapToGrid w:val="0"/>
              <w:spacing w:line="240" w:lineRule="auto"/>
              <w:ind w:firstLine="0" w:firstLineChars="0"/>
              <w:jc w:val="left"/>
              <w:rPr>
                <w:rStyle w:val="8"/>
                <w:rFonts w:eastAsia="宋体"/>
                <w:color w:val="auto"/>
                <w:szCs w:val="24"/>
                <w:lang w:val="en-US" w:bidi="ar"/>
              </w:rPr>
            </w:pPr>
            <w:r>
              <w:rPr>
                <w:rStyle w:val="8"/>
                <w:rFonts w:eastAsia="宋体"/>
                <w:color w:val="auto"/>
                <w:szCs w:val="24"/>
                <w:lang w:val="en-US" w:bidi="ar"/>
              </w:rPr>
              <w:t>“For decades, the big players got the tax breaks. For these two years, that stream flowed to us. It didn’t make us bigger than them, but it forced them to the table as equals for that time.”</w:t>
            </w:r>
            <w:r>
              <w:rPr>
                <w:rFonts w:eastAsia="宋体"/>
                <w:color w:val="auto"/>
                <w:szCs w:val="24"/>
                <w:lang w:val="en-US" w:bidi="ar"/>
              </w:rPr>
              <w:t xml:space="preserve"> (SME10)</w:t>
            </w:r>
          </w:p>
          <w:p w14:paraId="56E3A3B8">
            <w:pPr>
              <w:widowControl/>
              <w:snapToGrid w:val="0"/>
              <w:spacing w:line="240" w:lineRule="auto"/>
              <w:ind w:firstLine="0" w:firstLineChars="0"/>
              <w:jc w:val="left"/>
              <w:rPr>
                <w:rFonts w:eastAsia="宋体"/>
                <w:color w:val="auto"/>
              </w:rPr>
            </w:pPr>
            <w:r>
              <w:rPr>
                <w:rStyle w:val="8"/>
                <w:rFonts w:eastAsia="宋体"/>
                <w:color w:val="auto"/>
                <w:szCs w:val="24"/>
                <w:lang w:val="en-US" w:bidi="ar"/>
              </w:rPr>
              <w:t>“The legal team from the association intervened in our contract renegotiation. For that negotiation, their standard boilerplate clauses were off the table. It reset the rules just for that moment.”</w:t>
            </w:r>
            <w:r>
              <w:rPr>
                <w:rFonts w:eastAsia="宋体"/>
                <w:color w:val="auto"/>
                <w:szCs w:val="24"/>
                <w:lang w:val="en-US" w:bidi="ar"/>
              </w:rPr>
              <w:t xml:space="preserve"> (SME9)</w:t>
            </w:r>
          </w:p>
        </w:tc>
        <w:tc>
          <w:tcPr>
            <w:tcW w:w="4064" w:type="dxa"/>
            <w:vAlign w:val="center"/>
          </w:tcPr>
          <w:p w14:paraId="760C9B4A">
            <w:pPr>
              <w:widowControl/>
              <w:snapToGrid w:val="0"/>
              <w:spacing w:line="240" w:lineRule="auto"/>
              <w:ind w:firstLine="0" w:firstLineChars="0"/>
              <w:jc w:val="left"/>
              <w:rPr>
                <w:rStyle w:val="8"/>
                <w:rFonts w:eastAsia="宋体"/>
                <w:color w:val="auto"/>
                <w:szCs w:val="24"/>
                <w:lang w:val="en-US" w:bidi="ar"/>
              </w:rPr>
            </w:pPr>
            <w:r>
              <w:rPr>
                <w:rStyle w:val="8"/>
                <w:rFonts w:eastAsia="宋体"/>
                <w:color w:val="auto"/>
                <w:szCs w:val="24"/>
                <w:lang w:val="en-US" w:bidi="ar"/>
              </w:rPr>
              <w:t>“It was a clear policy shift. We were told, directly, that support was being prioritized for SMEs to ‘stabilize the base of the supply chain.’ Our historical access was put on hold.”</w:t>
            </w:r>
            <w:r>
              <w:rPr>
                <w:rFonts w:eastAsia="宋体"/>
                <w:color w:val="auto"/>
                <w:szCs w:val="24"/>
                <w:lang w:val="en-US" w:bidi="ar"/>
              </w:rPr>
              <w:t xml:space="preserve"> (BUYER1)</w:t>
            </w:r>
          </w:p>
          <w:p w14:paraId="5CAE50BB">
            <w:pPr>
              <w:widowControl/>
              <w:snapToGrid w:val="0"/>
              <w:spacing w:line="240" w:lineRule="auto"/>
              <w:ind w:firstLine="0" w:firstLineChars="0"/>
              <w:jc w:val="left"/>
              <w:rPr>
                <w:rFonts w:eastAsia="宋体"/>
                <w:color w:val="auto"/>
              </w:rPr>
            </w:pPr>
            <w:r>
              <w:rPr>
                <w:rStyle w:val="8"/>
                <w:rFonts w:eastAsia="宋体"/>
                <w:color w:val="auto"/>
                <w:szCs w:val="24"/>
                <w:lang w:val="en-US" w:bidi="ar"/>
              </w:rPr>
              <w:t>“We had to renegotiate contracts under the new government guidelines. Our usual terms were non-starters. It was a temporary but total reset of the framework.”</w:t>
            </w:r>
            <w:r>
              <w:rPr>
                <w:rFonts w:eastAsia="宋体"/>
                <w:color w:val="auto"/>
                <w:szCs w:val="24"/>
                <w:lang w:val="en-US" w:bidi="ar"/>
              </w:rPr>
              <w:t xml:space="preserve"> (BUYER2)</w:t>
            </w:r>
          </w:p>
        </w:tc>
        <w:tc>
          <w:tcPr>
            <w:tcW w:w="4516" w:type="dxa"/>
            <w:vAlign w:val="center"/>
          </w:tcPr>
          <w:p w14:paraId="265BF0AC">
            <w:pPr>
              <w:widowControl/>
              <w:snapToGrid w:val="0"/>
              <w:spacing w:line="240" w:lineRule="auto"/>
              <w:ind w:firstLine="0" w:firstLineChars="0"/>
              <w:jc w:val="left"/>
              <w:rPr>
                <w:rFonts w:eastAsia="宋体"/>
                <w:color w:val="auto"/>
              </w:rPr>
            </w:pPr>
            <w:r>
              <w:rPr>
                <w:rFonts w:hint="eastAsia" w:eastAsia="宋体"/>
                <w:color w:val="auto"/>
                <w:szCs w:val="24"/>
                <w:lang w:val="en-US" w:bidi="ar"/>
              </w:rPr>
              <w:t>C</w:t>
            </w:r>
            <w:r>
              <w:rPr>
                <w:rFonts w:eastAsia="宋体"/>
                <w:color w:val="auto"/>
                <w:szCs w:val="24"/>
                <w:lang w:val="en-US" w:bidi="ar"/>
              </w:rPr>
              <w:t xml:space="preserve">risis-driven suspension of historical structural advantages, </w:t>
            </w:r>
            <w:r>
              <w:rPr>
                <w:rFonts w:hint="eastAsia" w:eastAsia="宋体"/>
                <w:color w:val="auto"/>
                <w:szCs w:val="24"/>
                <w:lang w:val="en-US" w:bidi="ar"/>
              </w:rPr>
              <w:t>I</w:t>
            </w:r>
            <w:r>
              <w:rPr>
                <w:rFonts w:eastAsia="宋体"/>
                <w:color w:val="auto"/>
                <w:szCs w:val="24"/>
                <w:lang w:val="en-US" w:bidi="ar"/>
              </w:rPr>
              <w:t>nstitutional actors temporarily overrode standard, buyer-favored procedural rules (a form of privilege), altering the process of power enactment.</w:t>
            </w:r>
          </w:p>
        </w:tc>
      </w:tr>
      <w:tr w14:paraId="3C78344E">
        <w:tblPrEx>
          <w:tblCellMar>
            <w:top w:w="15" w:type="dxa"/>
            <w:left w:w="15" w:type="dxa"/>
            <w:bottom w:w="15" w:type="dxa"/>
            <w:right w:w="15" w:type="dxa"/>
          </w:tblCellMar>
        </w:tblPrEx>
        <w:trPr>
          <w:tblCellSpacing w:w="15" w:type="dxa"/>
          <w:jc w:val="center"/>
        </w:trPr>
        <w:tc>
          <w:tcPr>
            <w:tcW w:w="2254" w:type="dxa"/>
            <w:vAlign w:val="center"/>
          </w:tcPr>
          <w:p w14:paraId="420FF406">
            <w:pPr>
              <w:widowControl/>
              <w:snapToGrid w:val="0"/>
              <w:spacing w:line="240" w:lineRule="auto"/>
              <w:ind w:firstLine="0" w:firstLineChars="0"/>
              <w:jc w:val="left"/>
              <w:rPr>
                <w:rStyle w:val="7"/>
                <w:rFonts w:eastAsia="宋体"/>
                <w:color w:val="auto"/>
                <w:szCs w:val="24"/>
                <w:lang w:val="en-US" w:bidi="ar"/>
              </w:rPr>
            </w:pPr>
            <w:r>
              <w:rPr>
                <w:rStyle w:val="7"/>
                <w:rFonts w:hint="eastAsia" w:eastAsia="宋体"/>
                <w:color w:val="auto"/>
                <w:szCs w:val="24"/>
                <w:lang w:val="en-US" w:bidi="ar"/>
              </w:rPr>
              <w:t>Industry norm transformation</w:t>
            </w:r>
          </w:p>
        </w:tc>
        <w:tc>
          <w:tcPr>
            <w:tcW w:w="4173" w:type="dxa"/>
            <w:vAlign w:val="center"/>
          </w:tcPr>
          <w:p w14:paraId="79115CE6">
            <w:pPr>
              <w:widowControl/>
              <w:snapToGrid w:val="0"/>
              <w:spacing w:line="240" w:lineRule="auto"/>
              <w:ind w:firstLine="0" w:firstLineChars="0"/>
              <w:jc w:val="left"/>
              <w:rPr>
                <w:rStyle w:val="8"/>
                <w:rFonts w:eastAsia="宋体"/>
                <w:color w:val="auto"/>
                <w:szCs w:val="24"/>
                <w:lang w:val="en-US" w:bidi="ar"/>
              </w:rPr>
            </w:pPr>
            <w:r>
              <w:rPr>
                <w:rStyle w:val="8"/>
                <w:rFonts w:eastAsia="宋体"/>
                <w:color w:val="auto"/>
                <w:szCs w:val="24"/>
                <w:lang w:val="en-US" w:bidi="ar"/>
              </w:rPr>
              <w:t>“Before, delaying our payments was just ‘how things worked’ with them. Now, with all the new rules and everyone talking about protecting small businesses, it feels like that old way is no longer acceptable. The whole atmosphere has changed.” (SME3)</w:t>
            </w:r>
          </w:p>
        </w:tc>
        <w:tc>
          <w:tcPr>
            <w:tcW w:w="4064" w:type="dxa"/>
            <w:vAlign w:val="center"/>
          </w:tcPr>
          <w:p w14:paraId="2A25D1C7">
            <w:pPr>
              <w:widowControl/>
              <w:snapToGrid w:val="0"/>
              <w:spacing w:line="240" w:lineRule="auto"/>
              <w:ind w:firstLine="0" w:firstLineChars="0"/>
              <w:jc w:val="left"/>
              <w:rPr>
                <w:rStyle w:val="8"/>
                <w:rFonts w:eastAsia="宋体"/>
                <w:color w:val="auto"/>
                <w:szCs w:val="24"/>
                <w:lang w:val="en-US" w:bidi="ar"/>
              </w:rPr>
            </w:pPr>
            <w:r>
              <w:rPr>
                <w:rStyle w:val="8"/>
                <w:rFonts w:eastAsia="宋体"/>
                <w:color w:val="auto"/>
                <w:szCs w:val="24"/>
                <w:lang w:val="en-US" w:bidi="ar"/>
              </w:rPr>
              <w:t>“You could feel the shift. It wasn’t just about our company or our suppliers. Every meeting, every industry update highlighted support for SMEs. It became the new normal to expect scrutiny and to factor in their support packages. You couldn’t act like it was 2019 anymore.” (BUYER4)</w:t>
            </w:r>
          </w:p>
        </w:tc>
        <w:tc>
          <w:tcPr>
            <w:tcW w:w="4516" w:type="dxa"/>
            <w:vAlign w:val="center"/>
          </w:tcPr>
          <w:p w14:paraId="07ED7A44">
            <w:pPr>
              <w:widowControl/>
              <w:snapToGrid w:val="0"/>
              <w:spacing w:line="240" w:lineRule="auto"/>
              <w:ind w:firstLine="0" w:firstLineChars="0"/>
              <w:jc w:val="left"/>
              <w:rPr>
                <w:rFonts w:eastAsia="宋体"/>
                <w:color w:val="auto"/>
                <w:szCs w:val="24"/>
                <w:lang w:val="en-US" w:bidi="ar"/>
              </w:rPr>
            </w:pPr>
            <w:r>
              <w:rPr>
                <w:rFonts w:hint="eastAsia" w:eastAsia="宋体"/>
                <w:color w:val="auto"/>
                <w:szCs w:val="24"/>
                <w:lang w:val="en-US" w:bidi="ar"/>
              </w:rPr>
              <w:t>Institutional interventions transcended individual cases to reshape field-level norms. Overt opportunism became illegitimate and SME support was legitimized, creating a self-reinforcing social barrier against power abuse.</w:t>
            </w:r>
          </w:p>
        </w:tc>
      </w:tr>
      <w:tr w14:paraId="0FB75D15">
        <w:tblPrEx>
          <w:tblCellMar>
            <w:top w:w="15" w:type="dxa"/>
            <w:left w:w="15" w:type="dxa"/>
            <w:bottom w:w="15" w:type="dxa"/>
            <w:right w:w="15" w:type="dxa"/>
          </w:tblCellMar>
        </w:tblPrEx>
        <w:trPr>
          <w:tblCellSpacing w:w="15" w:type="dxa"/>
          <w:jc w:val="center"/>
        </w:trPr>
        <w:tc>
          <w:tcPr>
            <w:tcW w:w="2254" w:type="dxa"/>
            <w:tcBorders>
              <w:bottom w:val="single" w:color="auto" w:sz="12" w:space="0"/>
            </w:tcBorders>
            <w:vAlign w:val="center"/>
          </w:tcPr>
          <w:p w14:paraId="6A7B779D">
            <w:pPr>
              <w:widowControl/>
              <w:snapToGrid w:val="0"/>
              <w:spacing w:line="240" w:lineRule="auto"/>
              <w:ind w:firstLine="0" w:firstLineChars="0"/>
              <w:jc w:val="left"/>
              <w:rPr>
                <w:rFonts w:eastAsia="宋体"/>
                <w:color w:val="auto"/>
              </w:rPr>
            </w:pPr>
            <w:r>
              <w:rPr>
                <w:rStyle w:val="7"/>
                <w:rFonts w:eastAsia="宋体"/>
                <w:color w:val="auto"/>
                <w:szCs w:val="24"/>
                <w:lang w:val="en-US" w:bidi="ar"/>
              </w:rPr>
              <w:t>Outcome</w:t>
            </w:r>
          </w:p>
        </w:tc>
        <w:tc>
          <w:tcPr>
            <w:tcW w:w="4173" w:type="dxa"/>
            <w:tcBorders>
              <w:bottom w:val="single" w:color="auto" w:sz="12" w:space="0"/>
            </w:tcBorders>
            <w:vAlign w:val="center"/>
          </w:tcPr>
          <w:p w14:paraId="1DA8B5BA">
            <w:pPr>
              <w:widowControl/>
              <w:snapToGrid w:val="0"/>
              <w:spacing w:line="240" w:lineRule="auto"/>
              <w:ind w:firstLine="0" w:firstLineChars="0"/>
              <w:jc w:val="left"/>
              <w:rPr>
                <w:rFonts w:eastAsia="宋体"/>
                <w:color w:val="auto"/>
              </w:rPr>
            </w:pPr>
            <w:r>
              <w:rPr>
                <w:rStyle w:val="8"/>
                <w:rFonts w:eastAsia="宋体"/>
                <w:color w:val="auto"/>
                <w:szCs w:val="24"/>
                <w:lang w:val="en-US" w:bidi="ar"/>
              </w:rPr>
              <w:t>“The utility support didn’t make us bigger, but it kept our lights on. It meant when they demanded a price cut, we weren’t negotiating from a position of existential fear.”</w:t>
            </w:r>
            <w:r>
              <w:rPr>
                <w:rFonts w:eastAsia="宋体"/>
                <w:color w:val="auto"/>
                <w:szCs w:val="24"/>
                <w:lang w:val="en-US" w:bidi="ar"/>
              </w:rPr>
              <w:t xml:space="preserve"> (SME2)</w:t>
            </w:r>
          </w:p>
        </w:tc>
        <w:tc>
          <w:tcPr>
            <w:tcW w:w="4064" w:type="dxa"/>
            <w:tcBorders>
              <w:bottom w:val="single" w:color="auto" w:sz="12" w:space="0"/>
            </w:tcBorders>
            <w:vAlign w:val="center"/>
          </w:tcPr>
          <w:p w14:paraId="6C50656D">
            <w:pPr>
              <w:widowControl/>
              <w:snapToGrid w:val="0"/>
              <w:spacing w:line="240" w:lineRule="auto"/>
              <w:ind w:firstLine="0" w:firstLineChars="0"/>
              <w:jc w:val="left"/>
              <w:rPr>
                <w:rFonts w:eastAsia="宋体"/>
                <w:color w:val="auto"/>
              </w:rPr>
            </w:pPr>
            <w:r>
              <w:rPr>
                <w:rStyle w:val="8"/>
                <w:rFonts w:eastAsia="宋体"/>
                <w:color w:val="auto"/>
                <w:szCs w:val="24"/>
                <w:lang w:val="en-US" w:bidi="ar"/>
              </w:rPr>
              <w:t>“Their resilience surprised us. Even small suppliers had contingency plans and backup resources we didn’t expect. It made purely coercive tactics ineffective and counterproductive.”</w:t>
            </w:r>
            <w:r>
              <w:rPr>
                <w:rFonts w:eastAsia="宋体"/>
                <w:color w:val="auto"/>
                <w:szCs w:val="24"/>
                <w:lang w:val="en-US" w:bidi="ar"/>
              </w:rPr>
              <w:t xml:space="preserve"> (BUYER1)</w:t>
            </w:r>
          </w:p>
        </w:tc>
        <w:tc>
          <w:tcPr>
            <w:tcW w:w="4516" w:type="dxa"/>
            <w:tcBorders>
              <w:bottom w:val="single" w:color="auto" w:sz="12" w:space="0"/>
            </w:tcBorders>
            <w:vAlign w:val="center"/>
          </w:tcPr>
          <w:p w14:paraId="63500407">
            <w:pPr>
              <w:widowControl/>
              <w:snapToGrid w:val="0"/>
              <w:spacing w:line="240" w:lineRule="auto"/>
              <w:ind w:firstLine="0" w:firstLineChars="0"/>
              <w:jc w:val="left"/>
              <w:rPr>
                <w:rFonts w:eastAsia="宋体"/>
                <w:color w:val="auto"/>
              </w:rPr>
            </w:pPr>
            <w:r>
              <w:rPr>
                <w:rFonts w:hint="eastAsia" w:eastAsia="宋体"/>
                <w:color w:val="auto"/>
                <w:szCs w:val="24"/>
                <w:lang w:val="en-US" w:bidi="ar"/>
              </w:rPr>
              <w:t>I</w:t>
            </w:r>
            <w:r>
              <w:rPr>
                <w:rFonts w:eastAsia="宋体"/>
                <w:color w:val="auto"/>
                <w:szCs w:val="24"/>
                <w:lang w:val="en-US" w:bidi="ar"/>
              </w:rPr>
              <w:t>nstitutional support enhanced supplier resilience, reducing the efficacy and utility of the buyer’s coercive power without erasing its source.</w:t>
            </w:r>
          </w:p>
        </w:tc>
      </w:tr>
    </w:tbl>
    <w:p w14:paraId="087AAE9F">
      <w:pPr>
        <w:rPr>
          <w:color w:val="auto"/>
        </w:rPr>
        <w:sectPr>
          <w:pgSz w:w="16838" w:h="11906" w:orient="landscape"/>
          <w:pgMar w:top="1803" w:right="1440" w:bottom="1803" w:left="1440" w:header="851" w:footer="992" w:gutter="0"/>
          <w:cols w:space="0" w:num="1"/>
          <w:docGrid w:type="lines" w:linePitch="332" w:charSpace="0"/>
        </w:sectPr>
      </w:pPr>
      <w:bookmarkStart w:id="1" w:name="_GoBack"/>
      <w:bookmarkEnd w:id="1"/>
    </w:p>
    <w:p w14:paraId="02FCD8AB">
      <w:pPr>
        <w:ind w:left="0" w:leftChars="0" w:firstLine="0" w:firstLineChars="0"/>
      </w:pPr>
    </w:p>
    <w:sectPr>
      <w:pgSz w:w="11906" w:h="16838"/>
      <w:pgMar w:top="1440" w:right="1797" w:bottom="1440" w:left="1797" w:header="851" w:footer="992" w:gutter="0"/>
      <w:cols w:space="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Theme Body CS)">
    <w:altName w:val="Times New Roman"/>
    <w:panose1 w:val="00000000000000000000"/>
    <w:charset w:val="00"/>
    <w:family w:val="roman"/>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ind w:firstLine="480"/>
      </w:pPr>
      <w:r>
        <w:separator/>
      </w:r>
    </w:p>
  </w:footnote>
  <w:footnote w:type="continuationSeparator" w:id="1">
    <w:p>
      <w:pPr>
        <w:spacing w:line="48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802269"/>
    <w:rsid w:val="6A802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auto"/>
      <w:ind w:firstLine="480" w:firstLineChars="200"/>
      <w:jc w:val="both"/>
    </w:pPr>
    <w:rPr>
      <w:rFonts w:ascii="Times New Roman" w:hAnsi="Times New Roman" w:cs="Times New Roman" w:eastAsiaTheme="minorHAnsi"/>
      <w:sz w:val="24"/>
      <w:szCs w:val="22"/>
      <w:lang w:val="en-GB"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513"/>
        <w:tab w:val="right" w:pos="9026"/>
      </w:tabs>
    </w:pPr>
    <w:rPr>
      <w:lang w:val="en-US" w:eastAsia="ja-JP"/>
    </w:rPr>
  </w:style>
  <w:style w:type="paragraph" w:styleId="3">
    <w:name w:val="header"/>
    <w:basedOn w:val="1"/>
    <w:unhideWhenUsed/>
    <w:qFormat/>
    <w:uiPriority w:val="99"/>
    <w:pPr>
      <w:tabs>
        <w:tab w:val="center" w:pos="4513"/>
        <w:tab w:val="right" w:pos="9026"/>
      </w:tabs>
    </w:pPr>
    <w:rPr>
      <w:lang w:val="en-US" w:eastAsia="ja-JP"/>
    </w:rPr>
  </w:style>
  <w:style w:type="table" w:styleId="5">
    <w:name w:val="Table Grid"/>
    <w:basedOn w:val="4"/>
    <w:qFormat/>
    <w:uiPriority w:val="39"/>
    <w:rPr>
      <w:rFonts w:ascii="Arial (Theme Body CS)" w:hAnsi="Arial (Theme Body CS)"/>
      <w:sz w:val="22"/>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Emphasis"/>
    <w:basedOn w:val="6"/>
    <w:qFormat/>
    <w:uiPriority w:val="0"/>
    <w:rPr>
      <w:i/>
    </w:rPr>
  </w:style>
  <w:style w:type="table" w:customStyle="1" w:styleId="9">
    <w:name w:val="网格型21"/>
    <w:basedOn w:val="4"/>
    <w:qFormat/>
    <w:uiPriority w:val="39"/>
    <w:rPr>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
    <w:name w:val="网格型3"/>
    <w:basedOn w:val="4"/>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网格型1"/>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2026-01-14T02:57:00Z</dcterms:created>
  <dc:creator>Lorraine</dc:creator>
  <cp:lastModifiedBy>Lorraine</cp:lastModifiedBy>
  <dcterms:modified xsi:type="dcterms:W3CDTF">2026-01-14T02:58:59Z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EE21E0003DAF43828CF1634FE64F622C_11</vt:lpwstr>
  </property>
  <property fmtid="{D5CDD505-2E9C-101B-9397-08002B2CF9AE}" pid="4" name="KSOTemplateDocerSaveRecord">
    <vt:lpwstr>eyJoZGlkIjoiMzEwNTM5NzYwMDRjMzkwZTVkZjY2ODkwMGIxNGU0OTUiLCJ1c2VySWQiOiIyOTY4Njg4NzQifQ==</vt:lpwstr>
  </property>
</Properties>
</file>