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2C9CE686" w:rsidR="002723CF" w:rsidRDefault="0011772C">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b/>
          <w:noProof/>
        </w:rPr>
        <w:drawing>
          <wp:inline distT="114300" distB="114300" distL="114300" distR="114300" wp14:anchorId="473B230E" wp14:editId="42BC9851">
            <wp:extent cx="7743825" cy="9717879"/>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82C3929" wp14:editId="3399BCA7">
                <wp:simplePos x="0" y="0"/>
                <wp:positionH relativeFrom="column">
                  <wp:posOffset>-203199</wp:posOffset>
                </wp:positionH>
                <wp:positionV relativeFrom="paragraph">
                  <wp:posOffset>2324100</wp:posOffset>
                </wp:positionV>
                <wp:extent cx="2616971" cy="1853080"/>
                <wp:effectExtent l="0" t="0" r="0" b="0"/>
                <wp:wrapNone/>
                <wp:docPr id="17"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616971" cy="185308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BE71595" wp14:editId="5B33B079">
                <wp:simplePos x="0" y="0"/>
                <wp:positionH relativeFrom="column">
                  <wp:posOffset>-203199</wp:posOffset>
                </wp:positionH>
                <wp:positionV relativeFrom="paragraph">
                  <wp:posOffset>2209800</wp:posOffset>
                </wp:positionV>
                <wp:extent cx="5093970" cy="2214607"/>
                <wp:effectExtent l="0" t="0" r="0" b="0"/>
                <wp:wrapNone/>
                <wp:docPr id="15" name="Rectangle 15"/>
                <wp:cNvGraphicFramePr/>
                <a:graphic xmlns:a="http://schemas.openxmlformats.org/drawingml/2006/main">
                  <a:graphicData uri="http://schemas.microsoft.com/office/word/2010/wordprocessingShape">
                    <wps:wsp>
                      <wps:cNvSpPr/>
                      <wps:spPr>
                        <a:xfrm>
                          <a:off x="2696400" y="2637000"/>
                          <a:ext cx="5299200" cy="2286000"/>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2F68C9" w:rsidRDefault="0011772C">
                            <w:pPr>
                              <w:spacing w:line="275" w:lineRule="auto"/>
                              <w:textDirection w:val="btLr"/>
                              <w:rPr>
                                <w:color w:val="1F497D" w:themeColor="text2"/>
                                <w:sz w:val="22"/>
                                <w:szCs w:val="22"/>
                              </w:rPr>
                            </w:pPr>
                            <w:proofErr w:type="gramStart"/>
                            <w:r w:rsidRPr="002F68C9">
                              <w:rPr>
                                <w:b/>
                                <w:color w:val="1F497D" w:themeColor="text2"/>
                                <w:sz w:val="32"/>
                                <w:szCs w:val="22"/>
                              </w:rPr>
                              <w:t xml:space="preserve">{{ </w:t>
                            </w:r>
                            <w:proofErr w:type="spellStart"/>
                            <w:r w:rsidRPr="002F68C9">
                              <w:rPr>
                                <w:b/>
                                <w:color w:val="1F497D" w:themeColor="text2"/>
                                <w:sz w:val="32"/>
                                <w:szCs w:val="22"/>
                              </w:rPr>
                              <w:t>doc</w:t>
                            </w:r>
                            <w:proofErr w:type="gramEnd"/>
                            <w:r w:rsidRPr="002F68C9">
                              <w:rPr>
                                <w:b/>
                                <w:color w:val="1F497D" w:themeColor="text2"/>
                                <w:sz w:val="32"/>
                                <w:szCs w:val="22"/>
                              </w:rPr>
                              <w:t>_title</w:t>
                            </w:r>
                            <w:proofErr w:type="spellEnd"/>
                            <w:r w:rsidRPr="002F68C9">
                              <w:rPr>
                                <w:b/>
                                <w:color w:val="1F497D" w:themeColor="text2"/>
                                <w:sz w:val="32"/>
                                <w:szCs w:val="22"/>
                              </w:rPr>
                              <w:t xml:space="preserve"> }}</w:t>
                            </w:r>
                          </w:p>
                          <w:p w14:paraId="5C63B5D3" w14:textId="7C0B7F01" w:rsidR="002723CF" w:rsidRDefault="0011772C">
                            <w:pPr>
                              <w:spacing w:line="275" w:lineRule="auto"/>
                              <w:ind w:right="-86"/>
                              <w:textDirection w:val="btLr"/>
                            </w:pPr>
                            <w:r w:rsidRPr="005206D0">
                              <w:rPr>
                                <w:color w:val="1F497D" w:themeColor="text2"/>
                                <w:sz w:val="60"/>
                              </w:rPr>
                              <w:t xml:space="preserve">{{ customer </w:t>
                            </w:r>
                            <w:r w:rsidR="005206D0" w:rsidRPr="005206D0">
                              <w:rPr>
                                <w:color w:val="1F497D" w:themeColor="text2"/>
                                <w:sz w:val="60"/>
                              </w:rPr>
                              <w:t>}}</w:t>
                            </w:r>
                          </w:p>
                          <w:p w14:paraId="784342C8" w14:textId="18843F43" w:rsidR="002723CF" w:rsidRPr="002F68C9" w:rsidRDefault="002F68C9">
                            <w:pPr>
                              <w:spacing w:line="275" w:lineRule="auto"/>
                              <w:ind w:right="-86"/>
                              <w:textDirection w:val="btLr"/>
                              <w:rPr>
                                <w:color w:val="1F497D" w:themeColor="text2"/>
                                <w:sz w:val="16"/>
                                <w:szCs w:val="16"/>
                              </w:rPr>
                            </w:pPr>
                            <w:proofErr w:type="gramStart"/>
                            <w:r w:rsidRPr="002F68C9">
                              <w:rPr>
                                <w:color w:val="1F497D" w:themeColor="text2"/>
                                <w:sz w:val="28"/>
                                <w:szCs w:val="16"/>
                              </w:rPr>
                              <w:t xml:space="preserve">{{ </w:t>
                            </w:r>
                            <w:proofErr w:type="spellStart"/>
                            <w:r w:rsidRPr="002F68C9">
                              <w:rPr>
                                <w:color w:val="1F497D" w:themeColor="text2"/>
                                <w:sz w:val="28"/>
                                <w:szCs w:val="16"/>
                              </w:rPr>
                              <w:t>iso</w:t>
                            </w:r>
                            <w:proofErr w:type="gramEnd"/>
                            <w:r w:rsidRPr="002F68C9">
                              <w:rPr>
                                <w:color w:val="1F497D" w:themeColor="text2"/>
                                <w:sz w:val="28"/>
                                <w:szCs w:val="16"/>
                              </w:rPr>
                              <w:t>_date</w:t>
                            </w:r>
                            <w:proofErr w:type="spellEnd"/>
                            <w:r w:rsidRPr="002F68C9">
                              <w:rPr>
                                <w:color w:val="1F497D" w:themeColor="text2"/>
                                <w:sz w:val="28"/>
                                <w:szCs w:val="16"/>
                              </w:rPr>
                              <w:t xml:space="preserve"> }}</w:t>
                            </w:r>
                          </w:p>
                        </w:txbxContent>
                      </wps:txbx>
                      <wps:bodyPr spcFirstLastPara="1" wrap="square" lIns="91425" tIns="45700" rIns="10300" bIns="45700" anchor="t" anchorCtr="0">
                        <a:noAutofit/>
                      </wps:bodyPr>
                    </wps:wsp>
                  </a:graphicData>
                </a:graphic>
              </wp:anchor>
            </w:drawing>
          </mc:Choice>
          <mc:Fallback>
            <w:pict>
              <v:rect w14:anchorId="2BE71595" id="Rectangle 15" o:spid="_x0000_s1027" style="position:absolute;left:0;text-align:left;margin-left:-16pt;margin-top:174pt;width:401.1pt;height:17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" filled="f" stroked="f">
                <v:shadow on="t" color="black" opacity="8994f" origin="-.5,.5" offset="0,0"/>
                <v:textbox inset="2.53958mm,1.2694mm,.28611mm,1.2694mm">
                  <w:txbxContent>
                    <w:p w14:paraId="6E876CBE" w14:textId="77777777" w:rsidR="002723CF" w:rsidRPr="002F68C9" w:rsidRDefault="0011772C">
                      <w:pPr>
                        <w:spacing w:line="275" w:lineRule="auto"/>
                        <w:textDirection w:val="btLr"/>
                        <w:rPr>
                          <w:color w:val="1F497D" w:themeColor="text2"/>
                          <w:sz w:val="22"/>
                          <w:szCs w:val="22"/>
                        </w:rPr>
                      </w:pPr>
                      <w:proofErr w:type="gramStart"/>
                      <w:r w:rsidRPr="002F68C9">
                        <w:rPr>
                          <w:b/>
                          <w:color w:val="1F497D" w:themeColor="text2"/>
                          <w:sz w:val="32"/>
                          <w:szCs w:val="22"/>
                        </w:rPr>
                        <w:t xml:space="preserve">{{ </w:t>
                      </w:r>
                      <w:proofErr w:type="spellStart"/>
                      <w:r w:rsidRPr="002F68C9">
                        <w:rPr>
                          <w:b/>
                          <w:color w:val="1F497D" w:themeColor="text2"/>
                          <w:sz w:val="32"/>
                          <w:szCs w:val="22"/>
                        </w:rPr>
                        <w:t>doc</w:t>
                      </w:r>
                      <w:proofErr w:type="gramEnd"/>
                      <w:r w:rsidRPr="002F68C9">
                        <w:rPr>
                          <w:b/>
                          <w:color w:val="1F497D" w:themeColor="text2"/>
                          <w:sz w:val="32"/>
                          <w:szCs w:val="22"/>
                        </w:rPr>
                        <w:t>_title</w:t>
                      </w:r>
                      <w:proofErr w:type="spellEnd"/>
                      <w:r w:rsidRPr="002F68C9">
                        <w:rPr>
                          <w:b/>
                          <w:color w:val="1F497D" w:themeColor="text2"/>
                          <w:sz w:val="32"/>
                          <w:szCs w:val="22"/>
                        </w:rPr>
                        <w:t xml:space="preserve"> }}</w:t>
                      </w:r>
                    </w:p>
                    <w:p w14:paraId="5C63B5D3" w14:textId="7C0B7F01" w:rsidR="002723CF" w:rsidRDefault="0011772C">
                      <w:pPr>
                        <w:spacing w:line="275" w:lineRule="auto"/>
                        <w:ind w:right="-86"/>
                        <w:textDirection w:val="btLr"/>
                      </w:pPr>
                      <w:r w:rsidRPr="005206D0">
                        <w:rPr>
                          <w:color w:val="1F497D" w:themeColor="text2"/>
                          <w:sz w:val="60"/>
                        </w:rPr>
                        <w:t xml:space="preserve">{{ customer </w:t>
                      </w:r>
                      <w:r w:rsidR="005206D0" w:rsidRPr="005206D0">
                        <w:rPr>
                          <w:color w:val="1F497D" w:themeColor="text2"/>
                          <w:sz w:val="60"/>
                        </w:rPr>
                        <w:t>}}</w:t>
                      </w:r>
                    </w:p>
                    <w:p w14:paraId="784342C8" w14:textId="18843F43" w:rsidR="002723CF" w:rsidRPr="002F68C9" w:rsidRDefault="002F68C9">
                      <w:pPr>
                        <w:spacing w:line="275" w:lineRule="auto"/>
                        <w:ind w:right="-86"/>
                        <w:textDirection w:val="btLr"/>
                        <w:rPr>
                          <w:color w:val="1F497D" w:themeColor="text2"/>
                          <w:sz w:val="16"/>
                          <w:szCs w:val="16"/>
                        </w:rPr>
                      </w:pPr>
                      <w:proofErr w:type="gramStart"/>
                      <w:r w:rsidRPr="002F68C9">
                        <w:rPr>
                          <w:color w:val="1F497D" w:themeColor="text2"/>
                          <w:sz w:val="28"/>
                          <w:szCs w:val="16"/>
                        </w:rPr>
                        <w:t xml:space="preserve">{{ </w:t>
                      </w:r>
                      <w:proofErr w:type="spellStart"/>
                      <w:r w:rsidRPr="002F68C9">
                        <w:rPr>
                          <w:color w:val="1F497D" w:themeColor="text2"/>
                          <w:sz w:val="28"/>
                          <w:szCs w:val="16"/>
                        </w:rPr>
                        <w:t>iso</w:t>
                      </w:r>
                      <w:proofErr w:type="gramEnd"/>
                      <w:r w:rsidRPr="002F68C9">
                        <w:rPr>
                          <w:color w:val="1F497D" w:themeColor="text2"/>
                          <w:sz w:val="28"/>
                          <w:szCs w:val="16"/>
                        </w:rPr>
                        <w:t>_date</w:t>
                      </w:r>
                      <w:proofErr w:type="spellEnd"/>
                      <w:r w:rsidRPr="002F68C9">
                        <w:rPr>
                          <w:color w:val="1F497D" w:themeColor="text2"/>
                          <w:sz w:val="28"/>
                          <w:szCs w:val="16"/>
                        </w:rPr>
                        <w:t xml:space="preserve"> }}</w:t>
                      </w: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3F60D9">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3F60D9">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3F60D9">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3F60D9">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3F60D9">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3F60D9">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3F60D9">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3F60D9">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3F60D9">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3F60D9">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3F60D9">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3F60D9">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3F60D9">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3F60D9">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3F60D9">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3F60D9">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3F60D9">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customer</w:t>
            </w:r>
            <w:proofErr w:type="gramEnd"/>
            <w:r>
              <w:t xml:space="preserve"> }}</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 </w:t>
            </w:r>
            <w:r w:rsidR="00CC2A94">
              <w:t>contact</w:t>
            </w:r>
            <w:proofErr w:type="gramEnd"/>
            <w:r w:rsidR="00CC2A94">
              <w:t xml:space="preserve"> </w:t>
            </w:r>
            <w:r>
              <w:t>}}</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 </w:t>
            </w:r>
            <w:proofErr w:type="spellStart"/>
            <w:r w:rsidR="00CC2A94">
              <w:t>contact</w:t>
            </w:r>
            <w:proofErr w:type="gramEnd"/>
            <w:r>
              <w:t>_phone</w:t>
            </w:r>
            <w:proofErr w:type="spellEnd"/>
            <w:r>
              <w:t xml:space="preserve"> }}</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 </w:t>
            </w:r>
            <w:proofErr w:type="spellStart"/>
            <w:r w:rsidR="00CC2A94">
              <w:t>contact</w:t>
            </w:r>
            <w:proofErr w:type="gramEnd"/>
            <w:r>
              <w:t>_email</w:t>
            </w:r>
            <w:proofErr w:type="spellEnd"/>
            <w:r>
              <w:t xml:space="preserve"> }}</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Graph</w:t>
      </w:r>
    </w:p>
    <w:p w14:paraId="4E1F14C0" w14:textId="77777777" w:rsidR="002723CF" w:rsidRDefault="0011772C">
      <w:proofErr w:type="gramStart"/>
      <w:r>
        <w:t xml:space="preserve">{{ </w:t>
      </w:r>
      <w:proofErr w:type="spellStart"/>
      <w:r>
        <w:t>myimage</w:t>
      </w:r>
      <w:proofErr w:type="spellEnd"/>
      <w:proofErr w:type="gramEnd"/>
      <w:r>
        <w:t xml:space="preserve"> }}</w:t>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 </w:t>
      </w:r>
      <w:proofErr w:type="spellStart"/>
      <w:r>
        <w:rPr>
          <w:b/>
        </w:rPr>
        <w:t>total</w:t>
      </w:r>
      <w:proofErr w:type="gramEnd"/>
      <w:r>
        <w:rPr>
          <w:b/>
        </w:rPr>
        <w:t>_events</w:t>
      </w:r>
      <w:proofErr w:type="spellEnd"/>
      <w:r>
        <w:rPr>
          <w:b/>
        </w:rPr>
        <w:t xml:space="preserve"> }}</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a4"/>
        <w:tblW w:w="539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97"/>
        <w:gridCol w:w="2697"/>
      </w:tblGrid>
      <w:tr w:rsidR="002723CF" w14:paraId="3C18227B" w14:textId="77777777">
        <w:tc>
          <w:tcPr>
            <w:tcW w:w="2697" w:type="dxa"/>
          </w:tcPr>
          <w:p w14:paraId="5E61DE3E" w14:textId="77777777" w:rsidR="002723CF" w:rsidRDefault="0011772C">
            <w:pPr>
              <w:spacing w:after="0" w:line="240" w:lineRule="auto"/>
            </w:pPr>
            <w:r>
              <w:t>Category</w:t>
            </w:r>
          </w:p>
        </w:tc>
        <w:tc>
          <w:tcPr>
            <w:tcW w:w="2697" w:type="dxa"/>
          </w:tcPr>
          <w:p w14:paraId="6B97DD78" w14:textId="77777777" w:rsidR="002723CF" w:rsidRDefault="0011772C">
            <w:pPr>
              <w:spacing w:after="0" w:line="240" w:lineRule="auto"/>
            </w:pPr>
            <w:r>
              <w:t>Count</w:t>
            </w:r>
          </w:p>
        </w:tc>
      </w:tr>
      <w:tr w:rsidR="002723CF" w14:paraId="13A0663A" w14:textId="77777777">
        <w:tc>
          <w:tcPr>
            <w:tcW w:w="2697" w:type="dxa"/>
          </w:tcPr>
          <w:p w14:paraId="04EF9317" w14:textId="77777777" w:rsidR="002723CF" w:rsidRDefault="0011772C">
            <w:pPr>
              <w:spacing w:after="0" w:line="240" w:lineRule="auto"/>
            </w:pPr>
            <w:r>
              <w:t>Data Exfiltration</w:t>
            </w:r>
          </w:p>
        </w:tc>
        <w:tc>
          <w:tcPr>
            <w:tcW w:w="2697" w:type="dxa"/>
          </w:tcPr>
          <w:p w14:paraId="75EA9AFD"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if </w:t>
            </w:r>
            <w:proofErr w:type="spellStart"/>
            <w:r>
              <w:t>total_dex_count</w:t>
            </w:r>
            <w:proofErr w:type="spellEnd"/>
            <w:r>
              <w:t xml:space="preserve"> is not none </w:t>
            </w:r>
            <w:proofErr w:type="gramStart"/>
            <w:r>
              <w:t>%}{</w:t>
            </w:r>
            <w:proofErr w:type="gramEnd"/>
            <w:r>
              <w:t xml:space="preserve">{ </w:t>
            </w:r>
            <w:proofErr w:type="spellStart"/>
            <w:r>
              <w:t>total_dex_count</w:t>
            </w:r>
            <w:proofErr w:type="spellEnd"/>
            <w:r>
              <w:t xml:space="preserve"> }}</w:t>
            </w:r>
          </w:p>
          <w:p w14:paraId="4448E09C"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else %}</w:t>
            </w:r>
          </w:p>
          <w:p w14:paraId="3ADD8E86"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NONE</w:t>
            </w:r>
          </w:p>
          <w:p w14:paraId="60B179F4"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endif %}</w:t>
            </w:r>
          </w:p>
        </w:tc>
      </w:tr>
      <w:tr w:rsidR="002723CF" w14:paraId="4842D929" w14:textId="77777777">
        <w:tc>
          <w:tcPr>
            <w:tcW w:w="2697" w:type="dxa"/>
          </w:tcPr>
          <w:p w14:paraId="0B7E77B8" w14:textId="77777777" w:rsidR="002723CF" w:rsidRDefault="0011772C">
            <w:pPr>
              <w:spacing w:after="0" w:line="240" w:lineRule="auto"/>
            </w:pPr>
            <w:r>
              <w:t>Malware/Ransomware</w:t>
            </w:r>
          </w:p>
        </w:tc>
        <w:tc>
          <w:tcPr>
            <w:tcW w:w="2697" w:type="dxa"/>
          </w:tcPr>
          <w:p w14:paraId="0DC38D9C"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if </w:t>
            </w:r>
            <w:proofErr w:type="spellStart"/>
            <w:r>
              <w:t>total_mal_count</w:t>
            </w:r>
            <w:proofErr w:type="spellEnd"/>
            <w:r>
              <w:t xml:space="preserve"> is not none </w:t>
            </w:r>
            <w:proofErr w:type="gramStart"/>
            <w:r>
              <w:t>%}{</w:t>
            </w:r>
            <w:proofErr w:type="gramEnd"/>
            <w:r>
              <w:t xml:space="preserve">{ </w:t>
            </w:r>
            <w:proofErr w:type="spellStart"/>
            <w:r>
              <w:t>total_mal_count</w:t>
            </w:r>
            <w:proofErr w:type="spellEnd"/>
            <w:r>
              <w:t xml:space="preserve"> }}</w:t>
            </w:r>
          </w:p>
          <w:p w14:paraId="221C6341"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else %}</w:t>
            </w:r>
          </w:p>
          <w:p w14:paraId="36187654" w14:textId="77777777" w:rsidR="002723CF"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NONE</w:t>
            </w:r>
          </w:p>
          <w:p w14:paraId="63803374" w14:textId="77777777" w:rsidR="002723CF" w:rsidRDefault="0011772C">
            <w:pPr>
              <w:spacing w:after="0" w:line="240" w:lineRule="auto"/>
            </w:pPr>
            <w:r>
              <w:t>{% endif %}</w:t>
            </w:r>
          </w:p>
        </w:tc>
      </w:tr>
    </w:tbl>
    <w:p w14:paraId="4791C293" w14:textId="77777777" w:rsidR="002723CF" w:rsidRDefault="0011772C">
      <w:pPr>
        <w:pStyle w:val="Heading2"/>
      </w:pPr>
      <w:bookmarkStart w:id="6" w:name="_heading=h.3dy6vkm" w:colFirst="0" w:colLast="0"/>
      <w:bookmarkEnd w:id="6"/>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w:t>
      </w:r>
      <w:r>
        <w:lastRenderedPageBreak/>
        <w:t xml:space="preserve">IP address, as it may be an indication of the amount of data being exfiltrated. The information is being sorted by </w:t>
      </w:r>
    </w:p>
    <w:tbl>
      <w:tblPr>
        <w:tblStyle w:val="a5"/>
        <w:tblW w:w="4017"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322"/>
      </w:tblGrid>
      <w:tr w:rsidR="002723CF" w14:paraId="64806E9A" w14:textId="77777777">
        <w:trPr>
          <w:trHeight w:val="288"/>
        </w:trPr>
        <w:tc>
          <w:tcPr>
            <w:tcW w:w="4017" w:type="dxa"/>
            <w:gridSpan w:val="2"/>
            <w:shd w:val="clear" w:color="auto" w:fill="4F81BD"/>
            <w:tcMar>
              <w:left w:w="33" w:type="dxa"/>
            </w:tcMar>
          </w:tcPr>
          <w:p w14:paraId="10A9FDF6" w14:textId="2CF24033" w:rsidR="002723CF" w:rsidRDefault="0011772C">
            <w:pPr>
              <w:spacing w:after="0" w:line="240" w:lineRule="auto"/>
            </w:pPr>
            <w:r>
              <w:t>Data Exfil</w:t>
            </w:r>
            <w:r w:rsidR="00EE08CD">
              <w:t>tration</w:t>
            </w:r>
          </w:p>
        </w:tc>
      </w:tr>
      <w:tr w:rsidR="002723CF" w14:paraId="4A315E67" w14:textId="77777777">
        <w:trPr>
          <w:trHeight w:val="288"/>
        </w:trPr>
        <w:tc>
          <w:tcPr>
            <w:tcW w:w="2695" w:type="dxa"/>
            <w:tcBorders>
              <w:top w:val="single" w:sz="4" w:space="0" w:color="FFFFFF"/>
            </w:tcBorders>
            <w:shd w:val="clear" w:color="auto" w:fill="auto"/>
            <w:tcMar>
              <w:left w:w="33" w:type="dxa"/>
            </w:tcMar>
          </w:tcPr>
          <w:p w14:paraId="2E1FF88A" w14:textId="72184DC0" w:rsidR="002723CF" w:rsidRDefault="0011772C">
            <w:pPr>
              <w:spacing w:after="0" w:line="240" w:lineRule="auto"/>
            </w:pPr>
            <w:r>
              <w:t xml:space="preserve"> {%tr for data in </w:t>
            </w:r>
            <w:proofErr w:type="spellStart"/>
            <w:r>
              <w:t>data_</w:t>
            </w:r>
            <w:r w:rsidR="00E55D90">
              <w:t>dex</w:t>
            </w:r>
            <w:proofErr w:type="spellEnd"/>
            <w:r>
              <w:t>[‘results</w:t>
            </w:r>
            <w:proofErr w:type="gramStart"/>
            <w:r>
              <w:t>’]%</w:t>
            </w:r>
            <w:proofErr w:type="gramEnd"/>
            <w:r>
              <w:t>}</w:t>
            </w:r>
          </w:p>
        </w:tc>
        <w:tc>
          <w:tcPr>
            <w:tcW w:w="1322" w:type="dxa"/>
            <w:tcBorders>
              <w:top w:val="single" w:sz="4" w:space="0" w:color="FFFFFF"/>
            </w:tcBorders>
          </w:tcPr>
          <w:p w14:paraId="1B8EA3DF" w14:textId="77777777" w:rsidR="002723CF" w:rsidRDefault="002723CF">
            <w:pPr>
              <w:spacing w:after="0" w:line="240" w:lineRule="auto"/>
            </w:pPr>
          </w:p>
        </w:tc>
      </w:tr>
      <w:tr w:rsidR="002723CF" w14:paraId="2E6DD72C" w14:textId="77777777">
        <w:trPr>
          <w:trHeight w:val="20"/>
        </w:trPr>
        <w:tc>
          <w:tcPr>
            <w:tcW w:w="2695" w:type="dxa"/>
            <w:shd w:val="clear" w:color="auto" w:fill="auto"/>
            <w:tcMar>
              <w:left w:w="33" w:type="dxa"/>
            </w:tcMar>
            <w:vAlign w:val="center"/>
          </w:tcPr>
          <w:p w14:paraId="62FF7EB1" w14:textId="77777777" w:rsidR="002723CF" w:rsidRDefault="0011772C">
            <w:pPr>
              <w:spacing w:after="0" w:line="240" w:lineRule="auto"/>
            </w:pPr>
            <w:r>
              <w:t>{{data[‘key’]}}</w:t>
            </w:r>
          </w:p>
        </w:tc>
        <w:tc>
          <w:tcPr>
            <w:tcW w:w="1322" w:type="dxa"/>
            <w:vAlign w:val="center"/>
          </w:tcPr>
          <w:p w14:paraId="7EAC2E01" w14:textId="77777777" w:rsidR="002723CF" w:rsidRDefault="0011772C">
            <w:pPr>
              <w:spacing w:after="0" w:line="240" w:lineRule="auto"/>
            </w:pPr>
            <w:r>
              <w:t>{{data[‘count’]}}</w:t>
            </w:r>
          </w:p>
        </w:tc>
      </w:tr>
      <w:tr w:rsidR="002723CF" w14:paraId="2AF6ADBA" w14:textId="77777777">
        <w:trPr>
          <w:trHeight w:val="288"/>
        </w:trPr>
        <w:tc>
          <w:tcPr>
            <w:tcW w:w="2695" w:type="dxa"/>
            <w:shd w:val="clear" w:color="auto" w:fill="auto"/>
            <w:tcMar>
              <w:left w:w="33" w:type="dxa"/>
            </w:tcMar>
            <w:vAlign w:val="center"/>
          </w:tcPr>
          <w:p w14:paraId="46E481BC" w14:textId="77777777" w:rsidR="002723CF" w:rsidRDefault="0011772C">
            <w:pPr>
              <w:spacing w:after="0" w:line="240" w:lineRule="auto"/>
            </w:pPr>
            <w:r>
              <w:t xml:space="preserve">{%tr </w:t>
            </w:r>
            <w:proofErr w:type="spellStart"/>
            <w:r>
              <w:t>endfor</w:t>
            </w:r>
            <w:proofErr w:type="spellEnd"/>
            <w:r>
              <w:t xml:space="preserve"> %}</w:t>
            </w:r>
          </w:p>
        </w:tc>
        <w:tc>
          <w:tcPr>
            <w:tcW w:w="1322" w:type="dxa"/>
          </w:tcPr>
          <w:p w14:paraId="4751DF77" w14:textId="77777777" w:rsidR="002723CF" w:rsidRDefault="002723CF">
            <w:pPr>
              <w:spacing w:after="0" w:line="240" w:lineRule="auto"/>
            </w:pP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7777777" w:rsidR="002723CF" w:rsidRDefault="0011772C">
      <w:pPr>
        <w:pStyle w:val="Heading3"/>
      </w:pPr>
      <w:bookmarkStart w:id="8" w:name="_heading=h.4d34og8" w:colFirst="0" w:colLast="0"/>
      <w:bookmarkEnd w:id="8"/>
      <w:r>
        <w:t>Categories</w:t>
      </w:r>
    </w:p>
    <w:p w14:paraId="45A89A31" w14:textId="382054BC" w:rsidR="002723CF" w:rsidRDefault="0011772C">
      <w:r>
        <w:t>The following table lists all recorded Malware &amp; Ransomware events:</w:t>
      </w:r>
    </w:p>
    <w:p w14:paraId="5A39FEA8" w14:textId="77777777" w:rsidR="005C2125" w:rsidRDefault="005C2125"/>
    <w:p w14:paraId="70302223" w14:textId="1AA7118E" w:rsidR="002723CF" w:rsidRDefault="0011772C">
      <w:r>
        <w:t xml:space="preserve">{% for data in </w:t>
      </w:r>
      <w:proofErr w:type="spellStart"/>
      <w:r>
        <w:t>data_cat</w:t>
      </w:r>
      <w:r w:rsidR="00B00F03">
        <w:t>egory</w:t>
      </w:r>
      <w:proofErr w:type="spellEnd"/>
      <w:r>
        <w:t>[‘results’][</w:t>
      </w:r>
      <w:proofErr w:type="gramStart"/>
      <w:r>
        <w:t>0][</w:t>
      </w:r>
      <w:proofErr w:type="gramEnd"/>
      <w:r>
        <w:t>'</w:t>
      </w:r>
      <w:proofErr w:type="spellStart"/>
      <w:r>
        <w:t>sub_bucket</w:t>
      </w:r>
      <w:proofErr w:type="spellEnd"/>
      <w:r>
        <w:t>'] %}</w:t>
      </w:r>
    </w:p>
    <w:p w14:paraId="019A9ED7" w14:textId="77777777" w:rsidR="002723CF" w:rsidRDefault="0011772C">
      <w:r>
        <w:t>{{data[‘key’]}} - {{data[‘count’]}}</w:t>
      </w:r>
    </w:p>
    <w:p w14:paraId="23CC56FA" w14:textId="77777777" w:rsidR="002723CF" w:rsidRDefault="0011772C">
      <w:r>
        <w:t xml:space="preserve">    {% for da in data[‘</w:t>
      </w:r>
      <w:proofErr w:type="spellStart"/>
      <w:r>
        <w:t>sub_bucket</w:t>
      </w:r>
      <w:proofErr w:type="spellEnd"/>
      <w:r>
        <w:t xml:space="preserve">’]: </w:t>
      </w:r>
      <w:proofErr w:type="gramStart"/>
      <w:r>
        <w:t>%}{</w:t>
      </w:r>
      <w:proofErr w:type="gramEnd"/>
      <w:r>
        <w:t>{ da[‘key’]}} - {{da[‘count’]}}</w:t>
      </w:r>
    </w:p>
    <w:p w14:paraId="7131897D" w14:textId="77777777" w:rsidR="002723CF" w:rsidRDefault="0011772C">
      <w:r>
        <w:t xml:space="preserve">        {% for d in da[‘</w:t>
      </w:r>
      <w:proofErr w:type="spellStart"/>
      <w:r>
        <w:t>sub_bucket</w:t>
      </w:r>
      <w:proofErr w:type="spellEnd"/>
      <w:r>
        <w:t xml:space="preserve">’]: </w:t>
      </w:r>
      <w:proofErr w:type="gramStart"/>
      <w:r>
        <w:t>%}{</w:t>
      </w:r>
      <w:proofErr w:type="gramEnd"/>
      <w:r>
        <w:t>% if da[‘key’] != ‘</w:t>
      </w:r>
      <w:proofErr w:type="spellStart"/>
      <w:r>
        <w:t>feed_name</w:t>
      </w:r>
      <w:proofErr w:type="spellEnd"/>
      <w:r>
        <w:t>’: %}{{ d[‘key’] }} - {{d[‘count’]}}{% endif %}</w:t>
      </w:r>
    </w:p>
    <w:p w14:paraId="14746F7F" w14:textId="77777777" w:rsidR="002723CF" w:rsidRDefault="0011772C">
      <w:r>
        <w:t xml:space="preserve">        {% </w:t>
      </w:r>
      <w:proofErr w:type="spellStart"/>
      <w:r>
        <w:t>endfor</w:t>
      </w:r>
      <w:proofErr w:type="spellEnd"/>
      <w:r>
        <w:t xml:space="preserve"> %}</w:t>
      </w:r>
    </w:p>
    <w:p w14:paraId="51E6065F" w14:textId="77777777" w:rsidR="002723CF" w:rsidRDefault="0011772C">
      <w:r>
        <w:t xml:space="preserve">    {% </w:t>
      </w:r>
      <w:proofErr w:type="spellStart"/>
      <w:r>
        <w:t>endfor</w:t>
      </w:r>
      <w:proofErr w:type="spellEnd"/>
      <w:r>
        <w:t xml:space="preserve"> %}</w:t>
      </w:r>
    </w:p>
    <w:p w14:paraId="008F3CF0" w14:textId="77777777" w:rsidR="002723CF" w:rsidRDefault="0011772C">
      <w:r>
        <w:t xml:space="preserve">{% </w:t>
      </w:r>
      <w:proofErr w:type="spellStart"/>
      <w:r>
        <w:t>endfor</w:t>
      </w:r>
      <w:proofErr w:type="spellEnd"/>
      <w:r>
        <w:t xml:space="preserve"> %}</w:t>
      </w:r>
    </w:p>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7777777" w:rsidR="002723CF" w:rsidRDefault="0011772C">
      <w:r>
        <w:t>The following table lists all recorded Malware &amp; Ransomware events:</w:t>
      </w:r>
    </w:p>
    <w:p w14:paraId="0E0AE8CA" w14:textId="2D57205E" w:rsidR="002723CF" w:rsidRDefault="0011772C">
      <w:r>
        <w:t xml:space="preserve">{% for data in </w:t>
      </w:r>
      <w:proofErr w:type="spellStart"/>
      <w:r>
        <w:t>data_mal</w:t>
      </w:r>
      <w:r w:rsidR="000C0114">
        <w:t>ware</w:t>
      </w:r>
      <w:proofErr w:type="spellEnd"/>
      <w:r>
        <w:t>[‘results’][</w:t>
      </w:r>
      <w:proofErr w:type="gramStart"/>
      <w:r>
        <w:t>0][</w:t>
      </w:r>
      <w:proofErr w:type="gramEnd"/>
      <w:r>
        <w:t>'</w:t>
      </w:r>
      <w:proofErr w:type="spellStart"/>
      <w:r>
        <w:t>sub_bucket</w:t>
      </w:r>
      <w:proofErr w:type="spellEnd"/>
      <w:r>
        <w:t>'] %}</w:t>
      </w:r>
    </w:p>
    <w:p w14:paraId="539144CB" w14:textId="77777777" w:rsidR="002723CF" w:rsidRDefault="0011772C">
      <w:r>
        <w:t>{{data[‘key’]}} - {{data[‘count’]}}</w:t>
      </w:r>
    </w:p>
    <w:p w14:paraId="0708F2CF" w14:textId="77777777" w:rsidR="002723CF" w:rsidRDefault="0011772C">
      <w:r>
        <w:t xml:space="preserve">    {% for da in data[‘</w:t>
      </w:r>
      <w:proofErr w:type="spellStart"/>
      <w:r>
        <w:t>sub_bucket</w:t>
      </w:r>
      <w:proofErr w:type="spellEnd"/>
      <w:r>
        <w:t xml:space="preserve">’]: </w:t>
      </w:r>
      <w:proofErr w:type="gramStart"/>
      <w:r>
        <w:t>%}{</w:t>
      </w:r>
      <w:proofErr w:type="gramEnd"/>
      <w:r>
        <w:t>{ da[‘key’]}} - {{da[‘count’]}}</w:t>
      </w:r>
    </w:p>
    <w:p w14:paraId="7D579CE7" w14:textId="77777777" w:rsidR="002723CF" w:rsidRDefault="0011772C">
      <w:r>
        <w:t xml:space="preserve">        {% for d in da[‘</w:t>
      </w:r>
      <w:proofErr w:type="spellStart"/>
      <w:r>
        <w:t>sub_bucket</w:t>
      </w:r>
      <w:proofErr w:type="spellEnd"/>
      <w:r>
        <w:t xml:space="preserve">’]: </w:t>
      </w:r>
      <w:proofErr w:type="gramStart"/>
      <w:r>
        <w:t>%}{</w:t>
      </w:r>
      <w:proofErr w:type="gramEnd"/>
      <w:r>
        <w:t>% if da[‘key’] != ‘</w:t>
      </w:r>
      <w:proofErr w:type="spellStart"/>
      <w:r>
        <w:t>feed_name</w:t>
      </w:r>
      <w:proofErr w:type="spellEnd"/>
      <w:r>
        <w:t>’: %}{{ d[‘key’] }} - {{d[‘count’]}}{% endif %}</w:t>
      </w:r>
    </w:p>
    <w:p w14:paraId="252B427B" w14:textId="77777777" w:rsidR="002723CF" w:rsidRDefault="0011772C">
      <w:r>
        <w:t xml:space="preserve">        {% </w:t>
      </w:r>
      <w:proofErr w:type="spellStart"/>
      <w:r>
        <w:t>endfor</w:t>
      </w:r>
      <w:proofErr w:type="spellEnd"/>
      <w:r>
        <w:t xml:space="preserve"> %}</w:t>
      </w:r>
    </w:p>
    <w:p w14:paraId="07A22634" w14:textId="77777777" w:rsidR="002723CF" w:rsidRDefault="0011772C">
      <w:r>
        <w:t xml:space="preserve">    {% </w:t>
      </w:r>
      <w:proofErr w:type="spellStart"/>
      <w:r>
        <w:t>endfor</w:t>
      </w:r>
      <w:proofErr w:type="spellEnd"/>
      <w:r>
        <w:t xml:space="preserve"> %}</w:t>
      </w:r>
    </w:p>
    <w:p w14:paraId="72A0513C" w14:textId="77777777" w:rsidR="002723CF" w:rsidRDefault="0011772C">
      <w:r>
        <w:t xml:space="preserve">{% </w:t>
      </w:r>
      <w:proofErr w:type="spellStart"/>
      <w:r>
        <w:t>endfor</w:t>
      </w:r>
      <w:proofErr w:type="spellEnd"/>
      <w:r>
        <w:t xml:space="preserve"> %}</w:t>
      </w:r>
    </w:p>
    <w:p w14:paraId="36811F79" w14:textId="77777777" w:rsidR="005206D0" w:rsidRDefault="005206D0">
      <w:pPr>
        <w:pStyle w:val="Heading3"/>
      </w:pPr>
      <w:bookmarkStart w:id="10" w:name="_heading=h.17dp8vu" w:colFirst="0" w:colLast="0"/>
      <w:bookmarkEnd w:id="10"/>
    </w:p>
    <w:p w14:paraId="0B595B6B" w14:textId="409530E2" w:rsidR="002723CF" w:rsidRDefault="0011772C">
      <w:pPr>
        <w:pStyle w:val="Heading3"/>
      </w:pPr>
      <w:proofErr w:type="spellStart"/>
      <w:r>
        <w:lastRenderedPageBreak/>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a6"/>
        <w:tblW w:w="5133"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1"/>
        <w:gridCol w:w="1322"/>
      </w:tblGrid>
      <w:tr w:rsidR="002723CF" w14:paraId="5BC99277" w14:textId="77777777">
        <w:trPr>
          <w:trHeight w:val="288"/>
        </w:trPr>
        <w:tc>
          <w:tcPr>
            <w:tcW w:w="5133" w:type="dxa"/>
            <w:gridSpan w:val="2"/>
            <w:shd w:val="clear" w:color="auto" w:fill="4F81BD"/>
            <w:tcMar>
              <w:left w:w="33" w:type="dxa"/>
            </w:tcMar>
          </w:tcPr>
          <w:p w14:paraId="7ED5667C" w14:textId="77777777" w:rsidR="002723CF" w:rsidRDefault="0011772C">
            <w:pPr>
              <w:spacing w:after="0" w:line="240" w:lineRule="auto"/>
            </w:pPr>
            <w:proofErr w:type="spellStart"/>
            <w:r>
              <w:t>DoH</w:t>
            </w:r>
            <w:proofErr w:type="spellEnd"/>
          </w:p>
        </w:tc>
      </w:tr>
      <w:tr w:rsidR="002723CF" w14:paraId="41E7A852" w14:textId="77777777">
        <w:trPr>
          <w:trHeight w:val="288"/>
        </w:trPr>
        <w:tc>
          <w:tcPr>
            <w:tcW w:w="3811" w:type="dxa"/>
            <w:tcBorders>
              <w:top w:val="single" w:sz="4" w:space="0" w:color="FFFFFF"/>
            </w:tcBorders>
            <w:shd w:val="clear" w:color="auto" w:fill="auto"/>
            <w:tcMar>
              <w:left w:w="33" w:type="dxa"/>
            </w:tcMar>
          </w:tcPr>
          <w:p w14:paraId="5F04BCF7" w14:textId="77777777" w:rsidR="002723CF" w:rsidRDefault="0011772C">
            <w:pPr>
              <w:spacing w:after="0" w:line="240" w:lineRule="auto"/>
            </w:pPr>
            <w:r>
              <w:t xml:space="preserve"> {%tr for data in </w:t>
            </w:r>
            <w:proofErr w:type="spellStart"/>
            <w:r>
              <w:t>data_doh</w:t>
            </w:r>
            <w:proofErr w:type="spellEnd"/>
            <w:r>
              <w:t>[‘results’][</w:t>
            </w:r>
            <w:proofErr w:type="gramStart"/>
            <w:r>
              <w:t>0][</w:t>
            </w:r>
            <w:proofErr w:type="gramEnd"/>
            <w:r>
              <w:t>'</w:t>
            </w:r>
            <w:proofErr w:type="spellStart"/>
            <w:r>
              <w:t>sub_bucket</w:t>
            </w:r>
            <w:proofErr w:type="spellEnd"/>
            <w:r>
              <w:t>'] %}</w:t>
            </w:r>
          </w:p>
        </w:tc>
        <w:tc>
          <w:tcPr>
            <w:tcW w:w="1322" w:type="dxa"/>
            <w:tcBorders>
              <w:top w:val="single" w:sz="4" w:space="0" w:color="FFFFFF"/>
            </w:tcBorders>
          </w:tcPr>
          <w:p w14:paraId="53D2327C" w14:textId="77777777" w:rsidR="002723CF" w:rsidRDefault="002723CF">
            <w:pPr>
              <w:spacing w:after="0" w:line="240" w:lineRule="auto"/>
            </w:pPr>
          </w:p>
        </w:tc>
      </w:tr>
      <w:tr w:rsidR="002723CF" w14:paraId="5DA619E1" w14:textId="77777777">
        <w:trPr>
          <w:trHeight w:val="22"/>
        </w:trPr>
        <w:tc>
          <w:tcPr>
            <w:tcW w:w="3811" w:type="dxa"/>
            <w:shd w:val="clear" w:color="auto" w:fill="auto"/>
            <w:tcMar>
              <w:left w:w="33" w:type="dxa"/>
            </w:tcMar>
            <w:vAlign w:val="center"/>
          </w:tcPr>
          <w:p w14:paraId="6F31337E" w14:textId="77777777" w:rsidR="002723CF" w:rsidRDefault="0011772C">
            <w:pPr>
              <w:spacing w:after="0" w:line="240" w:lineRule="auto"/>
            </w:pPr>
            <w:r>
              <w:t>{{data[‘key’]}}</w:t>
            </w:r>
          </w:p>
        </w:tc>
        <w:tc>
          <w:tcPr>
            <w:tcW w:w="1322" w:type="dxa"/>
            <w:vAlign w:val="center"/>
          </w:tcPr>
          <w:p w14:paraId="4D916395" w14:textId="77777777" w:rsidR="002723CF" w:rsidRDefault="0011772C">
            <w:pPr>
              <w:spacing w:after="0" w:line="240" w:lineRule="auto"/>
            </w:pPr>
            <w:r>
              <w:t>{{data[‘count’]}}</w:t>
            </w:r>
          </w:p>
        </w:tc>
      </w:tr>
      <w:tr w:rsidR="002723CF" w14:paraId="27975670" w14:textId="77777777">
        <w:trPr>
          <w:trHeight w:val="288"/>
        </w:trPr>
        <w:tc>
          <w:tcPr>
            <w:tcW w:w="3811" w:type="dxa"/>
            <w:shd w:val="clear" w:color="auto" w:fill="auto"/>
            <w:tcMar>
              <w:left w:w="33" w:type="dxa"/>
            </w:tcMar>
            <w:vAlign w:val="center"/>
          </w:tcPr>
          <w:p w14:paraId="483BA2E8" w14:textId="77777777" w:rsidR="002723CF" w:rsidRDefault="0011772C">
            <w:pPr>
              <w:spacing w:after="0" w:line="240" w:lineRule="auto"/>
            </w:pPr>
            <w:r>
              <w:t xml:space="preserve">{%tr </w:t>
            </w:r>
            <w:proofErr w:type="spellStart"/>
            <w:r>
              <w:t>endfor</w:t>
            </w:r>
            <w:proofErr w:type="spellEnd"/>
            <w:r>
              <w:t xml:space="preserve"> %}</w:t>
            </w:r>
          </w:p>
        </w:tc>
        <w:tc>
          <w:tcPr>
            <w:tcW w:w="1322" w:type="dxa"/>
          </w:tcPr>
          <w:p w14:paraId="32E573C7" w14:textId="77777777" w:rsidR="002723CF" w:rsidRDefault="002723CF">
            <w:pPr>
              <w:spacing w:after="0" w:line="240" w:lineRule="auto"/>
            </w:pP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7C74B079" w:rsidR="002723CF" w:rsidRDefault="0011772C">
      <w:r>
        <w:br/>
      </w:r>
      <w:r>
        <w:rPr>
          <w:noProof/>
        </w:rPr>
        <mc:AlternateContent>
          <mc:Choice Requires="wpg">
            <w:drawing>
              <wp:inline distT="0" distB="0" distL="0" distR="0" wp14:anchorId="6905E666" wp14:editId="2264CC18">
                <wp:extent cx="5943600" cy="1981200"/>
                <wp:effectExtent l="0" t="0" r="0" b="0"/>
                <wp:docPr id="16" name="Group 16"/>
                <wp:cNvGraphicFramePr/>
                <a:graphic xmlns:a="http://schemas.openxmlformats.org/drawingml/2006/main">
                  <a:graphicData uri="http://schemas.microsoft.com/office/word/2010/wordprocessingGroup">
                    <wpg:wgp>
                      <wpg:cNvGrpSpPr/>
                      <wpg:grpSpPr>
                        <a:xfrm>
                          <a:off x="0" y="0"/>
                          <a:ext cx="5943600" cy="1981200"/>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981200"/>
                <wp:effectExtent b="0" l="0" r="0" t="0"/>
                <wp:docPr id="1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43600" cy="1981200"/>
                        </a:xfrm>
                        <a:prstGeom prst="rect"/>
                        <a:ln/>
                      </pic:spPr>
                    </pic:pic>
                  </a:graphicData>
                </a:graphic>
              </wp:inline>
            </w:drawing>
          </mc:Fallback>
        </mc:AlternateContent>
      </w:r>
    </w:p>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5"/>
          <w:footerReference w:type="default" r:id="rId16"/>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77777777"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organization.</w:t>
      </w:r>
    </w:p>
    <w:p w14:paraId="1D32F704" w14:textId="77777777" w:rsidR="002723CF" w:rsidRDefault="002723CF">
      <w:bookmarkStart w:id="19" w:name="_heading=h.3j2qqm3" w:colFirst="0" w:colLast="0"/>
      <w:bookmarkEnd w:id="19"/>
    </w:p>
    <w:sectPr w:rsidR="002723CF">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42EC" w14:textId="77777777" w:rsidR="003F60D9" w:rsidRDefault="003F60D9">
      <w:pPr>
        <w:spacing w:after="0" w:line="240" w:lineRule="auto"/>
      </w:pPr>
      <w:r>
        <w:separator/>
      </w:r>
    </w:p>
  </w:endnote>
  <w:endnote w:type="continuationSeparator" w:id="0">
    <w:p w14:paraId="32C0236F" w14:textId="77777777" w:rsidR="003F60D9" w:rsidRDefault="003F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3F60D9">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3F60D9">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rsidR="003F60D9">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3F60D9">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51.3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 </w:t>
    </w:r>
    <w:proofErr w:type="spellStart"/>
    <w:r>
      <w:rPr>
        <w:color w:val="999999"/>
        <w:sz w:val="15"/>
        <w:szCs w:val="15"/>
      </w:rPr>
      <w:t>doc</w:t>
    </w:r>
    <w:proofErr w:type="gramEnd"/>
    <w:r>
      <w:rPr>
        <w:color w:val="999999"/>
        <w:sz w:val="15"/>
        <w:szCs w:val="15"/>
      </w:rPr>
      <w:t>_title</w:t>
    </w:r>
    <w:proofErr w:type="spellEnd"/>
    <w:r>
      <w:rPr>
        <w:color w:val="999999"/>
        <w:sz w:val="15"/>
        <w:szCs w:val="15"/>
      </w:rPr>
      <w:t xml:space="preserve"> }}</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36DA9" w14:textId="77777777" w:rsidR="003F60D9" w:rsidRDefault="003F60D9">
      <w:pPr>
        <w:spacing w:after="0" w:line="240" w:lineRule="auto"/>
      </w:pPr>
      <w:r>
        <w:separator/>
      </w:r>
    </w:p>
  </w:footnote>
  <w:footnote w:type="continuationSeparator" w:id="0">
    <w:p w14:paraId="3AE2526B" w14:textId="77777777" w:rsidR="003F60D9" w:rsidRDefault="003F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C0114"/>
    <w:rsid w:val="0011772C"/>
    <w:rsid w:val="002723CF"/>
    <w:rsid w:val="002F68C9"/>
    <w:rsid w:val="003F60D9"/>
    <w:rsid w:val="005206D0"/>
    <w:rsid w:val="005C2125"/>
    <w:rsid w:val="007F0D4C"/>
    <w:rsid w:val="0095154C"/>
    <w:rsid w:val="009B0C80"/>
    <w:rsid w:val="00B00F03"/>
    <w:rsid w:val="00CC2A94"/>
    <w:rsid w:val="00CF4306"/>
    <w:rsid w:val="00D90EB2"/>
    <w:rsid w:val="00E55D90"/>
    <w:rsid w:val="00EE08CD"/>
    <w:rsid w:val="00F50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0.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2175</Words>
  <Characters>11706</Characters>
  <Application>Microsoft Office Word</Application>
  <DocSecurity>0</DocSecurity>
  <Lines>260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Marrison</cp:lastModifiedBy>
  <cp:revision>10</cp:revision>
  <dcterms:created xsi:type="dcterms:W3CDTF">2021-11-17T16:50:00Z</dcterms:created>
  <dcterms:modified xsi:type="dcterms:W3CDTF">2021-11-24T08:09:00Z</dcterms:modified>
</cp:coreProperties>
</file>