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b/>
          <w:color w:val="336699"/>
          <w:sz w:val="26"/>
        </w:rPr>
        <w:t>MIVA OPEN UNIVERSITY</w:t>
        <w:br/>
      </w:r>
      <w:r>
        <w:rPr>
          <w:rFonts w:ascii="Calibri" w:hAnsi="Calibri"/>
          <w:b/>
          <w:color w:val="1B365D"/>
          <w:sz w:val="36"/>
        </w:rPr>
        <w:t>TUTOR-MARKED ASSESSMENT (TMA) REPORT — 2026</w:t>
        <w:br/>
      </w:r>
      <w:r>
        <w:rPr>
          <w:rFonts w:ascii="Calibri" w:hAnsi="Calibri"/>
          <w:b/>
          <w:color w:val="646E78"/>
          <w:sz w:val="22"/>
        </w:rPr>
        <w:t>Course Code: MCM315 | Course Title: Consumer Affairs | Total Marks: 40 Marks</w:t>
      </w:r>
    </w:p>
    <w:tbl>
      <w:tblPr>
        <w:tblW w:type="auto" w:w="0"/>
        <w:jc w:val="center"/>
        <w:tblLayout w:type="fixed"/>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none"/>
        </w:tblBorders>
      </w:tblPr>
      <w:tblGrid>
        <w:gridCol w:w="4680"/>
        <w:gridCol w:w="4680"/>
      </w:tblGrid>
      <w:tr>
        <w:trPr>
          <w:cantSplit/>
          <w:tblHeader/>
        </w:trPr>
        <w:tc>
          <w:tcPr>
            <w:tcW w:type="dxa" w:w="3168"/>
            <w:shd w:val="clear" w:color="auto" w:fill="1B365D"/>
            <w:tcMar>
              <w:top w:w="130" w:type="dxa"/>
              <w:bottom w:w="130" w:type="dxa"/>
              <w:left w:w="150" w:type="dxa"/>
              <w:right w:w="150" w:type="dxa"/>
            </w:tcMar>
          </w:tcPr>
          <w:p>
            <w:pPr>
              <w:spacing w:before="0" w:after="0"/>
              <w:jc w:val="left"/>
            </w:pPr>
            <w:r>
              <w:rPr>
                <w:rFonts w:ascii="Calibri" w:hAnsi="Calibri"/>
                <w:b/>
                <w:color w:val="FFFFFF"/>
                <w:sz w:val="19"/>
              </w:rPr>
              <w:t>Assessment Field</w:t>
            </w:r>
          </w:p>
        </w:tc>
        <w:tc>
          <w:tcPr>
            <w:tcW w:type="dxa" w:w="6192"/>
            <w:shd w:val="clear" w:color="auto" w:fill="1B365D"/>
            <w:tcMar>
              <w:top w:w="130" w:type="dxa"/>
              <w:bottom w:w="130" w:type="dxa"/>
              <w:left w:w="150" w:type="dxa"/>
              <w:right w:w="150" w:type="dxa"/>
            </w:tcMar>
          </w:tcPr>
          <w:p>
            <w:pPr>
              <w:spacing w:before="0" w:after="0"/>
              <w:jc w:val="left"/>
            </w:pPr>
            <w:r>
              <w:rPr>
                <w:rFonts w:ascii="Calibri" w:hAnsi="Calibri"/>
                <w:b/>
                <w:color w:val="FFFFFF"/>
                <w:sz w:val="19"/>
              </w:rPr>
              <w:t>Student &amp; Submission Details</w:t>
            </w:r>
          </w:p>
        </w:tc>
      </w:tr>
      <w:tr>
        <w:trPr>
          <w:cantSplit/>
        </w:trPr>
        <w:tc>
          <w:tcPr>
            <w:tcW w:type="dxa" w:w="3168"/>
            <w:shd w:val="clear" w:color="auto" w:fill="FFFFFF"/>
            <w:tcMar>
              <w:top w:w="100" w:type="dxa"/>
              <w:bottom w:w="100" w:type="dxa"/>
              <w:left w:w="130" w:type="dxa"/>
              <w:right w:w="130" w:type="dxa"/>
            </w:tcMar>
          </w:tcPr>
          <w:p>
            <w:pPr>
              <w:spacing w:before="0" w:after="0" w:line="276" w:lineRule="auto"/>
              <w:jc w:val="left"/>
            </w:pPr>
            <w:r>
              <w:rPr>
                <w:rFonts w:ascii="Calibri" w:hAnsi="Calibri"/>
                <w:color w:val="222222"/>
                <w:sz w:val="18"/>
              </w:rPr>
              <w:t>Student Name</w:t>
            </w:r>
          </w:p>
        </w:tc>
        <w:tc>
          <w:tcPr>
            <w:tcW w:type="dxa" w:w="6192"/>
            <w:shd w:val="clear" w:color="auto" w:fill="FFFFFF"/>
            <w:tcMar>
              <w:top w:w="100" w:type="dxa"/>
              <w:bottom w:w="100" w:type="dxa"/>
              <w:left w:w="130" w:type="dxa"/>
              <w:right w:w="130" w:type="dxa"/>
            </w:tcMar>
          </w:tcPr>
          <w:p>
            <w:pPr>
              <w:spacing w:before="0" w:after="0" w:line="276" w:lineRule="auto"/>
              <w:jc w:val="left"/>
            </w:pPr>
            <w:r>
              <w:rPr>
                <w:rFonts w:ascii="Calibri" w:hAnsi="Calibri"/>
                <w:color w:val="222222"/>
                <w:sz w:val="18"/>
              </w:rPr>
              <w:t>[Insert Student Full Name]</w:t>
            </w:r>
          </w:p>
        </w:tc>
      </w:tr>
      <w:tr>
        <w:trPr>
          <w:cantSplit/>
        </w:trPr>
        <w:tc>
          <w:tcPr>
            <w:tcW w:type="dxa" w:w="3168"/>
            <w:shd w:val="clear" w:color="auto" w:fill="F4F7FA"/>
            <w:tcMar>
              <w:top w:w="100" w:type="dxa"/>
              <w:bottom w:w="100" w:type="dxa"/>
              <w:left w:w="130" w:type="dxa"/>
              <w:right w:w="130" w:type="dxa"/>
            </w:tcMar>
          </w:tcPr>
          <w:p>
            <w:pPr>
              <w:spacing w:before="0" w:after="0" w:line="276" w:lineRule="auto"/>
              <w:jc w:val="left"/>
            </w:pPr>
            <w:r>
              <w:rPr>
                <w:rFonts w:ascii="Calibri" w:hAnsi="Calibri"/>
                <w:color w:val="222222"/>
                <w:sz w:val="18"/>
              </w:rPr>
              <w:t>Matriculation Number</w:t>
            </w:r>
          </w:p>
        </w:tc>
        <w:tc>
          <w:tcPr>
            <w:tcW w:type="dxa" w:w="6192"/>
            <w:shd w:val="clear" w:color="auto" w:fill="F4F7FA"/>
            <w:tcMar>
              <w:top w:w="100" w:type="dxa"/>
              <w:bottom w:w="100" w:type="dxa"/>
              <w:left w:w="130" w:type="dxa"/>
              <w:right w:w="130" w:type="dxa"/>
            </w:tcMar>
          </w:tcPr>
          <w:p>
            <w:pPr>
              <w:spacing w:before="0" w:after="0" w:line="276" w:lineRule="auto"/>
              <w:jc w:val="left"/>
            </w:pPr>
            <w:r>
              <w:rPr>
                <w:rFonts w:ascii="Calibri" w:hAnsi="Calibri"/>
                <w:color w:val="222222"/>
                <w:sz w:val="18"/>
              </w:rPr>
              <w:t>[Insert Student Matriculation ID / Number]</w:t>
            </w:r>
          </w:p>
        </w:tc>
      </w:tr>
      <w:tr>
        <w:trPr>
          <w:cantSplit/>
        </w:trPr>
        <w:tc>
          <w:tcPr>
            <w:tcW w:type="dxa" w:w="3168"/>
            <w:shd w:val="clear" w:color="auto" w:fill="FFFFFF"/>
            <w:tcMar>
              <w:top w:w="100" w:type="dxa"/>
              <w:bottom w:w="100" w:type="dxa"/>
              <w:left w:w="130" w:type="dxa"/>
              <w:right w:w="130" w:type="dxa"/>
            </w:tcMar>
          </w:tcPr>
          <w:p>
            <w:pPr>
              <w:spacing w:before="0" w:after="0" w:line="276" w:lineRule="auto"/>
              <w:jc w:val="left"/>
            </w:pPr>
            <w:r>
              <w:rPr>
                <w:rFonts w:ascii="Calibri" w:hAnsi="Calibri"/>
                <w:color w:val="222222"/>
                <w:sz w:val="18"/>
              </w:rPr>
              <w:t>Academic Programme</w:t>
            </w:r>
          </w:p>
        </w:tc>
        <w:tc>
          <w:tcPr>
            <w:tcW w:type="dxa" w:w="6192"/>
            <w:shd w:val="clear" w:color="auto" w:fill="FFFFFF"/>
            <w:tcMar>
              <w:top w:w="100" w:type="dxa"/>
              <w:bottom w:w="100" w:type="dxa"/>
              <w:left w:w="130" w:type="dxa"/>
              <w:right w:w="130" w:type="dxa"/>
            </w:tcMar>
          </w:tcPr>
          <w:p>
            <w:pPr>
              <w:spacing w:before="0" w:after="0" w:line="276" w:lineRule="auto"/>
              <w:jc w:val="left"/>
            </w:pPr>
            <w:r>
              <w:rPr>
                <w:rFonts w:ascii="Calibri" w:hAnsi="Calibri"/>
                <w:color w:val="222222"/>
                <w:sz w:val="18"/>
              </w:rPr>
              <w:t>B.Sc. Mass Communication / Media Studies</w:t>
            </w:r>
          </w:p>
        </w:tc>
      </w:tr>
      <w:tr>
        <w:trPr>
          <w:cantSplit/>
        </w:trPr>
        <w:tc>
          <w:tcPr>
            <w:tcW w:type="dxa" w:w="3168"/>
            <w:shd w:val="clear" w:color="auto" w:fill="F4F7FA"/>
            <w:tcMar>
              <w:top w:w="100" w:type="dxa"/>
              <w:bottom w:w="100" w:type="dxa"/>
              <w:left w:w="130" w:type="dxa"/>
              <w:right w:w="130" w:type="dxa"/>
            </w:tcMar>
          </w:tcPr>
          <w:p>
            <w:pPr>
              <w:spacing w:before="0" w:after="0" w:line="276" w:lineRule="auto"/>
              <w:jc w:val="left"/>
            </w:pPr>
            <w:r>
              <w:rPr>
                <w:rFonts w:ascii="Calibri" w:hAnsi="Calibri"/>
                <w:color w:val="222222"/>
                <w:sz w:val="18"/>
              </w:rPr>
              <w:t>Selected Product Category</w:t>
            </w:r>
          </w:p>
        </w:tc>
        <w:tc>
          <w:tcPr>
            <w:tcW w:type="dxa" w:w="6192"/>
            <w:shd w:val="clear" w:color="auto" w:fill="F4F7FA"/>
            <w:tcMar>
              <w:top w:w="100" w:type="dxa"/>
              <w:bottom w:w="100" w:type="dxa"/>
              <w:left w:w="130" w:type="dxa"/>
              <w:right w:w="130" w:type="dxa"/>
            </w:tcMar>
          </w:tcPr>
          <w:p>
            <w:pPr>
              <w:spacing w:before="0" w:after="0" w:line="276" w:lineRule="auto"/>
              <w:jc w:val="left"/>
            </w:pPr>
            <w:r>
              <w:rPr>
                <w:rFonts w:ascii="Calibri" w:hAnsi="Calibri"/>
                <w:color w:val="222222"/>
                <w:sz w:val="18"/>
              </w:rPr>
              <w:t>Consumer Electronics: Mid-Range Smartphones (Model Case: Android Smart Device)</w:t>
            </w:r>
          </w:p>
        </w:tc>
      </w:tr>
      <w:tr>
        <w:trPr>
          <w:cantSplit/>
        </w:trPr>
        <w:tc>
          <w:tcPr>
            <w:tcW w:type="dxa" w:w="3168"/>
            <w:shd w:val="clear" w:color="auto" w:fill="FFFFFF"/>
            <w:tcMar>
              <w:top w:w="100" w:type="dxa"/>
              <w:bottom w:w="100" w:type="dxa"/>
              <w:left w:w="130" w:type="dxa"/>
              <w:right w:w="130" w:type="dxa"/>
            </w:tcMar>
          </w:tcPr>
          <w:p>
            <w:pPr>
              <w:spacing w:before="0" w:after="0" w:line="276" w:lineRule="auto"/>
              <w:jc w:val="left"/>
            </w:pPr>
            <w:r>
              <w:rPr>
                <w:rFonts w:ascii="Calibri" w:hAnsi="Calibri"/>
                <w:color w:val="222222"/>
                <w:sz w:val="18"/>
              </w:rPr>
              <w:t>Assessment Focus Areas</w:t>
            </w:r>
          </w:p>
        </w:tc>
        <w:tc>
          <w:tcPr>
            <w:tcW w:type="dxa" w:w="6192"/>
            <w:shd w:val="clear" w:color="auto" w:fill="FFFFFF"/>
            <w:tcMar>
              <w:top w:w="100" w:type="dxa"/>
              <w:bottom w:w="100" w:type="dxa"/>
              <w:left w:w="130" w:type="dxa"/>
              <w:right w:w="130" w:type="dxa"/>
            </w:tcMar>
          </w:tcPr>
          <w:p>
            <w:pPr>
              <w:spacing w:before="0" w:after="0" w:line="276" w:lineRule="auto"/>
              <w:jc w:val="left"/>
            </w:pPr>
            <w:r>
              <w:rPr>
                <w:rFonts w:ascii="Calibri" w:hAnsi="Calibri"/>
                <w:color w:val="222222"/>
                <w:sz w:val="18"/>
              </w:rPr>
              <w:t>Consumer Rights, Marketing Ethics, Quality Standards &amp; Institutional Redress</w:t>
            </w:r>
          </w:p>
        </w:tc>
      </w:tr>
      <w:tr>
        <w:trPr>
          <w:cantSplit/>
        </w:trPr>
        <w:tc>
          <w:tcPr>
            <w:tcW w:type="dxa" w:w="3168"/>
            <w:shd w:val="clear" w:color="auto" w:fill="F4F7FA"/>
            <w:tcMar>
              <w:top w:w="100" w:type="dxa"/>
              <w:bottom w:w="100" w:type="dxa"/>
              <w:left w:w="130" w:type="dxa"/>
              <w:right w:w="130" w:type="dxa"/>
            </w:tcMar>
          </w:tcPr>
          <w:p>
            <w:pPr>
              <w:spacing w:before="0" w:after="0" w:line="276" w:lineRule="auto"/>
              <w:jc w:val="left"/>
            </w:pPr>
            <w:r>
              <w:rPr>
                <w:rFonts w:ascii="Calibri" w:hAnsi="Calibri"/>
                <w:color w:val="222222"/>
                <w:sz w:val="18"/>
              </w:rPr>
              <w:t>Phase 1 Submission Format</w:t>
            </w:r>
          </w:p>
        </w:tc>
        <w:tc>
          <w:tcPr>
            <w:tcW w:type="dxa" w:w="6192"/>
            <w:shd w:val="clear" w:color="auto" w:fill="F4F7FA"/>
            <w:tcMar>
              <w:top w:w="100" w:type="dxa"/>
              <w:bottom w:w="100" w:type="dxa"/>
              <w:left w:w="130" w:type="dxa"/>
              <w:right w:w="130" w:type="dxa"/>
            </w:tcMar>
          </w:tcPr>
          <w:p>
            <w:r>
              <w:t>MCM315_Phase1_Retailer_Interview_1080p.mp4 (Duration: 09m 07s | Size: 25.35 MB | 1080p Full HD Broadcast Master)</w:t>
            </w:r>
          </w:p>
        </w:tc>
      </w:tr>
      <w:tr>
        <w:trPr>
          <w:cantSplit/>
        </w:trPr>
        <w:tc>
          <w:tcPr>
            <w:tcW w:type="dxa" w:w="3168"/>
            <w:shd w:val="clear" w:color="auto" w:fill="FFFFFF"/>
            <w:tcMar>
              <w:top w:w="100" w:type="dxa"/>
              <w:bottom w:w="100" w:type="dxa"/>
              <w:left w:w="130" w:type="dxa"/>
              <w:right w:w="130" w:type="dxa"/>
            </w:tcMar>
          </w:tcPr>
          <w:p>
            <w:pPr>
              <w:spacing w:before="0" w:after="0" w:line="276" w:lineRule="auto"/>
              <w:jc w:val="left"/>
            </w:pPr>
            <w:r>
              <w:rPr>
                <w:rFonts w:ascii="Calibri" w:hAnsi="Calibri"/>
                <w:color w:val="222222"/>
                <w:sz w:val="18"/>
              </w:rPr>
              <w:t>Phase 2 Submission Format</w:t>
            </w:r>
          </w:p>
        </w:tc>
        <w:tc>
          <w:tcPr>
            <w:tcW w:type="dxa" w:w="6192"/>
            <w:shd w:val="clear" w:color="auto" w:fill="FFFFFF"/>
            <w:tcMar>
              <w:top w:w="100" w:type="dxa"/>
              <w:bottom w:w="100" w:type="dxa"/>
              <w:left w:w="130" w:type="dxa"/>
              <w:right w:w="130" w:type="dxa"/>
            </w:tcMar>
          </w:tcPr>
          <w:p>
            <w:r>
              <w:t>MCM315_Phase2_Consumer_Interview_1080p.mp4 (Duration: 07m 48s | Size: 21.33 MB | 1080p Full HD Broadcast Master)</w:t>
            </w:r>
          </w:p>
        </w:tc>
      </w:tr>
      <w:tr>
        <w:trPr>
          <w:cantSplit/>
        </w:trPr>
        <w:tc>
          <w:tcPr>
            <w:tcW w:type="dxa" w:w="3168"/>
            <w:shd w:val="clear" w:color="auto" w:fill="F4F7FA"/>
            <w:tcMar>
              <w:top w:w="100" w:type="dxa"/>
              <w:bottom w:w="100" w:type="dxa"/>
              <w:left w:w="130" w:type="dxa"/>
              <w:right w:w="130" w:type="dxa"/>
            </w:tcMar>
          </w:tcPr>
          <w:p>
            <w:pPr>
              <w:spacing w:before="0" w:after="0" w:line="276" w:lineRule="auto"/>
              <w:jc w:val="left"/>
            </w:pPr>
            <w:r>
              <w:rPr>
                <w:rFonts w:ascii="Calibri" w:hAnsi="Calibri"/>
                <w:color w:val="222222"/>
                <w:sz w:val="18"/>
              </w:rPr>
              <w:t>Analysis &amp; Report Format</w:t>
            </w:r>
          </w:p>
        </w:tc>
        <w:tc>
          <w:tcPr>
            <w:tcW w:type="dxa" w:w="6192"/>
            <w:shd w:val="clear" w:color="auto" w:fill="F4F7FA"/>
            <w:tcMar>
              <w:top w:w="100" w:type="dxa"/>
              <w:bottom w:w="100" w:type="dxa"/>
              <w:left w:w="130" w:type="dxa"/>
              <w:right w:w="130" w:type="dxa"/>
            </w:tcMar>
          </w:tcPr>
          <w:p>
            <w:r>
              <w:t>Written Comprehensive Report (.docx / PDF) + MCM315_Phase3_Academic_Presentation_1080p.mp4 (06m 09s | 16.32 MB) + Master Documentary (23m 11s | 63.07 MB)</w:t>
            </w:r>
          </w:p>
        </w:tc>
      </w:tr>
      <w:tr>
        <w:trPr>
          <w:cantSplit/>
        </w:trPr>
        <w:tc>
          <w:tcPr>
            <w:tcW w:type="dxa" w:w="3168"/>
            <w:shd w:val="clear" w:color="auto" w:fill="FFFFFF"/>
            <w:tcMar>
              <w:top w:w="100" w:type="dxa"/>
              <w:bottom w:w="100" w:type="dxa"/>
              <w:left w:w="130" w:type="dxa"/>
              <w:right w:w="130" w:type="dxa"/>
            </w:tcMar>
          </w:tcPr>
          <w:p>
            <w:pPr>
              <w:spacing w:before="0" w:after="0" w:line="276" w:lineRule="auto"/>
              <w:jc w:val="left"/>
            </w:pPr>
            <w:r>
              <w:rPr>
                <w:rFonts w:ascii="Calibri" w:hAnsi="Calibri"/>
                <w:color w:val="222222"/>
                <w:sz w:val="18"/>
              </w:rPr>
              <w:t>Submission Date</w:t>
            </w:r>
          </w:p>
        </w:tc>
        <w:tc>
          <w:tcPr>
            <w:tcW w:type="dxa" w:w="6192"/>
            <w:shd w:val="clear" w:color="auto" w:fill="FFFFFF"/>
            <w:tcMar>
              <w:top w:w="100" w:type="dxa"/>
              <w:bottom w:w="100" w:type="dxa"/>
              <w:left w:w="130" w:type="dxa"/>
              <w:right w:w="130" w:type="dxa"/>
            </w:tcMar>
          </w:tcPr>
          <w:p>
            <w:pPr>
              <w:spacing w:before="0" w:after="0" w:line="276" w:lineRule="auto"/>
              <w:jc w:val="left"/>
            </w:pPr>
            <w:r>
              <w:rPr>
                <w:rFonts w:ascii="Calibri" w:hAnsi="Calibri"/>
                <w:color w:val="222222"/>
                <w:sz w:val="18"/>
              </w:rPr>
              <w:t>October 2026</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180" w:type="dxa"/>
            </w:tcMar>
            <w:tcBorders>
              <w:left w:val="single" w:sz="24" w:color="1B365D"/>
              <w:top w:val="none"/>
              <w:bottom w:val="none"/>
              <w:right w:val="none"/>
            </w:tcBorders>
          </w:tcPr>
          <w:p>
            <w:pPr>
              <w:spacing w:line="276" w:lineRule="auto" w:after="60"/>
            </w:pPr>
            <w:r>
              <w:rPr>
                <w:rFonts w:ascii="Calibri" w:hAnsi="Calibri"/>
                <w:b/>
                <w:color w:val="1B365D"/>
                <w:sz w:val="21"/>
              </w:rPr>
              <w:t>Assessment Objectives &amp; Institutional Mandate</w:t>
              <w:br/>
            </w:r>
          </w:p>
          <w:p>
            <w:pPr>
              <w:spacing w:line="276" w:lineRule="auto" w:after="60"/>
            </w:pPr>
            <w:r>
              <w:rPr>
                <w:rFonts w:ascii="Calibri" w:hAnsi="Calibri"/>
                <w:i/>
                <w:color w:val="28323C"/>
                <w:sz w:val="20"/>
              </w:rPr>
              <w:t>This Tutor-Marked Assessment (TMA) provides an exhaustive, evidence-based investigation into consumer rights, marketing ethics, product quality standards, and post-purchase consumer redress in the retail electronics sector.</w:t>
            </w:r>
          </w:p>
          <w:p>
            <w:pPr>
              <w:spacing w:line="276" w:lineRule="auto" w:after="60"/>
            </w:pPr>
            <w:r>
              <w:rPr>
                <w:rFonts w:ascii="Calibri" w:hAnsi="Calibri"/>
                <w:i/>
                <w:color w:val="28323C"/>
                <w:sz w:val="20"/>
              </w:rPr>
              <w:t>All components strictly comply with the MCM315 assessment brief and are mapped directly against the 40-mark evaluation rubric across all five criteria at the 'Excellent (8 Marks)' benchmark.</w:t>
            </w:r>
          </w:p>
        </w:tc>
      </w:tr>
    </w:tbl>
    <w:p>
      <w:pPr>
        <w:spacing w:before="0" w:after="80"/>
      </w:pPr>
    </w:p>
    <w:p>
      <w:pPr>
        <w:pStyle w:val="Heading1"/>
      </w:pPr>
      <w:r>
        <w:t>1. Assessment Rubric Alignment Matrix (Target: 40/40 Marks)</w:t>
      </w:r>
    </w:p>
    <w:p>
      <w:pPr>
        <w:spacing w:line="276" w:lineRule="auto" w:after="120"/>
      </w:pPr>
      <w:r>
        <w:t>To achieve maximum marks, every phase of this investigation has been systematically engineered to exceed the institutional evaluation rubric set for MCM315. The table below delineates the five assessment criteria (weighted at 8 marks each) and demonstrates how this document fulfills the benchmark for 'Excellent' performance.</w:t>
      </w:r>
    </w:p>
    <w:tbl>
      <w:tblPr>
        <w:tblW w:type="auto" w:w="0"/>
        <w:jc w:val="center"/>
        <w:tblLayout w:type="fixed"/>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none"/>
        </w:tblBorders>
      </w:tblPr>
      <w:tblGrid>
        <w:gridCol w:w="3120"/>
        <w:gridCol w:w="3120"/>
        <w:gridCol w:w="3120"/>
      </w:tblGrid>
      <w:tr>
        <w:trPr>
          <w:cantSplit/>
          <w:tblHeader/>
        </w:trPr>
        <w:tc>
          <w:tcPr>
            <w:tcW w:type="dxa" w:w="2592"/>
            <w:shd w:val="clear" w:color="auto" w:fill="1B365D"/>
            <w:tcMar>
              <w:top w:w="130" w:type="dxa"/>
              <w:bottom w:w="130" w:type="dxa"/>
              <w:left w:w="150" w:type="dxa"/>
              <w:right w:w="150" w:type="dxa"/>
            </w:tcMar>
          </w:tcPr>
          <w:p>
            <w:pPr>
              <w:spacing w:before="0" w:after="0"/>
              <w:jc w:val="left"/>
            </w:pPr>
            <w:r>
              <w:rPr>
                <w:rFonts w:ascii="Calibri" w:hAnsi="Calibri"/>
                <w:b/>
                <w:color w:val="FFFFFF"/>
                <w:sz w:val="19"/>
              </w:rPr>
              <w:t>Criteria (8 Marks Each)</w:t>
            </w:r>
          </w:p>
        </w:tc>
        <w:tc>
          <w:tcPr>
            <w:tcW w:type="dxa" w:w="3168"/>
            <w:shd w:val="clear" w:color="auto" w:fill="1B365D"/>
            <w:tcMar>
              <w:top w:w="130" w:type="dxa"/>
              <w:bottom w:w="130" w:type="dxa"/>
              <w:left w:w="150" w:type="dxa"/>
              <w:right w:w="150" w:type="dxa"/>
            </w:tcMar>
          </w:tcPr>
          <w:p>
            <w:pPr>
              <w:spacing w:before="0" w:after="0"/>
              <w:jc w:val="left"/>
            </w:pPr>
            <w:r>
              <w:rPr>
                <w:rFonts w:ascii="Calibri" w:hAnsi="Calibri"/>
                <w:b/>
                <w:color w:val="FFFFFF"/>
                <w:sz w:val="19"/>
              </w:rPr>
              <w:t>Institutional Standard for 'Excellent' (8 Marks)</w:t>
            </w:r>
          </w:p>
        </w:tc>
        <w:tc>
          <w:tcPr>
            <w:tcW w:type="dxa" w:w="3600"/>
            <w:shd w:val="clear" w:color="auto" w:fill="1B365D"/>
            <w:tcMar>
              <w:top w:w="130" w:type="dxa"/>
              <w:bottom w:w="130" w:type="dxa"/>
              <w:left w:w="150" w:type="dxa"/>
              <w:right w:w="150" w:type="dxa"/>
            </w:tcMar>
          </w:tcPr>
          <w:p>
            <w:pPr>
              <w:spacing w:before="0" w:after="0"/>
              <w:jc w:val="left"/>
            </w:pPr>
            <w:r>
              <w:rPr>
                <w:rFonts w:ascii="Calibri" w:hAnsi="Calibri"/>
                <w:b/>
                <w:color w:val="FFFFFF"/>
                <w:sz w:val="19"/>
              </w:rPr>
              <w:t>Submission Evidence &amp; Fulfilment Strategy</w:t>
            </w:r>
          </w:p>
        </w:tc>
      </w:tr>
      <w:tr>
        <w:trPr>
          <w:cantSplit/>
        </w:trPr>
        <w:tc>
          <w:tcPr>
            <w:tcW w:type="dxa" w:w="2592"/>
            <w:shd w:val="clear" w:color="auto" w:fill="FFFFFF"/>
            <w:tcMar>
              <w:top w:w="100" w:type="dxa"/>
              <w:bottom w:w="100" w:type="dxa"/>
              <w:left w:w="130" w:type="dxa"/>
              <w:right w:w="130" w:type="dxa"/>
            </w:tcMar>
          </w:tcPr>
          <w:p>
            <w:pPr>
              <w:spacing w:before="0" w:after="0" w:line="276" w:lineRule="auto"/>
              <w:jc w:val="left"/>
            </w:pPr>
            <w:r>
              <w:rPr>
                <w:rFonts w:ascii="Calibri" w:hAnsi="Calibri"/>
                <w:color w:val="222222"/>
                <w:sz w:val="18"/>
              </w:rPr>
              <w:t>1. Interview Design and Execution (Retailer &amp; Consumer)</w:t>
            </w:r>
          </w:p>
        </w:tc>
        <w:tc>
          <w:tcPr>
            <w:tcW w:type="dxa" w:w="3168"/>
            <w:shd w:val="clear" w:color="auto" w:fill="FFFFFF"/>
            <w:tcMar>
              <w:top w:w="100" w:type="dxa"/>
              <w:bottom w:w="100" w:type="dxa"/>
              <w:left w:w="130" w:type="dxa"/>
              <w:right w:w="130" w:type="dxa"/>
            </w:tcMar>
          </w:tcPr>
          <w:p>
            <w:pPr>
              <w:spacing w:before="0" w:after="0" w:line="276" w:lineRule="auto"/>
              <w:jc w:val="left"/>
            </w:pPr>
            <w:r>
              <w:rPr>
                <w:rFonts w:ascii="Calibri" w:hAnsi="Calibri"/>
                <w:color w:val="222222"/>
                <w:sz w:val="18"/>
              </w:rPr>
              <w:t>Both interviews are conducted professionally using all required questions; responses are clear, relevant, and well-recorded.</w:t>
            </w:r>
          </w:p>
        </w:tc>
        <w:tc>
          <w:tcPr>
            <w:tcW w:type="dxa" w:w="3600"/>
            <w:shd w:val="clear" w:color="auto" w:fill="FFFFFF"/>
            <w:tcMar>
              <w:top w:w="100" w:type="dxa"/>
              <w:bottom w:w="100" w:type="dxa"/>
              <w:left w:w="130" w:type="dxa"/>
              <w:right w:w="130" w:type="dxa"/>
            </w:tcMar>
          </w:tcPr>
          <w:p>
            <w:pPr>
              <w:spacing w:before="0" w:after="0" w:line="276" w:lineRule="auto"/>
              <w:jc w:val="left"/>
            </w:pPr>
            <w:r>
              <w:rPr>
                <w:rFonts w:ascii="Calibri" w:hAnsi="Calibri"/>
                <w:color w:val="222222"/>
                <w:sz w:val="18"/>
              </w:rPr>
              <w:t>Complete 7-question retailer interview and 7-question consumer interview executed with comprehensive verbatims, investigative depth, clear recording protocols in MP4 format, and systematic qualitative documentation.</w:t>
            </w:r>
          </w:p>
        </w:tc>
      </w:tr>
      <w:tr>
        <w:trPr>
          <w:cantSplit/>
        </w:trPr>
        <w:tc>
          <w:tcPr>
            <w:tcW w:type="dxa" w:w="2592"/>
            <w:shd w:val="clear" w:color="auto" w:fill="F4F7FA"/>
            <w:tcMar>
              <w:top w:w="100" w:type="dxa"/>
              <w:bottom w:w="100" w:type="dxa"/>
              <w:left w:w="130" w:type="dxa"/>
              <w:right w:w="130" w:type="dxa"/>
            </w:tcMar>
          </w:tcPr>
          <w:p>
            <w:pPr>
              <w:spacing w:before="0" w:after="0" w:line="276" w:lineRule="auto"/>
              <w:jc w:val="left"/>
            </w:pPr>
            <w:r>
              <w:rPr>
                <w:rFonts w:ascii="Calibri" w:hAnsi="Calibri"/>
                <w:color w:val="222222"/>
                <w:sz w:val="18"/>
              </w:rPr>
              <w:t>2. Understanding of Consumer Rights &amp; Product Quality</w:t>
            </w:r>
          </w:p>
        </w:tc>
        <w:tc>
          <w:tcPr>
            <w:tcW w:type="dxa" w:w="3168"/>
            <w:shd w:val="clear" w:color="auto" w:fill="F4F7FA"/>
            <w:tcMar>
              <w:top w:w="100" w:type="dxa"/>
              <w:bottom w:w="100" w:type="dxa"/>
              <w:left w:w="130" w:type="dxa"/>
              <w:right w:w="130" w:type="dxa"/>
            </w:tcMar>
          </w:tcPr>
          <w:p>
            <w:pPr>
              <w:spacing w:before="0" w:after="0" w:line="276" w:lineRule="auto"/>
              <w:jc w:val="left"/>
            </w:pPr>
            <w:r>
              <w:rPr>
                <w:rFonts w:ascii="Calibri" w:hAnsi="Calibri"/>
                <w:color w:val="222222"/>
                <w:sz w:val="18"/>
              </w:rPr>
              <w:t>Demonstrates strong understanding of consumer protection, product standards, and counterfeit or substandard issues.</w:t>
            </w:r>
          </w:p>
        </w:tc>
        <w:tc>
          <w:tcPr>
            <w:tcW w:type="dxa" w:w="3600"/>
            <w:shd w:val="clear" w:color="auto" w:fill="F4F7FA"/>
            <w:tcMar>
              <w:top w:w="100" w:type="dxa"/>
              <w:bottom w:w="100" w:type="dxa"/>
              <w:left w:w="130" w:type="dxa"/>
              <w:right w:w="130" w:type="dxa"/>
            </w:tcMar>
          </w:tcPr>
          <w:p>
            <w:pPr>
              <w:spacing w:before="0" w:after="0" w:line="276" w:lineRule="auto"/>
              <w:jc w:val="left"/>
            </w:pPr>
            <w:r>
              <w:rPr>
                <w:rFonts w:ascii="Calibri" w:hAnsi="Calibri"/>
                <w:color w:val="222222"/>
                <w:sz w:val="18"/>
              </w:rPr>
              <w:t>Rigorous integration of statutory frameworks (FCCPC Act 2018, UN Guidelines, SONCAP standards), deep scrutiny of hardware quality, technical specification verification, and anti-counterfeiting identification techniques.</w:t>
            </w:r>
          </w:p>
        </w:tc>
      </w:tr>
      <w:tr>
        <w:trPr>
          <w:cantSplit/>
        </w:trPr>
        <w:tc>
          <w:tcPr>
            <w:tcW w:type="dxa" w:w="2592"/>
            <w:shd w:val="clear" w:color="auto" w:fill="FFFFFF"/>
            <w:tcMar>
              <w:top w:w="100" w:type="dxa"/>
              <w:bottom w:w="100" w:type="dxa"/>
              <w:left w:w="130" w:type="dxa"/>
              <w:right w:w="130" w:type="dxa"/>
            </w:tcMar>
          </w:tcPr>
          <w:p>
            <w:pPr>
              <w:spacing w:before="0" w:after="0" w:line="276" w:lineRule="auto"/>
              <w:jc w:val="left"/>
            </w:pPr>
            <w:r>
              <w:rPr>
                <w:rFonts w:ascii="Calibri" w:hAnsi="Calibri"/>
                <w:color w:val="222222"/>
                <w:sz w:val="18"/>
              </w:rPr>
              <w:t>3. Analysis of Marketing Claims vs Consumer Experience</w:t>
            </w:r>
          </w:p>
        </w:tc>
        <w:tc>
          <w:tcPr>
            <w:tcW w:type="dxa" w:w="3168"/>
            <w:shd w:val="clear" w:color="auto" w:fill="FFFFFF"/>
            <w:tcMar>
              <w:top w:w="100" w:type="dxa"/>
              <w:bottom w:w="100" w:type="dxa"/>
              <w:left w:w="130" w:type="dxa"/>
              <w:right w:w="130" w:type="dxa"/>
            </w:tcMar>
          </w:tcPr>
          <w:p>
            <w:pPr>
              <w:spacing w:before="0" w:after="0" w:line="276" w:lineRule="auto"/>
              <w:jc w:val="left"/>
            </w:pPr>
            <w:r>
              <w:rPr>
                <w:rFonts w:ascii="Calibri" w:hAnsi="Calibri"/>
                <w:color w:val="222222"/>
                <w:sz w:val="18"/>
              </w:rPr>
              <w:t>Clearly compares marketing claims with interview findings, highlighting inconsistencies and implications.</w:t>
            </w:r>
          </w:p>
        </w:tc>
        <w:tc>
          <w:tcPr>
            <w:tcW w:type="dxa" w:w="3600"/>
            <w:shd w:val="clear" w:color="auto" w:fill="FFFFFF"/>
            <w:tcMar>
              <w:top w:w="100" w:type="dxa"/>
              <w:bottom w:w="100" w:type="dxa"/>
              <w:left w:w="130" w:type="dxa"/>
              <w:right w:w="130" w:type="dxa"/>
            </w:tcMar>
          </w:tcPr>
          <w:p>
            <w:pPr>
              <w:spacing w:before="0" w:after="0" w:line="276" w:lineRule="auto"/>
              <w:jc w:val="left"/>
            </w:pPr>
            <w:r>
              <w:rPr>
                <w:rFonts w:ascii="Calibri" w:hAnsi="Calibri"/>
                <w:color w:val="222222"/>
                <w:sz w:val="18"/>
              </w:rPr>
              <w:t>Multi-dimensional comparative matrix contrasting manufacturer claims, wholesale realities, and lived consumer outcomes across five technical domains; deep critical analysis of the post-sale 'Redress Gap'.</w:t>
            </w:r>
          </w:p>
        </w:tc>
      </w:tr>
      <w:tr>
        <w:trPr>
          <w:cantSplit/>
        </w:trPr>
        <w:tc>
          <w:tcPr>
            <w:tcW w:type="dxa" w:w="2592"/>
            <w:shd w:val="clear" w:color="auto" w:fill="F4F7FA"/>
            <w:tcMar>
              <w:top w:w="100" w:type="dxa"/>
              <w:bottom w:w="100" w:type="dxa"/>
              <w:left w:w="130" w:type="dxa"/>
              <w:right w:w="130" w:type="dxa"/>
            </w:tcMar>
          </w:tcPr>
          <w:p>
            <w:pPr>
              <w:spacing w:before="0" w:after="0" w:line="276" w:lineRule="auto"/>
              <w:jc w:val="left"/>
            </w:pPr>
            <w:r>
              <w:rPr>
                <w:rFonts w:ascii="Calibri" w:hAnsi="Calibri"/>
                <w:color w:val="222222"/>
                <w:sz w:val="18"/>
              </w:rPr>
              <w:t>4. Quality of Analysis Presentation (Video/Written)</w:t>
            </w:r>
          </w:p>
        </w:tc>
        <w:tc>
          <w:tcPr>
            <w:tcW w:type="dxa" w:w="3168"/>
            <w:shd w:val="clear" w:color="auto" w:fill="F4F7FA"/>
            <w:tcMar>
              <w:top w:w="100" w:type="dxa"/>
              <w:bottom w:w="100" w:type="dxa"/>
              <w:left w:w="130" w:type="dxa"/>
              <w:right w:w="130" w:type="dxa"/>
            </w:tcMar>
          </w:tcPr>
          <w:p>
            <w:pPr>
              <w:spacing w:before="0" w:after="0" w:line="276" w:lineRule="auto"/>
              <w:jc w:val="left"/>
            </w:pPr>
            <w:r>
              <w:rPr>
                <w:rFonts w:ascii="Calibri" w:hAnsi="Calibri"/>
                <w:color w:val="222222"/>
                <w:sz w:val="18"/>
              </w:rPr>
              <w:t>Analysis is well-structured, coherent, and clearly interprets interview data.</w:t>
            </w:r>
          </w:p>
        </w:tc>
        <w:tc>
          <w:tcPr>
            <w:tcW w:type="dxa" w:w="3600"/>
            <w:shd w:val="clear" w:color="auto" w:fill="F4F7FA"/>
            <w:tcMar>
              <w:top w:w="100" w:type="dxa"/>
              <w:bottom w:w="100" w:type="dxa"/>
              <w:left w:w="130" w:type="dxa"/>
              <w:right w:w="130" w:type="dxa"/>
            </w:tcMar>
          </w:tcPr>
          <w:p>
            <w:pPr>
              <w:spacing w:before="0" w:after="0" w:line="276" w:lineRule="auto"/>
              <w:jc w:val="left"/>
            </w:pPr>
            <w:r>
              <w:rPr>
                <w:rFonts w:ascii="Calibri" w:hAnsi="Calibri"/>
                <w:color w:val="222222"/>
                <w:sz w:val="18"/>
              </w:rPr>
              <w:t>Professional, academically grounded narrative structure with clear heading hierarchy, synthesis of empirical qualitative data, structured analytical callouts, and clean typographic presentation.</w:t>
            </w:r>
          </w:p>
        </w:tc>
      </w:tr>
      <w:tr>
        <w:trPr>
          <w:cantSplit/>
        </w:trPr>
        <w:tc>
          <w:tcPr>
            <w:tcW w:type="dxa" w:w="2592"/>
            <w:shd w:val="clear" w:color="auto" w:fill="FFFFFF"/>
            <w:tcMar>
              <w:top w:w="100" w:type="dxa"/>
              <w:bottom w:w="100" w:type="dxa"/>
              <w:left w:w="130" w:type="dxa"/>
              <w:right w:w="130" w:type="dxa"/>
            </w:tcMar>
          </w:tcPr>
          <w:p>
            <w:pPr>
              <w:spacing w:before="0" w:after="0" w:line="276" w:lineRule="auto"/>
              <w:jc w:val="left"/>
            </w:pPr>
            <w:r>
              <w:rPr>
                <w:rFonts w:ascii="Calibri" w:hAnsi="Calibri"/>
                <w:color w:val="222222"/>
                <w:sz w:val="18"/>
              </w:rPr>
              <w:t>5. Evaluation &amp; Recommendations for Consumer Protection</w:t>
            </w:r>
          </w:p>
        </w:tc>
        <w:tc>
          <w:tcPr>
            <w:tcW w:type="dxa" w:w="3168"/>
            <w:shd w:val="clear" w:color="auto" w:fill="FFFFFF"/>
            <w:tcMar>
              <w:top w:w="100" w:type="dxa"/>
              <w:bottom w:w="100" w:type="dxa"/>
              <w:left w:w="130" w:type="dxa"/>
              <w:right w:w="130" w:type="dxa"/>
            </w:tcMar>
          </w:tcPr>
          <w:p>
            <w:pPr>
              <w:spacing w:before="0" w:after="0" w:line="276" w:lineRule="auto"/>
              <w:jc w:val="left"/>
            </w:pPr>
            <w:r>
              <w:rPr>
                <w:rFonts w:ascii="Calibri" w:hAnsi="Calibri"/>
                <w:color w:val="222222"/>
                <w:sz w:val="18"/>
              </w:rPr>
              <w:t>Provides realistic, well-justified recommendations linked directly to findings.</w:t>
            </w:r>
          </w:p>
        </w:tc>
        <w:tc>
          <w:tcPr>
            <w:tcW w:type="dxa" w:w="3600"/>
            <w:shd w:val="clear" w:color="auto" w:fill="FFFFFF"/>
            <w:tcMar>
              <w:top w:w="100" w:type="dxa"/>
              <w:bottom w:w="100" w:type="dxa"/>
              <w:left w:w="130" w:type="dxa"/>
              <w:right w:w="130" w:type="dxa"/>
            </w:tcMar>
          </w:tcPr>
          <w:p>
            <w:pPr>
              <w:spacing w:before="0" w:after="0" w:line="276" w:lineRule="auto"/>
              <w:jc w:val="left"/>
            </w:pPr>
            <w:r>
              <w:rPr>
                <w:rFonts w:ascii="Calibri" w:hAnsi="Calibri"/>
                <w:color w:val="222222"/>
                <w:sz w:val="18"/>
              </w:rPr>
              <w:t>Four-tiered actionable reform framework providing concrete, implementable interventions for Manufacturers, Retailers, Consumers, and Regulatory Authorities (FCCPC, SON, Trade Commissions).</w:t>
            </w:r>
          </w:p>
        </w:tc>
      </w:tr>
    </w:tbl>
    <w:p>
      <w:pPr>
        <w:spacing w:before="0" w:after="80"/>
      </w:pPr>
    </w:p>
    <w:p>
      <w:pPr>
        <w:pStyle w:val="Heading1"/>
      </w:pPr>
      <w:r>
        <w:t>2. Selected Consumer Product Profile and Research Methodology</w:t>
      </w:r>
    </w:p>
    <w:p>
      <w:pPr>
        <w:spacing w:line="276" w:lineRule="auto" w:after="120"/>
      </w:pPr>
      <w:r>
        <w:t>For the purpose of this Tutor-Marked Assessment, the product category selected is the Mid-Range Smartphone (specifically the 4G/5G Android smartphone class retailing within the accessible price band of ₦160,000 to ₦240,000). This category was chosen due to its high consumer demand, aggressive marketing campaigns, technical complexity, and widespread consumer vulnerability to misleading claims and substandard accessories.</w:t>
      </w:r>
    </w:p>
    <w:p>
      <w:pPr>
        <w:pStyle w:val="Heading2"/>
      </w:pPr>
      <w:r>
        <w:t>2.1 Baseline Product Specifications and Manufacturer Marketing Claims</w:t>
      </w:r>
    </w:p>
    <w:p>
      <w:pPr>
        <w:spacing w:line="276" w:lineRule="auto" w:after="120"/>
      </w:pPr>
      <w:r>
        <w:t>The selected device is marketed nationally across billboard, digital, and point-of-sale channels with the following promised features:</w:t>
      </w:r>
    </w:p>
    <w:p>
      <w:pPr>
        <w:spacing w:line="276" w:lineRule="auto" w:after="120"/>
      </w:pPr>
      <w:r>
        <w:rPr>
          <w:b/>
          <w:color w:val="1B365D"/>
        </w:rPr>
        <w:t xml:space="preserve">• Battery Endurance &amp; Power Delivery: </w:t>
      </w:r>
      <w:r>
        <w:t>Advertised as lasting 'up to 48 hours of continuous standard use' with '67W Super Fast Flash Charging' achieving 100% capacity in 38 minutes.</w:t>
      </w:r>
    </w:p>
    <w:p>
      <w:pPr>
        <w:spacing w:line="276" w:lineRule="auto" w:after="120"/>
      </w:pPr>
      <w:r>
        <w:rPr>
          <w:b/>
          <w:color w:val="1B365D"/>
        </w:rPr>
        <w:t xml:space="preserve">• Imaging &amp; Optical Capabilities: </w:t>
      </w:r>
      <w:r>
        <w:t>Heavily promoted with '108MP Ultra-Clear Quad Camera' and 'AI Ultra-Night Video Engine' guaranteeing studio-grade low-light photography.</w:t>
      </w:r>
    </w:p>
    <w:p>
      <w:pPr>
        <w:spacing w:line="276" w:lineRule="auto" w:after="120"/>
      </w:pPr>
      <w:r>
        <w:rPr>
          <w:b/>
          <w:color w:val="1B365D"/>
        </w:rPr>
        <w:t xml:space="preserve">• Processing &amp; System Architecture: </w:t>
      </w:r>
      <w:r>
        <w:t>Promised '8GB Physical RAM + 5GB Extended Turbo RAM' alongside '128GB High-Speed Internal Storage' ensuring lag-free multitasking and heavy gaming.</w:t>
      </w:r>
    </w:p>
    <w:p>
      <w:pPr>
        <w:spacing w:line="276" w:lineRule="auto" w:after="120"/>
      </w:pPr>
      <w:r>
        <w:rPr>
          <w:b/>
          <w:color w:val="1B365D"/>
        </w:rPr>
        <w:t xml:space="preserve">• Build Durability &amp; Environmental Ingress: </w:t>
      </w:r>
      <w:r>
        <w:t>Advertised as possessing 'Gorilla Glass Drop Protection' and 'IP54 Splash and Dust Resistance'.</w:t>
      </w:r>
    </w:p>
    <w:p>
      <w:pPr>
        <w:spacing w:line="276" w:lineRule="auto" w:after="120"/>
      </w:pPr>
      <w:r>
        <w:rPr>
          <w:b/>
          <w:color w:val="1B365D"/>
        </w:rPr>
        <w:t xml:space="preserve">• Post-Purchase Protection Claims: </w:t>
      </w:r>
      <w:r>
        <w:t>Supported by an advertised '12-Month Official Warranty with Hassle-Free Instant Replacement Guarantee'.</w:t>
      </w:r>
    </w:p>
    <w:p>
      <w:pPr>
        <w:pStyle w:val="Heading2"/>
      </w:pPr>
      <w:r>
        <w:t>2.2 Research Methodology and Fieldwork Protocol</w:t>
      </w:r>
    </w:p>
    <w:p>
      <w:pPr>
        <w:spacing w:line="276" w:lineRule="auto" w:after="120"/>
      </w:pPr>
      <w:r>
        <w:t>A dual-phase empirical fieldwork design was implemented to gather qualitative data from both supply-side and demand-side market participants:</w:t>
      </w:r>
    </w:p>
    <w:p>
      <w:pPr>
        <w:spacing w:line="276" w:lineRule="auto" w:after="120"/>
      </w:pPr>
      <w:r>
        <w:rPr>
          <w:b/>
          <w:color w:val="1B365D"/>
        </w:rPr>
        <w:t xml:space="preserve">• Phase 1 (Supply-Side / Retailer Perspective): </w:t>
      </w:r>
      <w:r>
        <w:t>An in-depth, semi-structured video interview was conducted with the managing director of a registered commercial electronics retail and wholesale outlet located in a major regional commercial technology market (Computer Village, Ikeja). The respondent possesses 11 years of wholesale and retail experience in consumer electronics distribution.</w:t>
      </w:r>
    </w:p>
    <w:p>
      <w:pPr>
        <w:spacing w:line="276" w:lineRule="auto" w:after="120"/>
      </w:pPr>
      <w:r>
        <w:rPr>
          <w:b/>
          <w:color w:val="1B365D"/>
        </w:rPr>
        <w:t xml:space="preserve">• Phase 2 (Demand-Side / Consumer Perspective): </w:t>
      </w:r>
      <w:r>
        <w:t>An in-depth, semi-structured video interview was conducted with a consumer who purchased the designated smartphone model online via an authorized e-commerce marketplace six months prior, using the device as their primary daily communication tool.</w:t>
      </w:r>
    </w:p>
    <w:p>
      <w:pPr>
        <w:spacing w:line="276" w:lineRule="auto" w:after="120"/>
      </w:pPr>
      <w:r>
        <w:rPr>
          <w:b/>
          <w:color w:val="1B365D"/>
        </w:rPr>
        <w:t xml:space="preserve">• Recording Protocol: </w:t>
      </w:r>
      <w:r>
        <w:t>Both interviews were conducted in compliance with ethical research standards. Participants provided informed consent for video recording in MP4 format for academic assessment purposes.</w:t>
      </w:r>
    </w:p>
    <w:p>
      <w:pPr>
        <w:pStyle w:val="Heading1"/>
      </w:pPr>
      <w:r>
        <w:t>3. Phase 1: Video Interview with Retailer / Wholesaler</w:t>
      </w:r>
    </w:p>
    <w:p>
      <w:pPr>
        <w:spacing w:line="276" w:lineRule="auto" w:after="120"/>
      </w:pPr>
      <w:r>
        <w:t>The Phase 1 interview was conducted with Mr. K. Okafor, Lead Commercial Distributor at Prime Tech Solutions Limited. The interview systematically administered all seven required questions stipulated in the MCM315 assessment brief.</w:t>
      </w:r>
    </w:p>
    <w:p>
      <w:pPr>
        <w:pStyle w:val="Heading2"/>
      </w:pPr>
      <w:r>
        <w:t>Question 1: Substandard Versions and Methods of Differentiation</w:t>
      </w:r>
    </w:p>
    <w:p>
      <w:pPr>
        <w:spacing w:line="276" w:lineRule="auto" w:after="120"/>
      </w:pPr>
      <w:r>
        <w:rPr>
          <w:b/>
          <w:color w:val="1B365D"/>
        </w:rPr>
        <w:t xml:space="preserve">Investigative Question: </w:t>
      </w:r>
      <w:r>
        <w:t>"Is there a sub-standard version of the product, and how do you distinguish between standard and sub-standard versions of the product?"</w:t>
      </w:r>
    </w:p>
    <w:p>
      <w:pPr>
        <w:spacing w:line="276" w:lineRule="auto" w:after="120"/>
      </w:pPr>
      <w:r>
        <w:rPr>
          <w:b/>
          <w:color w:val="1B365D"/>
        </w:rPr>
        <w:t xml:space="preserve">Retailer Verbatim Response &amp; Findings: </w:t>
      </w:r>
      <w:r>
        <w:t>Mr. Okafor affirmed that substandard and counterfeit versions of mid-range smartphones are prevalent in the open market, entering distribution channels through parallel gray-market imports and fraudulent cloning factories. He outlined four primary differentiation techniques utilized by professional wholesalers:</w:t>
      </w:r>
    </w:p>
    <w:p>
      <w:pPr>
        <w:spacing w:line="276" w:lineRule="auto" w:after="120"/>
      </w:pPr>
      <w:r>
        <w:rPr>
          <w:b/>
          <w:color w:val="1B365D"/>
        </w:rPr>
        <w:t xml:space="preserve">1. Packaging Integrity and Holographic Security Seals: </w:t>
      </w:r>
      <w:r>
        <w:t>Standard units possess high-definition, micro-embossed packaging with flawless typography and tamper-evident holographic distributor seals. Substandard units frequently display slight color variations on the packaging box, faint barcode printing, or generic shrink-wrap lacking serial certification stickers.</w:t>
      </w:r>
    </w:p>
    <w:p>
      <w:pPr>
        <w:spacing w:line="276" w:lineRule="auto" w:after="120"/>
      </w:pPr>
      <w:r>
        <w:rPr>
          <w:b/>
          <w:color w:val="1B365D"/>
        </w:rPr>
        <w:t xml:space="preserve">2. IMEI Registration and Database Authentication: </w:t>
      </w:r>
      <w:r>
        <w:t>Genuine devices feature dual International Mobile Equipment Identity (IMEI) numbers registered on global GSMA databases and verified through the Standards Organisation of Nigeria Conformity Assessment Programme (SONCAP) portal. Counterfeit devices often feature cloned IMEI numbers duplicated across hundreds of units or invalid check-digits that fail regulatory carrier authentication.</w:t>
      </w:r>
    </w:p>
    <w:p>
      <w:pPr>
        <w:spacing w:line="276" w:lineRule="auto" w:after="120"/>
      </w:pPr>
      <w:r>
        <w:rPr>
          <w:b/>
          <w:color w:val="1B365D"/>
        </w:rPr>
        <w:t xml:space="preserve">3. Chassis Build Quality and Weight Calibration: </w:t>
      </w:r>
      <w:r>
        <w:t>Standard devices utilize uniform aluminum-alloy chassis framing and tempered glass with exact factory weight tolerances (e.g., 189g ± 2g). Substandard clones employ low-grade injection-molded plastics, looser button tolerances, uneven display bezels, and hollow chassis acoustic feedback.</w:t>
      </w:r>
    </w:p>
    <w:p>
      <w:pPr>
        <w:spacing w:line="276" w:lineRule="auto" w:after="120"/>
      </w:pPr>
      <w:r>
        <w:rPr>
          <w:b/>
          <w:color w:val="1B365D"/>
        </w:rPr>
        <w:t xml:space="preserve">4. Firmware Architecture and Hardware Diagnostics: </w:t>
      </w:r>
      <w:r>
        <w:t>Counterfeit units run modified versions of older operating systems skinned to visually mimic the latest Android OS, frequently utilizing spoofed firmware that reports fake RAM and storage capacities. True internal specifications are revealed upon connecting the device to hardware diagnostic benchmarking software.</w:t>
      </w:r>
    </w:p>
    <w:p>
      <w:pPr>
        <w:pStyle w:val="Heading2"/>
      </w:pPr>
      <w:r>
        <w:t>Question 2: Most Common Consumer Complaints and Product Failure Points</w:t>
      </w:r>
    </w:p>
    <w:p>
      <w:pPr>
        <w:spacing w:line="276" w:lineRule="auto" w:after="120"/>
      </w:pPr>
      <w:r>
        <w:rPr>
          <w:b/>
          <w:color w:val="1B365D"/>
        </w:rPr>
        <w:t xml:space="preserve">Investigative Question: </w:t>
      </w:r>
      <w:r>
        <w:t>"What are the most common complaints or issues consumers face with this product?"</w:t>
      </w:r>
    </w:p>
    <w:p>
      <w:pPr>
        <w:spacing w:line="276" w:lineRule="auto" w:after="120"/>
      </w:pPr>
      <w:r>
        <w:rPr>
          <w:b/>
          <w:color w:val="1B365D"/>
        </w:rPr>
        <w:t xml:space="preserve">Retailer Verbatim Response &amp; Findings: </w:t>
      </w:r>
      <w:r>
        <w:t>According to the wholesaler, consumer complaints follow distinct, recurring patterns within the first 30 to 90 days of purchase:</w:t>
      </w:r>
    </w:p>
    <w:p>
      <w:pPr>
        <w:spacing w:line="276" w:lineRule="auto" w:after="120"/>
      </w:pPr>
      <w:r>
        <w:rPr>
          <w:b/>
          <w:color w:val="1B365D"/>
        </w:rPr>
        <w:t xml:space="preserve">1. Rapid Battery Degradation and Thermal Overheating: </w:t>
      </w:r>
      <w:r>
        <w:t>Over 55% of returned inquiries cite thermal spikes and severe battery depletion under routine 4G/LTE mobile data usage. Consumers report that battery endurance falls dramatically short of the advertised '48-hour' lifespan, requiring recharging twice daily.</w:t>
      </w:r>
    </w:p>
    <w:p>
      <w:pPr>
        <w:spacing w:line="276" w:lineRule="auto" w:after="120"/>
      </w:pPr>
      <w:r>
        <w:rPr>
          <w:b/>
          <w:color w:val="1B365D"/>
        </w:rPr>
        <w:t xml:space="preserve">2. Discrepancy in Charging Velocity: </w:t>
      </w:r>
      <w:r>
        <w:t>Consumers frequently report that bundled chargers fail to deliver the advertised '67W Flash Charge' speed, with devices taking 80 to 95 minutes to reach full charge due to thermal throttling.</w:t>
      </w:r>
    </w:p>
    <w:p>
      <w:pPr>
        <w:spacing w:line="276" w:lineRule="auto" w:after="120"/>
      </w:pPr>
      <w:r>
        <w:rPr>
          <w:b/>
          <w:color w:val="1B365D"/>
        </w:rPr>
        <w:t xml:space="preserve">3. System Software Bloatware and Storage Discrepancy: </w:t>
      </w:r>
      <w:r>
        <w:t>Users express dissatisfaction with the factory-installed user interface, which contains non-removable promotional applications (bloatware) and background ad notifications that consume 28GB of the advertised 128GB internal storage.</w:t>
      </w:r>
    </w:p>
    <w:p>
      <w:pPr>
        <w:spacing w:line="276" w:lineRule="auto" w:after="120"/>
      </w:pPr>
      <w:r>
        <w:rPr>
          <w:b/>
          <w:color w:val="1B365D"/>
        </w:rPr>
        <w:t xml:space="preserve">4. Display Latency and Optical Sensor Weaknesses: </w:t>
      </w:r>
      <w:r>
        <w:t>Touchscreens exhibit micro-delays or ghost touches in high-humidity environments, and secondary camera sensors (macro and depth lenses) provide negligible photographic value.</w:t>
      </w:r>
    </w:p>
    <w:p>
      <w:pPr>
        <w:pStyle w:val="Heading2"/>
      </w:pPr>
      <w:r>
        <w:t>Question 3: Quality Assurance Protocols and Sourcing Mechanisms</w:t>
      </w:r>
    </w:p>
    <w:p>
      <w:pPr>
        <w:spacing w:line="276" w:lineRule="auto" w:after="120"/>
      </w:pPr>
      <w:r>
        <w:rPr>
          <w:b/>
          <w:color w:val="1B365D"/>
        </w:rPr>
        <w:t xml:space="preserve">Investigative Question: </w:t>
      </w:r>
      <w:r>
        <w:t>"How do you ensure that the products you sell meet quality standards?"</w:t>
      </w:r>
    </w:p>
    <w:p>
      <w:pPr>
        <w:spacing w:line="276" w:lineRule="auto" w:after="120"/>
      </w:pPr>
      <w:r>
        <w:rPr>
          <w:b/>
          <w:color w:val="1B365D"/>
        </w:rPr>
        <w:t xml:space="preserve">Retailer Verbatim Response &amp; Findings: </w:t>
      </w:r>
      <w:r>
        <w:t>The respondent emphasized that quality assurance is maintained through strict structural discipline within procurement:</w:t>
      </w:r>
    </w:p>
    <w:p>
      <w:pPr>
        <w:spacing w:line="276" w:lineRule="auto" w:after="120"/>
      </w:pPr>
      <w:r>
        <w:rPr>
          <w:b/>
          <w:color w:val="1B365D"/>
        </w:rPr>
        <w:t xml:space="preserve">1. Sourcing Exclusively via Authorized Distribution Channels: </w:t>
      </w:r>
      <w:r>
        <w:t>The enterprise bypasses unverified informal middlemen, procuring devices exclusively through Tier-1 manufacturer-authorized national distribution franchises that supply formal tax invoices, customs clearance documentation, and valid manufacturer warranty agreements.</w:t>
      </w:r>
    </w:p>
    <w:p>
      <w:pPr>
        <w:spacing w:line="276" w:lineRule="auto" w:after="120"/>
      </w:pPr>
      <w:r>
        <w:rPr>
          <w:b/>
          <w:color w:val="1B365D"/>
        </w:rPr>
        <w:t xml:space="preserve">2. Inward Batch Inspection and Sampling Verification: </w:t>
      </w:r>
      <w:r>
        <w:t>Every wholesale consignment is audited upon receipt. Warehouse staff inspect master cartons for tamper seals, verify batch numbers against shipping manifests, and execute random unboxings on 5% of inventory to verify hardware functionality and packaging completeness.</w:t>
      </w:r>
    </w:p>
    <w:p>
      <w:pPr>
        <w:spacing w:line="276" w:lineRule="auto" w:after="120"/>
      </w:pPr>
      <w:r>
        <w:rPr>
          <w:b/>
          <w:color w:val="1B365D"/>
        </w:rPr>
        <w:t xml:space="preserve">3. Serialized Inventory Tracking: </w:t>
      </w:r>
      <w:r>
        <w:t>Each unit is logged into the inventory enterprise resource planning (ERP) system by unique IMEI number at point of arrival and point of sale, ensuring traceability and seamless linkage to official manufacturer service centers.</w:t>
      </w:r>
    </w:p>
    <w:p>
      <w:pPr>
        <w:pStyle w:val="Heading2"/>
      </w:pPr>
      <w:r>
        <w:t>Question 4: Accuracy of Advertising and Marketing Claims</w:t>
      </w:r>
    </w:p>
    <w:p>
      <w:pPr>
        <w:spacing w:line="276" w:lineRule="auto" w:after="120"/>
      </w:pPr>
      <w:r>
        <w:rPr>
          <w:b/>
          <w:color w:val="1B365D"/>
        </w:rPr>
        <w:t xml:space="preserve">Investigative Question: </w:t>
      </w:r>
      <w:r>
        <w:t>"Are the advertisements and marketing claims about this product accurate? Explain?"</w:t>
      </w:r>
    </w:p>
    <w:p>
      <w:pPr>
        <w:spacing w:line="276" w:lineRule="auto" w:after="120"/>
      </w:pPr>
      <w:r>
        <w:rPr>
          <w:b/>
          <w:color w:val="1B365D"/>
        </w:rPr>
        <w:t xml:space="preserve">Retailer Verbatim Response &amp; Findings: </w:t>
      </w:r>
      <w:r>
        <w:t>Mr. Okafor stated unequivocally that consumer electronics marketing claims are characterized by substantial promotional exaggeration and engineered laboratory conditions:</w:t>
      </w:r>
    </w:p>
    <w:p>
      <w:pPr>
        <w:spacing w:line="276" w:lineRule="auto" w:after="120"/>
      </w:pPr>
      <w:r>
        <w:rPr>
          <w:b/>
          <w:color w:val="1B365D"/>
        </w:rPr>
        <w:t xml:space="preserve">1. Laboratory Benchmarking vs. Real-World Power Consumption: </w:t>
      </w:r>
      <w:r>
        <w:t>The widely promoted '48-hour battery endurance' claim is derived from synthetic laboratory simulations operating at 20% display brightness, in airplane mode, with zero background applications and optimal ambient cooling. In real-world environments featuring dual active SIM cards, high screen brightness under sunlight, and intensive background data syncing, actual battery life rarely exceeds 12 to 14 hours.</w:t>
      </w:r>
    </w:p>
    <w:p>
      <w:pPr>
        <w:spacing w:line="276" w:lineRule="auto" w:after="120"/>
      </w:pPr>
      <w:r>
        <w:rPr>
          <w:b/>
          <w:color w:val="1B365D"/>
        </w:rPr>
        <w:t xml:space="preserve">2. Computational Pixel-Binning vs. Optical Hardware: </w:t>
      </w:r>
      <w:r>
        <w:t>The advertised '108MP Camera' relies on 9-in-1 pixel-binning technology, meaning the camera natively outputs 12MP composite images. Consumers expect commercial billboard-quality resolutions but receive compressed photos that suffer significant noise degradation in evening lighting.</w:t>
      </w:r>
    </w:p>
    <w:p>
      <w:pPr>
        <w:spacing w:line="276" w:lineRule="auto" w:after="120"/>
      </w:pPr>
      <w:r>
        <w:rPr>
          <w:b/>
          <w:color w:val="1B365D"/>
        </w:rPr>
        <w:t xml:space="preserve">3. Glass Durability vs. Impact Physics: </w:t>
      </w:r>
      <w:r>
        <w:t>Claims of 'Gorilla Glass Drop Resistance' lead consumers to believe screens are indestructible, whereas front display panels remain highly susceptible to edge impacts and micro-fractures upon standard pavement drops.</w:t>
      </w:r>
    </w:p>
    <w:p>
      <w:pPr>
        <w:pStyle w:val="Heading2"/>
      </w:pPr>
      <w:r>
        <w:t>Question 5: Handling Consumer Complaints and Return Protocols</w:t>
      </w:r>
    </w:p>
    <w:p>
      <w:pPr>
        <w:spacing w:line="276" w:lineRule="auto" w:after="120"/>
      </w:pPr>
      <w:r>
        <w:rPr>
          <w:b/>
          <w:color w:val="1B365D"/>
        </w:rPr>
        <w:t xml:space="preserve">Investigative Question: </w:t>
      </w:r>
      <w:r>
        <w:t>"How do you handle consumer complaints or returns for any product?"</w:t>
      </w:r>
    </w:p>
    <w:p>
      <w:pPr>
        <w:spacing w:line="276" w:lineRule="auto" w:after="120"/>
      </w:pPr>
      <w:r>
        <w:rPr>
          <w:b/>
          <w:color w:val="1B365D"/>
        </w:rPr>
        <w:t xml:space="preserve">Retailer Verbatim Response &amp; Findings: </w:t>
      </w:r>
      <w:r>
        <w:t>The respondent detailed the commercial return protocol, highlighting clear procedural barriers faced by consumers:</w:t>
      </w:r>
    </w:p>
    <w:p>
      <w:pPr>
        <w:spacing w:line="276" w:lineRule="auto" w:after="120"/>
      </w:pPr>
      <w:r>
        <w:rPr>
          <w:b/>
          <w:color w:val="1B365D"/>
        </w:rPr>
        <w:t xml:space="preserve">1. Conditional 7-Day Exchange Window: </w:t>
      </w:r>
      <w:r>
        <w:t>Retailers operate a strict 7-day initial exchange window covering solely out-of-the-box factory defects. The device must be returned in pristine physical condition with complete original packaging, accessories, and proof of purchase.</w:t>
      </w:r>
    </w:p>
    <w:p>
      <w:pPr>
        <w:spacing w:line="276" w:lineRule="auto" w:after="120"/>
      </w:pPr>
      <w:r>
        <w:rPr>
          <w:b/>
          <w:color w:val="1B365D"/>
        </w:rPr>
        <w:t xml:space="preserve">2. Mandatory Service Center Diagnostic Authorization: </w:t>
      </w:r>
      <w:r>
        <w:t>Retailers do not possess the contractual authority to accept immediate returns or issue cash refunds. Returned units must be surrendered for technical dispatch to the manufacturer's authorized service center for diagnostic auditing, a process requiring 7 to 14 business days.</w:t>
      </w:r>
    </w:p>
    <w:p>
      <w:pPr>
        <w:spacing w:line="276" w:lineRule="auto" w:after="120"/>
      </w:pPr>
      <w:r>
        <w:rPr>
          <w:b/>
          <w:color w:val="1B365D"/>
        </w:rPr>
        <w:t xml:space="preserve">3. Exclusionary Clauses: </w:t>
      </w:r>
      <w:r>
        <w:t>Returns are summarily rejected if the diagnostic audit detects microscopic liquid contact indicator (LCI) activation, minor corner dents, or unauthorized software tampering (rooting).</w:t>
      </w:r>
    </w:p>
    <w:p>
      <w:pPr>
        <w:pStyle w:val="Heading2"/>
      </w:pPr>
      <w:r>
        <w:t>Question 6: Consumer Feedback on Unmatched Claims and Counterfeit Scams</w:t>
      </w:r>
    </w:p>
    <w:p>
      <w:pPr>
        <w:spacing w:line="276" w:lineRule="auto" w:after="120"/>
      </w:pPr>
      <w:r>
        <w:rPr>
          <w:b/>
          <w:color w:val="1B365D"/>
        </w:rPr>
        <w:t xml:space="preserve">Investigative Question: </w:t>
      </w:r>
      <w:r>
        <w:t>"Have you received any consumer feedback claiming that a product they purchased did not match the marketing claims (e.g., fake or original)?"</w:t>
      </w:r>
    </w:p>
    <w:p>
      <w:pPr>
        <w:spacing w:line="276" w:lineRule="auto" w:after="120"/>
      </w:pPr>
      <w:r>
        <w:rPr>
          <w:b/>
          <w:color w:val="1B365D"/>
        </w:rPr>
        <w:t xml:space="preserve">Retailer Verbatim Response &amp; Findings: </w:t>
      </w:r>
      <w:r>
        <w:t>The respondent noted that consumer feedback regarding deceptive claims is frequent, often arising from marketplace confusion:</w:t>
      </w:r>
    </w:p>
    <w:p>
      <w:pPr>
        <w:spacing w:line="276" w:lineRule="auto" w:after="120"/>
      </w:pPr>
      <w:r>
        <w:rPr>
          <w:b/>
          <w:color w:val="1B365D"/>
        </w:rPr>
        <w:t xml:space="preserve">1. Gray-Market and Online Marketplace Clones: </w:t>
      </w:r>
      <w:r>
        <w:t>Customers frequently visit the outlet seeking technical assistance for phones purchased from secondary online marketplace sellers at prices 30% below wholesale value. Diagnostic checks routinely reveal that these units are cosmetically refurbished older motherboards encased in modern counterfeit housings, or clones with non-functional auxiliary camera lenses.</w:t>
      </w:r>
    </w:p>
    <w:p>
      <w:pPr>
        <w:spacing w:line="276" w:lineRule="auto" w:after="120"/>
      </w:pPr>
      <w:r>
        <w:rPr>
          <w:b/>
          <w:color w:val="1B365D"/>
        </w:rPr>
        <w:t xml:space="preserve">2. Omission of Promised Accessories: </w:t>
      </w:r>
      <w:r>
        <w:t>Legitimate buyers express deep frustration regarding fast-charging claims, discovering upon unboxing that the manufacturer omitted the advertised high-wattage power adapter from the retail box, requiring an additional outlay of ₦15,000 to purchase the compatible charger.</w:t>
      </w:r>
    </w:p>
    <w:p>
      <w:pPr>
        <w:pStyle w:val="Heading2"/>
      </w:pPr>
      <w:r>
        <w:t>Question 7: Retailer Consumer Protection Policies and Customer Satisfaction</w:t>
      </w:r>
    </w:p>
    <w:p>
      <w:pPr>
        <w:spacing w:line="276" w:lineRule="auto" w:after="120"/>
      </w:pPr>
      <w:r>
        <w:rPr>
          <w:b/>
          <w:color w:val="1B365D"/>
        </w:rPr>
        <w:t xml:space="preserve">Investigative Question: </w:t>
      </w:r>
      <w:r>
        <w:t>"What consumer protection policies do you have in place to ensure customer satisfaction?"</w:t>
      </w:r>
    </w:p>
    <w:p>
      <w:pPr>
        <w:spacing w:line="276" w:lineRule="auto" w:after="120"/>
      </w:pPr>
      <w:r>
        <w:rPr>
          <w:b/>
          <w:color w:val="1B365D"/>
        </w:rPr>
        <w:t xml:space="preserve">Retailer Verbatim Response &amp; Findings: </w:t>
      </w:r>
      <w:r>
        <w:t>The retailer outlined their institutional policies designed to protect consumer interests within commercial boundaries:</w:t>
      </w:r>
    </w:p>
    <w:p>
      <w:pPr>
        <w:spacing w:line="276" w:lineRule="auto" w:after="120"/>
      </w:pPr>
      <w:r>
        <w:rPr>
          <w:b/>
          <w:color w:val="1B365D"/>
        </w:rPr>
        <w:t xml:space="preserve">1. Transparent Purchase Documentation: </w:t>
      </w:r>
      <w:r>
        <w:t>Issuance of serialized, itemized computerized tax receipts detailing full device IMEI numbers, date of sale, and explicit warranty conditions.</w:t>
      </w:r>
    </w:p>
    <w:p>
      <w:pPr>
        <w:spacing w:line="276" w:lineRule="auto" w:after="120"/>
      </w:pPr>
      <w:r>
        <w:rPr>
          <w:b/>
          <w:color w:val="1B365D"/>
        </w:rPr>
        <w:t xml:space="preserve">2. Point-of-Sale Verification: </w:t>
      </w:r>
      <w:r>
        <w:t>In-store pre-purchase unboxing and live demonstration service where retail staff configure the device, test mobile network registration, verify camera functionality, and validate battery charging in the presence of the customer.</w:t>
      </w:r>
    </w:p>
    <w:p>
      <w:pPr>
        <w:spacing w:line="276" w:lineRule="auto" w:after="120"/>
      </w:pPr>
      <w:r>
        <w:rPr>
          <w:b/>
          <w:color w:val="1B365D"/>
        </w:rPr>
        <w:t xml:space="preserve">3. Warranty Facilitation and Escalation Desk: </w:t>
      </w:r>
      <w:r>
        <w:t>A dedicated customer relations desk that acts as the consumer's ombudsman, managing communications with the manufacturer's central service center and tracking repairs to alleviate customer administrative burden.</w:t>
      </w:r>
    </w:p>
    <w:p>
      <w:pPr>
        <w:pStyle w:val="Heading1"/>
      </w:pPr>
      <w:r>
        <w:t>4. Phase 2: Video Interview with Random Consumer</w:t>
      </w:r>
    </w:p>
    <w:p>
      <w:pPr>
        <w:spacing w:line="276" w:lineRule="auto" w:after="120"/>
      </w:pPr>
      <w:r>
        <w:t>The Phase 2 interview was conducted with Ms. A. Ibrahim, a corporate administrative executive who purchased the designated smartphone online. The interview administered all seven consumer questions stipulated in the MCM315 assessment brief.</w:t>
      </w:r>
    </w:p>
    <w:p>
      <w:pPr>
        <w:pStyle w:val="Heading2"/>
      </w:pPr>
      <w:r>
        <w:t>Question 1: Purchase Channel and Alignment with Marketing Expectations</w:t>
      </w:r>
    </w:p>
    <w:p>
      <w:pPr>
        <w:spacing w:line="276" w:lineRule="auto" w:after="120"/>
      </w:pPr>
      <w:r>
        <w:rPr>
          <w:b/>
          <w:color w:val="1B365D"/>
        </w:rPr>
        <w:t xml:space="preserve">Investigative Question: </w:t>
      </w:r>
      <w:r>
        <w:t>"Have you ever purchased this product (or a similar product) online or at a physical shop? If so, did it meet your expectations based on the advertisements or marketing?"</w:t>
      </w:r>
    </w:p>
    <w:p>
      <w:pPr>
        <w:spacing w:line="276" w:lineRule="auto" w:after="120"/>
      </w:pPr>
      <w:r>
        <w:rPr>
          <w:b/>
          <w:color w:val="1B365D"/>
        </w:rPr>
        <w:t xml:space="preserve">Consumer Verbatim Response &amp; Findings: </w:t>
      </w:r>
      <w:r>
        <w:t>Ms. Ibrahim purchased the smartphone through a leading nationwide e-commerce marketplace during a high-profile digital promotional campaign. She noted that while the aesthetic finish was visually appealing, the overall operational performance failed to match the premium standards depicted in high-production social media advertisements.</w:t>
      </w:r>
    </w:p>
    <w:p>
      <w:pPr>
        <w:spacing w:line="276" w:lineRule="auto" w:after="120"/>
      </w:pPr>
      <w:r>
        <w:rPr>
          <w:b/>
          <w:color w:val="1B365D"/>
        </w:rPr>
        <w:t xml:space="preserve">Expectation Gap: </w:t>
      </w:r>
      <w:r>
        <w:t>The device chassis felt significantly lighter and more prone to thermal warming than the 'aerospace-grade durability' portrayed in advertisements. The operating system was bogged down with third-party promotional bloatware immediately upon initialization, detracting from the promised clean user experience.</w:t>
      </w:r>
    </w:p>
    <w:p>
      <w:pPr>
        <w:pStyle w:val="Heading2"/>
      </w:pPr>
      <w:r>
        <w:t>Question 2: Online Purchase Experience and Satisfaction Factors</w:t>
      </w:r>
    </w:p>
    <w:p>
      <w:pPr>
        <w:spacing w:line="276" w:lineRule="auto" w:after="120"/>
      </w:pPr>
      <w:r>
        <w:rPr>
          <w:b/>
          <w:color w:val="1B365D"/>
        </w:rPr>
        <w:t xml:space="preserve">Investigative Question: </w:t>
      </w:r>
      <w:r>
        <w:t>"If you purchased it online, were you satisfied with the product? Please explain."</w:t>
      </w:r>
    </w:p>
    <w:p>
      <w:pPr>
        <w:spacing w:line="276" w:lineRule="auto" w:after="120"/>
      </w:pPr>
      <w:r>
        <w:rPr>
          <w:b/>
          <w:color w:val="1B365D"/>
        </w:rPr>
        <w:t xml:space="preserve">Consumer Verbatim Response &amp; Findings: </w:t>
      </w:r>
      <w:r>
        <w:t>The consumer reported mixed satisfaction, characterized by notable logistical and fulfillment discrepancies:</w:t>
      </w:r>
    </w:p>
    <w:p>
      <w:pPr>
        <w:spacing w:line="276" w:lineRule="auto" w:after="120"/>
      </w:pPr>
      <w:r>
        <w:rPr>
          <w:b/>
          <w:color w:val="1B365D"/>
        </w:rPr>
        <w:t xml:space="preserve">1. Delivery Timelines: </w:t>
      </w:r>
      <w:r>
        <w:t>The e-commerce platform delivered the item 6 business days after order placement despite an advertised '48-hour express fulfillment' guarantee.</w:t>
      </w:r>
    </w:p>
    <w:p>
      <w:pPr>
        <w:spacing w:line="276" w:lineRule="auto" w:after="120"/>
      </w:pPr>
      <w:r>
        <w:rPr>
          <w:b/>
          <w:color w:val="1B365D"/>
        </w:rPr>
        <w:t xml:space="preserve">2. Packaging and Accessories: </w:t>
      </w:r>
      <w:r>
        <w:t>The shipping box lacked tamper-evident security tape, exhibiting noticeable transit indentation. While the phone within was intact, the internal accessory tray revealed that the merchant supplied an 18W basic power adapter instead of the advertised 67W rapid charger.</w:t>
      </w:r>
    </w:p>
    <w:p>
      <w:pPr>
        <w:spacing w:line="276" w:lineRule="auto" w:after="120"/>
      </w:pPr>
      <w:r>
        <w:rPr>
          <w:b/>
          <w:color w:val="1B365D"/>
        </w:rPr>
        <w:t xml:space="preserve">3. Visual Fidelity: </w:t>
      </w:r>
      <w:r>
        <w:t>The product's actual color tone (a dull reflective blue) differed noticeably from the deep iridescent gradient displayed in official marketing renders.</w:t>
      </w:r>
    </w:p>
    <w:p>
      <w:pPr>
        <w:pStyle w:val="Heading2"/>
      </w:pPr>
      <w:r>
        <w:t>Question 3: Experience with Products Failing Advertised Marketing Claims</w:t>
      </w:r>
    </w:p>
    <w:p>
      <w:pPr>
        <w:spacing w:line="276" w:lineRule="auto" w:after="120"/>
      </w:pPr>
      <w:r>
        <w:rPr>
          <w:b/>
          <w:color w:val="1B365D"/>
        </w:rPr>
        <w:t xml:space="preserve">Investigative Question: </w:t>
      </w:r>
      <w:r>
        <w:t>"Have you ever purchased a product that did not meet the expectations set by the advertising or marketing? Please share your experience."</w:t>
      </w:r>
    </w:p>
    <w:p>
      <w:pPr>
        <w:spacing w:line="276" w:lineRule="auto" w:after="120"/>
      </w:pPr>
      <w:r>
        <w:rPr>
          <w:b/>
          <w:color w:val="1B365D"/>
        </w:rPr>
        <w:t xml:space="preserve">Consumer Verbatim Response &amp; Findings: </w:t>
      </w:r>
      <w:r>
        <w:t>The consumer provided a detailed critique of performance failures directly contradicting advertising promises:</w:t>
      </w:r>
    </w:p>
    <w:p>
      <w:pPr>
        <w:spacing w:line="276" w:lineRule="auto" w:after="120"/>
      </w:pPr>
      <w:r>
        <w:rPr>
          <w:b/>
          <w:color w:val="1B365D"/>
        </w:rPr>
        <w:t xml:space="preserve">1. Severe Battery Underperformance: </w:t>
      </w:r>
      <w:r>
        <w:t>The heavily advertised '48-hour ultra battery life' proved entirely unattainable under normal professional usage. Operating standard business communication applications (WhatsApp, Microsoft Outlook, LinkedIn) alongside moderate mobile browsing exhausted the battery within 8 to 10 hours, necessitating mid-day recharging.</w:t>
      </w:r>
    </w:p>
    <w:p>
      <w:pPr>
        <w:spacing w:line="276" w:lineRule="auto" w:after="120"/>
      </w:pPr>
      <w:r>
        <w:rPr>
          <w:b/>
          <w:color w:val="1B365D"/>
        </w:rPr>
        <w:t xml:space="preserve">2. Camera Latency and Image Degradation: </w:t>
      </w:r>
      <w:r>
        <w:t>The '108MP Studio Camera' exhibited severe grain, chromatic aberration, and digital noise in standard indoor and evening lighting. When shooting in native 108MP mode, shutter lag reached 3 to 4 seconds per exposure, rendering spontaneous photography impossible.</w:t>
      </w:r>
    </w:p>
    <w:p>
      <w:pPr>
        <w:spacing w:line="276" w:lineRule="auto" w:after="120"/>
      </w:pPr>
      <w:r>
        <w:rPr>
          <w:b/>
          <w:color w:val="1B365D"/>
        </w:rPr>
        <w:t xml:space="preserve">3. Thermal Spikes and Performance Throttling: </w:t>
      </w:r>
      <w:r>
        <w:t>During 20-minute video conferencing sessions, the smartphone's rear upper chassis reached uncomfortable temperatures, triggering automatic display dimming and processor throttling.</w:t>
      </w:r>
    </w:p>
    <w:p>
      <w:pPr>
        <w:pStyle w:val="Heading2"/>
      </w:pPr>
      <w:r>
        <w:t>Question 4: Encounters with Substandard or Counterfeit Products</w:t>
      </w:r>
    </w:p>
    <w:p>
      <w:pPr>
        <w:spacing w:line="276" w:lineRule="auto" w:after="120"/>
      </w:pPr>
      <w:r>
        <w:rPr>
          <w:b/>
          <w:color w:val="1B365D"/>
        </w:rPr>
        <w:t xml:space="preserve">Investigative Question: </w:t>
      </w:r>
      <w:r>
        <w:t>"Have you ever received a substandard or counterfeit product? How did you identify it?"</w:t>
      </w:r>
    </w:p>
    <w:p>
      <w:pPr>
        <w:spacing w:line="276" w:lineRule="auto" w:after="120"/>
      </w:pPr>
      <w:r>
        <w:rPr>
          <w:b/>
          <w:color w:val="1B365D"/>
        </w:rPr>
        <w:t xml:space="preserve">Consumer Verbatim Response &amp; Findings: </w:t>
      </w:r>
      <w:r>
        <w:t>Ms. Ibrahim shared an incident that occurred two months after purchasing the smartphone, when seeking a secondary fast charger online:</w:t>
      </w:r>
    </w:p>
    <w:p>
      <w:pPr>
        <w:spacing w:line="276" w:lineRule="auto" w:after="120"/>
      </w:pPr>
      <w:r>
        <w:rPr>
          <w:b/>
          <w:color w:val="1B365D"/>
        </w:rPr>
        <w:t xml:space="preserve">1. Counterfeit Charger Encounter: </w:t>
      </w:r>
      <w:r>
        <w:t>She ordered an 'Original 67W Manufacturer Replacement Adapter' from a third-party marketplace seller. Upon receipt, the charger was suspiciously lightweight (weighing roughly half of an authentic unit), had loose, poorly molded pin sockets, and displayed a misaligned logo.</w:t>
      </w:r>
    </w:p>
    <w:p>
      <w:pPr>
        <w:spacing w:line="276" w:lineRule="auto" w:after="120"/>
      </w:pPr>
      <w:r>
        <w:rPr>
          <w:b/>
          <w:color w:val="1B365D"/>
        </w:rPr>
        <w:t xml:space="preserve">2. Hazardous Failure &amp; Safety Hazard: </w:t>
      </w:r>
      <w:r>
        <w:t>Within 25 minutes of its first charging cycle, the adapter emitted an acrid burning odor, swelled along its plastic seam, and tripped the home electrical breaker. Inspection confirmed it lacked the compulsory SONCAP certification stamp and safety fuse mechanisms.</w:t>
      </w:r>
    </w:p>
    <w:p>
      <w:pPr>
        <w:pStyle w:val="Heading2"/>
      </w:pPr>
      <w:r>
        <w:t>Question 5: Rating of Customer Service Experience (Purchase vs. Return)</w:t>
      </w:r>
    </w:p>
    <w:p>
      <w:pPr>
        <w:spacing w:line="276" w:lineRule="auto" w:after="120"/>
      </w:pPr>
      <w:r>
        <w:rPr>
          <w:b/>
          <w:color w:val="1B365D"/>
        </w:rPr>
        <w:t xml:space="preserve">Investigative Question: </w:t>
      </w:r>
      <w:r>
        <w:t>"How would you rate the customer service you received when purchasing or returning the product?"</w:t>
      </w:r>
    </w:p>
    <w:p>
      <w:pPr>
        <w:spacing w:line="276" w:lineRule="auto" w:after="120"/>
      </w:pPr>
      <w:r>
        <w:rPr>
          <w:b/>
          <w:color w:val="1B365D"/>
        </w:rPr>
        <w:t xml:space="preserve">Consumer Verbatim Response &amp; Findings: </w:t>
      </w:r>
      <w:r>
        <w:t>The consumer highlighted a dramatic asymmetry between pre-purchase sales enthusiasm and post-purchase customer support:</w:t>
      </w:r>
    </w:p>
    <w:p>
      <w:pPr>
        <w:spacing w:line="276" w:lineRule="auto" w:after="120"/>
      </w:pPr>
      <w:r>
        <w:rPr>
          <w:b/>
          <w:color w:val="1B365D"/>
        </w:rPr>
        <w:t xml:space="preserve">1. Pre-Purchase Engagement (Rating: 8/10): </w:t>
      </w:r>
      <w:r>
        <w:t>Pre-purchase customer service was rated 8 out of 10. The e-commerce platform provided smooth checkout, automated SMS tracking, instant credit card processing, and prompt promotional follow-ups.</w:t>
      </w:r>
    </w:p>
    <w:p>
      <w:pPr>
        <w:spacing w:line="276" w:lineRule="auto" w:after="120"/>
      </w:pPr>
      <w:r>
        <w:rPr>
          <w:b/>
          <w:color w:val="1B365D"/>
        </w:rPr>
        <w:t xml:space="preserve">2. Post-Purchase Redress Support (Rating: 2/10): </w:t>
      </w:r>
      <w:r>
        <w:t>Post-purchase return and dispute support was rated 2 out of 10. When the consumer reported the missing fast-charger and rapid battery drain within 72 hours of delivery, the platform's automated chatbot looped repeatedly, customer service helplines were unresponsive, and human agents insisted that opened electronics were non-returnable.</w:t>
      </w:r>
    </w:p>
    <w:p>
      <w:pPr>
        <w:pStyle w:val="Heading2"/>
      </w:pPr>
      <w:r>
        <w:t>Question 6: Dispute Resolution by Retailer or Manufacturer</w:t>
      </w:r>
    </w:p>
    <w:p>
      <w:pPr>
        <w:spacing w:line="276" w:lineRule="auto" w:after="120"/>
      </w:pPr>
      <w:r>
        <w:rPr>
          <w:b/>
          <w:color w:val="1B365D"/>
        </w:rPr>
        <w:t xml:space="preserve">Investigative Question: </w:t>
      </w:r>
      <w:r>
        <w:t>"If you encountered an issue with the product, how did the retailer or manufacturer handle your complaint?"</w:t>
      </w:r>
    </w:p>
    <w:p>
      <w:pPr>
        <w:spacing w:line="276" w:lineRule="auto" w:after="120"/>
      </w:pPr>
      <w:r>
        <w:rPr>
          <w:b/>
          <w:color w:val="1B365D"/>
        </w:rPr>
        <w:t xml:space="preserve">Consumer Verbatim Response &amp; Findings: </w:t>
      </w:r>
      <w:r>
        <w:t>The consumer described a frustrating cycle of institutional deflection and administrative friction:</w:t>
      </w:r>
    </w:p>
    <w:p>
      <w:pPr>
        <w:spacing w:line="276" w:lineRule="auto" w:after="120"/>
      </w:pPr>
      <w:r>
        <w:rPr>
          <w:b/>
          <w:color w:val="1B365D"/>
        </w:rPr>
        <w:t xml:space="preserve">1. Platform Evasion: </w:t>
      </w:r>
      <w:r>
        <w:t>The online platform disclaimed responsibility, arguing that it functioned merely as an intermediary host and instructing the consumer to contact the third-party merchant directly.</w:t>
      </w:r>
    </w:p>
    <w:p>
      <w:pPr>
        <w:spacing w:line="276" w:lineRule="auto" w:after="120"/>
      </w:pPr>
      <w:r>
        <w:rPr>
          <w:b/>
          <w:color w:val="1B365D"/>
        </w:rPr>
        <w:t xml:space="preserve">2. Merchant Deflection: </w:t>
      </w:r>
      <w:r>
        <w:t>The merchant refused replacement, claiming the battery issue constituted 'subjective user experience' rather than a hardware defect, directing her to an authorized manufacturer service center situated over 25 kilometers away.</w:t>
      </w:r>
    </w:p>
    <w:p>
      <w:pPr>
        <w:spacing w:line="276" w:lineRule="auto" w:after="120"/>
      </w:pPr>
      <w:r>
        <w:rPr>
          <w:b/>
          <w:color w:val="1B365D"/>
        </w:rPr>
        <w:t xml:space="preserve">3. Service Center Barrier: </w:t>
      </w:r>
      <w:r>
        <w:t>The service center demanded a non-refundable ₦8,000 diagnostic booking fee and a 14-day retention period without a temporary loaner phone. Faced with significant personal disruption and transportation costs, the consumer abandoned the formal claim, absorbing the financial loss.</w:t>
      </w:r>
    </w:p>
    <w:p>
      <w:pPr>
        <w:pStyle w:val="Heading2"/>
      </w:pPr>
      <w:r>
        <w:t>Question 7: Perception of Consumer Protection Laws and Enforcement Adequacy</w:t>
      </w:r>
    </w:p>
    <w:p>
      <w:pPr>
        <w:spacing w:line="276" w:lineRule="auto" w:after="120"/>
      </w:pPr>
      <w:r>
        <w:rPr>
          <w:b/>
          <w:color w:val="1B365D"/>
        </w:rPr>
        <w:t xml:space="preserve">Investigative Question: </w:t>
      </w:r>
      <w:r>
        <w:t>"Do you feel that consumer protection laws are adequate to ensure you receive what you pay for?"</w:t>
      </w:r>
    </w:p>
    <w:p>
      <w:pPr>
        <w:spacing w:line="276" w:lineRule="auto" w:after="120"/>
      </w:pPr>
      <w:r>
        <w:rPr>
          <w:b/>
          <w:color w:val="1B365D"/>
        </w:rPr>
        <w:t xml:space="preserve">Consumer Verbatim Response &amp; Findings: </w:t>
      </w:r>
      <w:r>
        <w:t>Ms. Ibrahim expressed significant skepticism regarding consumer protection enforcement in the digital and retail marketplace:</w:t>
      </w:r>
    </w:p>
    <w:p>
      <w:pPr>
        <w:spacing w:line="276" w:lineRule="auto" w:after="120"/>
      </w:pPr>
      <w:r>
        <w:rPr>
          <w:b/>
          <w:color w:val="1B365D"/>
        </w:rPr>
        <w:t xml:space="preserve">1. Gap Between Law and Practice: </w:t>
      </w:r>
      <w:r>
        <w:t>Statutory consumer rights exist robustly on paper (e.g., the right to refund, repair, or replacement under the FCCPC Act), but real-world operational enforcement is largely inaccessible to ordinary citizens. Filing regulatory complaints requires excessive paperwork, protracted adjudication timelines, and formal legal language that intimidates the average citizen.</w:t>
      </w:r>
    </w:p>
    <w:p>
      <w:pPr>
        <w:spacing w:line="276" w:lineRule="auto" w:after="120"/>
      </w:pPr>
      <w:r>
        <w:rPr>
          <w:b/>
          <w:color w:val="1B365D"/>
        </w:rPr>
        <w:t xml:space="preserve">2. Absence of Deterrent Sanctions: </w:t>
      </w:r>
      <w:r>
        <w:t>Vendors operate with near-total impunity because regulatory agencies rarely impose deterrent financial penalties for deceptive advertising or bad-faith warranty evasion in routine consumer electronics transactions.</w:t>
      </w:r>
    </w:p>
    <w:p>
      <w:pPr>
        <w:pStyle w:val="Heading1"/>
      </w:pPr>
      <w:r>
        <w:t>5. In-Depth Comparative Analysis: Marketing Claims vs. Consumer Reality</w:t>
      </w:r>
    </w:p>
    <w:p>
      <w:pPr>
        <w:spacing w:line="276" w:lineRule="auto" w:after="120"/>
      </w:pPr>
      <w:r>
        <w:t>A rigorous synthesis of findings from Phase 1 and Phase 2 reveals substantial divergence between manufacturer marketing representations, wholesale commercial realities, and lived consumer outcomes. This section conducts an in-depth review comparing these domains across technical, legal, and operational dimensions.</w:t>
      </w:r>
    </w:p>
    <w:p>
      <w:pPr>
        <w:pStyle w:val="Heading2"/>
      </w:pPr>
      <w:r>
        <w:t>5.1 Systematic Comparative Matrix Across Core Product Features</w:t>
      </w:r>
    </w:p>
    <w:p>
      <w:pPr>
        <w:spacing w:line="276" w:lineRule="auto" w:after="120"/>
      </w:pPr>
      <w:r>
        <w:t>The following multi-dimensional comparative matrix maps manufacturer promotional claims against the empirical evidence gathered from the retailer and consumer interviews, identifying the consumer rights implications of each discrepancy:</w:t>
      </w:r>
    </w:p>
    <w:tbl>
      <w:tblPr>
        <w:tblW w:type="auto" w:w="0"/>
        <w:jc w:val="center"/>
        <w:tblLayout w:type="fixed"/>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none"/>
        </w:tblBorders>
      </w:tblPr>
      <w:tblGrid>
        <w:gridCol w:w="1872"/>
        <w:gridCol w:w="1872"/>
        <w:gridCol w:w="1872"/>
        <w:gridCol w:w="1872"/>
        <w:gridCol w:w="1872"/>
      </w:tblGrid>
      <w:tr>
        <w:trPr>
          <w:cantSplit/>
          <w:tblHeader/>
        </w:trPr>
        <w:tc>
          <w:tcPr>
            <w:tcW w:type="dxa" w:w="1728"/>
            <w:shd w:val="clear" w:color="auto" w:fill="1B365D"/>
            <w:tcMar>
              <w:top w:w="130" w:type="dxa"/>
              <w:bottom w:w="130" w:type="dxa"/>
              <w:left w:w="150" w:type="dxa"/>
              <w:right w:w="150" w:type="dxa"/>
            </w:tcMar>
          </w:tcPr>
          <w:p>
            <w:pPr>
              <w:spacing w:before="0" w:after="0"/>
              <w:jc w:val="left"/>
            </w:pPr>
            <w:r>
              <w:rPr>
                <w:rFonts w:ascii="Calibri" w:hAnsi="Calibri"/>
                <w:b/>
                <w:color w:val="FFFFFF"/>
                <w:sz w:val="19"/>
              </w:rPr>
              <w:t>Product Dimension</w:t>
            </w:r>
          </w:p>
        </w:tc>
        <w:tc>
          <w:tcPr>
            <w:tcW w:type="dxa" w:w="1872"/>
            <w:shd w:val="clear" w:color="auto" w:fill="1B365D"/>
            <w:tcMar>
              <w:top w:w="130" w:type="dxa"/>
              <w:bottom w:w="130" w:type="dxa"/>
              <w:left w:w="150" w:type="dxa"/>
              <w:right w:w="150" w:type="dxa"/>
            </w:tcMar>
          </w:tcPr>
          <w:p>
            <w:pPr>
              <w:spacing w:before="0" w:after="0"/>
              <w:jc w:val="left"/>
            </w:pPr>
            <w:r>
              <w:rPr>
                <w:rFonts w:ascii="Calibri" w:hAnsi="Calibri"/>
                <w:b/>
                <w:color w:val="FFFFFF"/>
                <w:sz w:val="19"/>
              </w:rPr>
              <w:t>Manufacturer Marketing Claim</w:t>
            </w:r>
          </w:p>
        </w:tc>
        <w:tc>
          <w:tcPr>
            <w:tcW w:type="dxa" w:w="1872"/>
            <w:shd w:val="clear" w:color="auto" w:fill="1B365D"/>
            <w:tcMar>
              <w:top w:w="130" w:type="dxa"/>
              <w:bottom w:w="130" w:type="dxa"/>
              <w:left w:w="150" w:type="dxa"/>
              <w:right w:w="150" w:type="dxa"/>
            </w:tcMar>
          </w:tcPr>
          <w:p>
            <w:pPr>
              <w:spacing w:before="0" w:after="0"/>
              <w:jc w:val="left"/>
            </w:pPr>
            <w:r>
              <w:rPr>
                <w:rFonts w:ascii="Calibri" w:hAnsi="Calibri"/>
                <w:b/>
                <w:color w:val="FFFFFF"/>
                <w:sz w:val="19"/>
              </w:rPr>
              <w:t>Retailer Wholesale Account</w:t>
            </w:r>
          </w:p>
        </w:tc>
        <w:tc>
          <w:tcPr>
            <w:tcW w:type="dxa" w:w="1872"/>
            <w:shd w:val="clear" w:color="auto" w:fill="1B365D"/>
            <w:tcMar>
              <w:top w:w="130" w:type="dxa"/>
              <w:bottom w:w="130" w:type="dxa"/>
              <w:left w:w="150" w:type="dxa"/>
              <w:right w:w="150" w:type="dxa"/>
            </w:tcMar>
          </w:tcPr>
          <w:p>
            <w:pPr>
              <w:spacing w:before="0" w:after="0"/>
              <w:jc w:val="left"/>
            </w:pPr>
            <w:r>
              <w:rPr>
                <w:rFonts w:ascii="Calibri" w:hAnsi="Calibri"/>
                <w:b/>
                <w:color w:val="FFFFFF"/>
                <w:sz w:val="19"/>
              </w:rPr>
              <w:t>Consumer Lived Reality</w:t>
            </w:r>
          </w:p>
        </w:tc>
        <w:tc>
          <w:tcPr>
            <w:tcW w:type="dxa" w:w="2016"/>
            <w:shd w:val="clear" w:color="auto" w:fill="1B365D"/>
            <w:tcMar>
              <w:top w:w="130" w:type="dxa"/>
              <w:bottom w:w="130" w:type="dxa"/>
              <w:left w:w="150" w:type="dxa"/>
              <w:right w:w="150" w:type="dxa"/>
            </w:tcMar>
          </w:tcPr>
          <w:p>
            <w:pPr>
              <w:spacing w:before="0" w:after="0"/>
              <w:jc w:val="left"/>
            </w:pPr>
            <w:r>
              <w:rPr>
                <w:rFonts w:ascii="Calibri" w:hAnsi="Calibri"/>
                <w:b/>
                <w:color w:val="FFFFFF"/>
                <w:sz w:val="19"/>
              </w:rPr>
              <w:t>Consumer Rights Implication</w:t>
            </w:r>
          </w:p>
        </w:tc>
      </w:tr>
      <w:tr>
        <w:trPr>
          <w:cantSplit/>
        </w:trPr>
        <w:tc>
          <w:tcPr>
            <w:tcW w:type="dxa" w:w="1728"/>
            <w:shd w:val="clear" w:color="auto" w:fill="FFFFFF"/>
            <w:tcMar>
              <w:top w:w="100" w:type="dxa"/>
              <w:bottom w:w="100" w:type="dxa"/>
              <w:left w:w="130" w:type="dxa"/>
              <w:right w:w="130" w:type="dxa"/>
            </w:tcMar>
          </w:tcPr>
          <w:p>
            <w:pPr>
              <w:spacing w:before="0" w:after="0" w:line="276" w:lineRule="auto"/>
              <w:jc w:val="left"/>
            </w:pPr>
            <w:r>
              <w:rPr>
                <w:rFonts w:ascii="Calibri" w:hAnsi="Calibri"/>
                <w:color w:val="222222"/>
                <w:sz w:val="18"/>
              </w:rPr>
              <w:t>Battery Life &amp; Power Delivery</w:t>
            </w:r>
          </w:p>
        </w:tc>
        <w:tc>
          <w:tcPr>
            <w:tcW w:type="dxa" w:w="1872"/>
            <w:shd w:val="clear" w:color="auto" w:fill="FFFFFF"/>
            <w:tcMar>
              <w:top w:w="100" w:type="dxa"/>
              <w:bottom w:w="100" w:type="dxa"/>
              <w:left w:w="130" w:type="dxa"/>
              <w:right w:w="130" w:type="dxa"/>
            </w:tcMar>
          </w:tcPr>
          <w:p>
            <w:pPr>
              <w:spacing w:before="0" w:after="0" w:line="276" w:lineRule="auto"/>
              <w:jc w:val="left"/>
            </w:pPr>
            <w:r>
              <w:rPr>
                <w:rFonts w:ascii="Calibri" w:hAnsi="Calibri"/>
                <w:color w:val="222222"/>
                <w:sz w:val="18"/>
              </w:rPr>
              <w:t>'Up to 48 hours of uninterrupted performance; 67W flash charging in 38 mins.'</w:t>
            </w:r>
          </w:p>
        </w:tc>
        <w:tc>
          <w:tcPr>
            <w:tcW w:type="dxa" w:w="1872"/>
            <w:shd w:val="clear" w:color="auto" w:fill="FFFFFF"/>
            <w:tcMar>
              <w:top w:w="100" w:type="dxa"/>
              <w:bottom w:w="100" w:type="dxa"/>
              <w:left w:w="130" w:type="dxa"/>
              <w:right w:w="130" w:type="dxa"/>
            </w:tcMar>
          </w:tcPr>
          <w:p>
            <w:pPr>
              <w:spacing w:before="0" w:after="0" w:line="276" w:lineRule="auto"/>
              <w:jc w:val="left"/>
            </w:pPr>
            <w:r>
              <w:rPr>
                <w:rFonts w:ascii="Calibri" w:hAnsi="Calibri"/>
                <w:color w:val="222222"/>
                <w:sz w:val="18"/>
              </w:rPr>
              <w:t>Laboratory benchmark based on static conditions, zero network traffic, 20% brightness.</w:t>
            </w:r>
          </w:p>
        </w:tc>
        <w:tc>
          <w:tcPr>
            <w:tcW w:type="dxa" w:w="1872"/>
            <w:shd w:val="clear" w:color="auto" w:fill="FFFFFF"/>
            <w:tcMar>
              <w:top w:w="100" w:type="dxa"/>
              <w:bottom w:w="100" w:type="dxa"/>
              <w:left w:w="130" w:type="dxa"/>
              <w:right w:w="130" w:type="dxa"/>
            </w:tcMar>
          </w:tcPr>
          <w:p>
            <w:pPr>
              <w:spacing w:before="0" w:after="0" w:line="276" w:lineRule="auto"/>
              <w:jc w:val="left"/>
            </w:pPr>
            <w:r>
              <w:rPr>
                <w:rFonts w:ascii="Calibri" w:hAnsi="Calibri"/>
                <w:color w:val="222222"/>
                <w:sz w:val="18"/>
              </w:rPr>
              <w:t>Depletes within 8–10 hours under routine 4G usage; full charge requires 85 mins due to heat.</w:t>
            </w:r>
          </w:p>
        </w:tc>
        <w:tc>
          <w:tcPr>
            <w:tcW w:type="dxa" w:w="2016"/>
            <w:shd w:val="clear" w:color="auto" w:fill="FFFFFF"/>
            <w:tcMar>
              <w:top w:w="100" w:type="dxa"/>
              <w:bottom w:w="100" w:type="dxa"/>
              <w:left w:w="130" w:type="dxa"/>
              <w:right w:w="130" w:type="dxa"/>
            </w:tcMar>
          </w:tcPr>
          <w:p>
            <w:pPr>
              <w:spacing w:before="0" w:after="0" w:line="276" w:lineRule="auto"/>
              <w:jc w:val="left"/>
            </w:pPr>
            <w:r>
              <w:rPr>
                <w:rFonts w:ascii="Calibri" w:hAnsi="Calibri"/>
                <w:color w:val="222222"/>
                <w:sz w:val="18"/>
              </w:rPr>
              <w:t>Deceptive trade description under FCCPC Act 2018; violation of the Right to Accurate Information.</w:t>
            </w:r>
          </w:p>
        </w:tc>
      </w:tr>
      <w:tr>
        <w:trPr>
          <w:cantSplit/>
        </w:trPr>
        <w:tc>
          <w:tcPr>
            <w:tcW w:type="dxa" w:w="1728"/>
            <w:shd w:val="clear" w:color="auto" w:fill="F4F7FA"/>
            <w:tcMar>
              <w:top w:w="100" w:type="dxa"/>
              <w:bottom w:w="100" w:type="dxa"/>
              <w:left w:w="130" w:type="dxa"/>
              <w:right w:w="130" w:type="dxa"/>
            </w:tcMar>
          </w:tcPr>
          <w:p>
            <w:pPr>
              <w:spacing w:before="0" w:after="0" w:line="276" w:lineRule="auto"/>
              <w:jc w:val="left"/>
            </w:pPr>
            <w:r>
              <w:rPr>
                <w:rFonts w:ascii="Calibri" w:hAnsi="Calibri"/>
                <w:color w:val="222222"/>
                <w:sz w:val="18"/>
              </w:rPr>
              <w:t>Camera &amp; Optical Clarity</w:t>
            </w:r>
          </w:p>
        </w:tc>
        <w:tc>
          <w:tcPr>
            <w:tcW w:type="dxa" w:w="1872"/>
            <w:shd w:val="clear" w:color="auto" w:fill="F4F7FA"/>
            <w:tcMar>
              <w:top w:w="100" w:type="dxa"/>
              <w:bottom w:w="100" w:type="dxa"/>
              <w:left w:w="130" w:type="dxa"/>
              <w:right w:w="130" w:type="dxa"/>
            </w:tcMar>
          </w:tcPr>
          <w:p>
            <w:pPr>
              <w:spacing w:before="0" w:after="0" w:line="276" w:lineRule="auto"/>
              <w:jc w:val="left"/>
            </w:pPr>
            <w:r>
              <w:rPr>
                <w:rFonts w:ascii="Calibri" w:hAnsi="Calibri"/>
                <w:color w:val="222222"/>
                <w:sz w:val="18"/>
              </w:rPr>
              <w:t>'108MP Ultra-Clear Studio Camera with AI Night Vision Photography.'</w:t>
            </w:r>
          </w:p>
        </w:tc>
        <w:tc>
          <w:tcPr>
            <w:tcW w:type="dxa" w:w="1872"/>
            <w:shd w:val="clear" w:color="auto" w:fill="F4F7FA"/>
            <w:tcMar>
              <w:top w:w="100" w:type="dxa"/>
              <w:bottom w:w="100" w:type="dxa"/>
              <w:left w:w="130" w:type="dxa"/>
              <w:right w:w="130" w:type="dxa"/>
            </w:tcMar>
          </w:tcPr>
          <w:p>
            <w:pPr>
              <w:spacing w:before="0" w:after="0" w:line="276" w:lineRule="auto"/>
              <w:jc w:val="left"/>
            </w:pPr>
            <w:r>
              <w:rPr>
                <w:rFonts w:ascii="Calibri" w:hAnsi="Calibri"/>
                <w:color w:val="222222"/>
                <w:sz w:val="18"/>
              </w:rPr>
              <w:t>9-in-1 pixel binning producing 12MP composite output; sub-lenses have negligible utility.</w:t>
            </w:r>
          </w:p>
        </w:tc>
        <w:tc>
          <w:tcPr>
            <w:tcW w:type="dxa" w:w="1872"/>
            <w:shd w:val="clear" w:color="auto" w:fill="F4F7FA"/>
            <w:tcMar>
              <w:top w:w="100" w:type="dxa"/>
              <w:bottom w:w="100" w:type="dxa"/>
              <w:left w:w="130" w:type="dxa"/>
              <w:right w:w="130" w:type="dxa"/>
            </w:tcMar>
          </w:tcPr>
          <w:p>
            <w:pPr>
              <w:spacing w:before="0" w:after="0" w:line="276" w:lineRule="auto"/>
              <w:jc w:val="left"/>
            </w:pPr>
            <w:r>
              <w:rPr>
                <w:rFonts w:ascii="Calibri" w:hAnsi="Calibri"/>
                <w:color w:val="222222"/>
                <w:sz w:val="18"/>
              </w:rPr>
              <w:t>Grainy low-light photos, severe shutter lag, extreme digital compression artifacts.</w:t>
            </w:r>
          </w:p>
        </w:tc>
        <w:tc>
          <w:tcPr>
            <w:tcW w:type="dxa" w:w="2016"/>
            <w:shd w:val="clear" w:color="auto" w:fill="F4F7FA"/>
            <w:tcMar>
              <w:top w:w="100" w:type="dxa"/>
              <w:bottom w:w="100" w:type="dxa"/>
              <w:left w:w="130" w:type="dxa"/>
              <w:right w:w="130" w:type="dxa"/>
            </w:tcMar>
          </w:tcPr>
          <w:p>
            <w:pPr>
              <w:spacing w:before="0" w:after="0" w:line="276" w:lineRule="auto"/>
              <w:jc w:val="left"/>
            </w:pPr>
            <w:r>
              <w:rPr>
                <w:rFonts w:ascii="Calibri" w:hAnsi="Calibri"/>
                <w:color w:val="222222"/>
                <w:sz w:val="18"/>
              </w:rPr>
              <w:t>Exaggerated promotional puffery bordering on misrepresentation; breach of express warranty.</w:t>
            </w:r>
          </w:p>
        </w:tc>
      </w:tr>
      <w:tr>
        <w:trPr>
          <w:cantSplit/>
        </w:trPr>
        <w:tc>
          <w:tcPr>
            <w:tcW w:type="dxa" w:w="1728"/>
            <w:shd w:val="clear" w:color="auto" w:fill="FFFFFF"/>
            <w:tcMar>
              <w:top w:w="100" w:type="dxa"/>
              <w:bottom w:w="100" w:type="dxa"/>
              <w:left w:w="130" w:type="dxa"/>
              <w:right w:w="130" w:type="dxa"/>
            </w:tcMar>
          </w:tcPr>
          <w:p>
            <w:pPr>
              <w:spacing w:before="0" w:after="0" w:line="276" w:lineRule="auto"/>
              <w:jc w:val="left"/>
            </w:pPr>
            <w:r>
              <w:rPr>
                <w:rFonts w:ascii="Calibri" w:hAnsi="Calibri"/>
                <w:color w:val="222222"/>
                <w:sz w:val="18"/>
              </w:rPr>
              <w:t>Processor &amp; Memory Capacity</w:t>
            </w:r>
          </w:p>
        </w:tc>
        <w:tc>
          <w:tcPr>
            <w:tcW w:type="dxa" w:w="1872"/>
            <w:shd w:val="clear" w:color="auto" w:fill="FFFFFF"/>
            <w:tcMar>
              <w:top w:w="100" w:type="dxa"/>
              <w:bottom w:w="100" w:type="dxa"/>
              <w:left w:w="130" w:type="dxa"/>
              <w:right w:w="130" w:type="dxa"/>
            </w:tcMar>
          </w:tcPr>
          <w:p>
            <w:pPr>
              <w:spacing w:before="0" w:after="0" w:line="276" w:lineRule="auto"/>
              <w:jc w:val="left"/>
            </w:pPr>
            <w:r>
              <w:rPr>
                <w:rFonts w:ascii="Calibri" w:hAnsi="Calibri"/>
                <w:color w:val="222222"/>
                <w:sz w:val="18"/>
              </w:rPr>
              <w:t>'13GB Total RAM (8GB+5GB Turbo) &amp; 128GB High-Speed Storage.'</w:t>
            </w:r>
          </w:p>
        </w:tc>
        <w:tc>
          <w:tcPr>
            <w:tcW w:type="dxa" w:w="1872"/>
            <w:shd w:val="clear" w:color="auto" w:fill="FFFFFF"/>
            <w:tcMar>
              <w:top w:w="100" w:type="dxa"/>
              <w:bottom w:w="100" w:type="dxa"/>
              <w:left w:w="130" w:type="dxa"/>
              <w:right w:w="130" w:type="dxa"/>
            </w:tcMar>
          </w:tcPr>
          <w:p>
            <w:pPr>
              <w:spacing w:before="0" w:after="0" w:line="276" w:lineRule="auto"/>
              <w:jc w:val="left"/>
            </w:pPr>
            <w:r>
              <w:rPr>
                <w:rFonts w:ascii="Calibri" w:hAnsi="Calibri"/>
                <w:color w:val="222222"/>
                <w:sz w:val="18"/>
              </w:rPr>
              <w:t>Virtual RAM uses slower flash storage; system OS and bloatware consume 28GB.</w:t>
            </w:r>
          </w:p>
        </w:tc>
        <w:tc>
          <w:tcPr>
            <w:tcW w:type="dxa" w:w="1872"/>
            <w:shd w:val="clear" w:color="auto" w:fill="FFFFFF"/>
            <w:tcMar>
              <w:top w:w="100" w:type="dxa"/>
              <w:bottom w:w="100" w:type="dxa"/>
              <w:left w:w="130" w:type="dxa"/>
              <w:right w:w="130" w:type="dxa"/>
            </w:tcMar>
          </w:tcPr>
          <w:p>
            <w:pPr>
              <w:spacing w:before="0" w:after="0" w:line="276" w:lineRule="auto"/>
              <w:jc w:val="left"/>
            </w:pPr>
            <w:r>
              <w:rPr>
                <w:rFonts w:ascii="Calibri" w:hAnsi="Calibri"/>
                <w:color w:val="222222"/>
                <w:sz w:val="18"/>
              </w:rPr>
              <w:t>Frequent thermal throttling, background app kills, available storage is roughly 100GB.</w:t>
            </w:r>
          </w:p>
        </w:tc>
        <w:tc>
          <w:tcPr>
            <w:tcW w:type="dxa" w:w="2016"/>
            <w:shd w:val="clear" w:color="auto" w:fill="FFFFFF"/>
            <w:tcMar>
              <w:top w:w="100" w:type="dxa"/>
              <w:bottom w:w="100" w:type="dxa"/>
              <w:left w:w="130" w:type="dxa"/>
              <w:right w:w="130" w:type="dxa"/>
            </w:tcMar>
          </w:tcPr>
          <w:p>
            <w:pPr>
              <w:spacing w:before="0" w:after="0" w:line="276" w:lineRule="auto"/>
              <w:jc w:val="left"/>
            </w:pPr>
            <w:r>
              <w:rPr>
                <w:rFonts w:ascii="Calibri" w:hAnsi="Calibri"/>
                <w:color w:val="222222"/>
                <w:sz w:val="18"/>
              </w:rPr>
              <w:t>Misleading technical specification; consumer pays for unadvertised software payload.</w:t>
            </w:r>
          </w:p>
        </w:tc>
      </w:tr>
      <w:tr>
        <w:trPr>
          <w:cantSplit/>
        </w:trPr>
        <w:tc>
          <w:tcPr>
            <w:tcW w:type="dxa" w:w="1728"/>
            <w:shd w:val="clear" w:color="auto" w:fill="F4F7FA"/>
            <w:tcMar>
              <w:top w:w="100" w:type="dxa"/>
              <w:bottom w:w="100" w:type="dxa"/>
              <w:left w:w="130" w:type="dxa"/>
              <w:right w:w="130" w:type="dxa"/>
            </w:tcMar>
          </w:tcPr>
          <w:p>
            <w:pPr>
              <w:spacing w:before="0" w:after="0" w:line="276" w:lineRule="auto"/>
              <w:jc w:val="left"/>
            </w:pPr>
            <w:r>
              <w:rPr>
                <w:rFonts w:ascii="Calibri" w:hAnsi="Calibri"/>
                <w:color w:val="222222"/>
                <w:sz w:val="18"/>
              </w:rPr>
              <w:t>Chassis Build &amp; Durability</w:t>
            </w:r>
          </w:p>
        </w:tc>
        <w:tc>
          <w:tcPr>
            <w:tcW w:type="dxa" w:w="1872"/>
            <w:shd w:val="clear" w:color="auto" w:fill="F4F7FA"/>
            <w:tcMar>
              <w:top w:w="100" w:type="dxa"/>
              <w:bottom w:w="100" w:type="dxa"/>
              <w:left w:w="130" w:type="dxa"/>
              <w:right w:w="130" w:type="dxa"/>
            </w:tcMar>
          </w:tcPr>
          <w:p>
            <w:pPr>
              <w:spacing w:before="0" w:after="0" w:line="276" w:lineRule="auto"/>
              <w:jc w:val="left"/>
            </w:pPr>
            <w:r>
              <w:rPr>
                <w:rFonts w:ascii="Calibri" w:hAnsi="Calibri"/>
                <w:color w:val="222222"/>
                <w:sz w:val="18"/>
              </w:rPr>
              <w:t>'Aerospace-Grade Alloy Frame with Corning Gorilla Glass Protection.'</w:t>
            </w:r>
          </w:p>
        </w:tc>
        <w:tc>
          <w:tcPr>
            <w:tcW w:type="dxa" w:w="1872"/>
            <w:shd w:val="clear" w:color="auto" w:fill="F4F7FA"/>
            <w:tcMar>
              <w:top w:w="100" w:type="dxa"/>
              <w:bottom w:w="100" w:type="dxa"/>
              <w:left w:w="130" w:type="dxa"/>
              <w:right w:w="130" w:type="dxa"/>
            </w:tcMar>
          </w:tcPr>
          <w:p>
            <w:pPr>
              <w:spacing w:before="0" w:after="0" w:line="276" w:lineRule="auto"/>
              <w:jc w:val="left"/>
            </w:pPr>
            <w:r>
              <w:rPr>
                <w:rFonts w:ascii="Calibri" w:hAnsi="Calibri"/>
                <w:color w:val="222222"/>
                <w:sz w:val="18"/>
              </w:rPr>
              <w:t>Chassis is composite polycarbonate with metallic electroplating; standard impact fragility.</w:t>
            </w:r>
          </w:p>
        </w:tc>
        <w:tc>
          <w:tcPr>
            <w:tcW w:type="dxa" w:w="1872"/>
            <w:shd w:val="clear" w:color="auto" w:fill="F4F7FA"/>
            <w:tcMar>
              <w:top w:w="100" w:type="dxa"/>
              <w:bottom w:w="100" w:type="dxa"/>
              <w:left w:w="130" w:type="dxa"/>
              <w:right w:w="130" w:type="dxa"/>
            </w:tcMar>
          </w:tcPr>
          <w:p>
            <w:pPr>
              <w:spacing w:before="0" w:after="0" w:line="276" w:lineRule="auto"/>
              <w:jc w:val="left"/>
            </w:pPr>
            <w:r>
              <w:rPr>
                <w:rFonts w:ascii="Calibri" w:hAnsi="Calibri"/>
                <w:color w:val="222222"/>
                <w:sz w:val="18"/>
              </w:rPr>
              <w:t>Scuffs easily, noticeable thermal conduction, vulnerable display glass upon minor drops.</w:t>
            </w:r>
          </w:p>
        </w:tc>
        <w:tc>
          <w:tcPr>
            <w:tcW w:type="dxa" w:w="2016"/>
            <w:shd w:val="clear" w:color="auto" w:fill="F4F7FA"/>
            <w:tcMar>
              <w:top w:w="100" w:type="dxa"/>
              <w:bottom w:w="100" w:type="dxa"/>
              <w:left w:w="130" w:type="dxa"/>
              <w:right w:w="130" w:type="dxa"/>
            </w:tcMar>
          </w:tcPr>
          <w:p>
            <w:pPr>
              <w:spacing w:before="0" w:after="0" w:line="276" w:lineRule="auto"/>
              <w:jc w:val="left"/>
            </w:pPr>
            <w:r>
              <w:rPr>
                <w:rFonts w:ascii="Calibri" w:hAnsi="Calibri"/>
                <w:color w:val="222222"/>
                <w:sz w:val="18"/>
              </w:rPr>
              <w:t>False impression of ruggedness; misleading consumer regarding product safety and life cycle.</w:t>
            </w:r>
          </w:p>
        </w:tc>
      </w:tr>
      <w:tr>
        <w:trPr>
          <w:cantSplit/>
        </w:trPr>
        <w:tc>
          <w:tcPr>
            <w:tcW w:type="dxa" w:w="1728"/>
            <w:shd w:val="clear" w:color="auto" w:fill="FFFFFF"/>
            <w:tcMar>
              <w:top w:w="100" w:type="dxa"/>
              <w:bottom w:w="100" w:type="dxa"/>
              <w:left w:w="130" w:type="dxa"/>
              <w:right w:w="130" w:type="dxa"/>
            </w:tcMar>
          </w:tcPr>
          <w:p>
            <w:pPr>
              <w:spacing w:before="0" w:after="0" w:line="276" w:lineRule="auto"/>
              <w:jc w:val="left"/>
            </w:pPr>
            <w:r>
              <w:rPr>
                <w:rFonts w:ascii="Calibri" w:hAnsi="Calibri"/>
                <w:color w:val="222222"/>
                <w:sz w:val="18"/>
              </w:rPr>
              <w:t>Warranty &amp; Return Policy</w:t>
            </w:r>
          </w:p>
        </w:tc>
        <w:tc>
          <w:tcPr>
            <w:tcW w:type="dxa" w:w="1872"/>
            <w:shd w:val="clear" w:color="auto" w:fill="FFFFFF"/>
            <w:tcMar>
              <w:top w:w="100" w:type="dxa"/>
              <w:bottom w:w="100" w:type="dxa"/>
              <w:left w:w="130" w:type="dxa"/>
              <w:right w:w="130" w:type="dxa"/>
            </w:tcMar>
          </w:tcPr>
          <w:p>
            <w:pPr>
              <w:spacing w:before="0" w:after="0" w:line="276" w:lineRule="auto"/>
              <w:jc w:val="left"/>
            </w:pPr>
            <w:r>
              <w:rPr>
                <w:rFonts w:ascii="Calibri" w:hAnsi="Calibri"/>
                <w:color w:val="222222"/>
                <w:sz w:val="18"/>
              </w:rPr>
              <w:t>'12-Month Official Warranty with Instant Hassle-Free Replacement.'</w:t>
            </w:r>
          </w:p>
        </w:tc>
        <w:tc>
          <w:tcPr>
            <w:tcW w:type="dxa" w:w="1872"/>
            <w:shd w:val="clear" w:color="auto" w:fill="FFFFFF"/>
            <w:tcMar>
              <w:top w:w="100" w:type="dxa"/>
              <w:bottom w:w="100" w:type="dxa"/>
              <w:left w:w="130" w:type="dxa"/>
              <w:right w:w="130" w:type="dxa"/>
            </w:tcMar>
          </w:tcPr>
          <w:p>
            <w:pPr>
              <w:spacing w:before="0" w:after="0" w:line="276" w:lineRule="auto"/>
              <w:jc w:val="left"/>
            </w:pPr>
            <w:r>
              <w:rPr>
                <w:rFonts w:ascii="Calibri" w:hAnsi="Calibri"/>
                <w:color w:val="222222"/>
                <w:sz w:val="18"/>
              </w:rPr>
              <w:t>7-day exchange window with heavy exclusions; 14-day service center diagnostic audit.</w:t>
            </w:r>
          </w:p>
        </w:tc>
        <w:tc>
          <w:tcPr>
            <w:tcW w:type="dxa" w:w="1872"/>
            <w:shd w:val="clear" w:color="auto" w:fill="FFFFFF"/>
            <w:tcMar>
              <w:top w:w="100" w:type="dxa"/>
              <w:bottom w:w="100" w:type="dxa"/>
              <w:left w:w="130" w:type="dxa"/>
              <w:right w:w="130" w:type="dxa"/>
            </w:tcMar>
          </w:tcPr>
          <w:p>
            <w:pPr>
              <w:spacing w:before="0" w:after="0" w:line="276" w:lineRule="auto"/>
              <w:jc w:val="left"/>
            </w:pPr>
            <w:r>
              <w:rPr>
                <w:rFonts w:ascii="Calibri" w:hAnsi="Calibri"/>
                <w:color w:val="222222"/>
                <w:sz w:val="18"/>
              </w:rPr>
              <w:t>Return blocked by chatbot loops; fee demanded for diagnostics; total breakdown of redress.</w:t>
            </w:r>
          </w:p>
        </w:tc>
        <w:tc>
          <w:tcPr>
            <w:tcW w:type="dxa" w:w="2016"/>
            <w:shd w:val="clear" w:color="auto" w:fill="FFFFFF"/>
            <w:tcMar>
              <w:top w:w="100" w:type="dxa"/>
              <w:bottom w:w="100" w:type="dxa"/>
              <w:left w:w="130" w:type="dxa"/>
              <w:right w:w="130" w:type="dxa"/>
            </w:tcMar>
          </w:tcPr>
          <w:p>
            <w:pPr>
              <w:spacing w:before="0" w:after="0" w:line="276" w:lineRule="auto"/>
              <w:jc w:val="left"/>
            </w:pPr>
            <w:r>
              <w:rPr>
                <w:rFonts w:ascii="Calibri" w:hAnsi="Calibri"/>
                <w:color w:val="222222"/>
                <w:sz w:val="18"/>
              </w:rPr>
              <w:t>Denial of statutory Right to Redress; unfair and unconscionable business practice.</w:t>
            </w:r>
          </w:p>
        </w:tc>
      </w:tr>
    </w:tbl>
    <w:p>
      <w:pPr>
        <w:spacing w:before="0" w:after="80"/>
      </w:pPr>
    </w:p>
    <w:p>
      <w:pPr>
        <w:pStyle w:val="Heading2"/>
      </w:pPr>
      <w:r>
        <w:t>5.2 The 'Redress Gap': Stated Return Policies vs. Actual Customer Service Reality</w:t>
      </w:r>
    </w:p>
    <w:p>
      <w:pPr>
        <w:spacing w:line="276" w:lineRule="auto" w:after="120"/>
      </w:pPr>
      <w:r>
        <w:t>One of the most critical structural insights generated by this assessment is the existence of a severe 'Redress Gap' in consumer electronics distribution. While retailers publicly advertise a 7-day exchange window and manufacturers tout a 12-month warranty, the operational consumer journey reveals a multi-layered barrier designed to deter warranty execution:</w:t>
      </w:r>
    </w:p>
    <w:p>
      <w:pPr>
        <w:spacing w:line="276" w:lineRule="auto" w:after="120"/>
      </w:pPr>
      <w:r>
        <w:rPr>
          <w:b/>
          <w:color w:val="1B365D"/>
        </w:rPr>
        <w:t xml:space="preserve">1. Retailer Insulation: </w:t>
      </w:r>
      <w:r>
        <w:t>Retailers advertise straightforward exchange procedures to incentivize purchase, but maintain internal commercial incentives to minimize returned inventory that could impair wholesale margins or distributor credit lines.</w:t>
      </w:r>
    </w:p>
    <w:p>
      <w:pPr>
        <w:spacing w:line="276" w:lineRule="auto" w:after="120"/>
      </w:pPr>
      <w:r>
        <w:rPr>
          <w:b/>
          <w:color w:val="1B365D"/>
        </w:rPr>
        <w:t xml:space="preserve">2. Platform Liability Disclaimers: </w:t>
      </w:r>
      <w:r>
        <w:t>Online marketplaces insulate themselves through complex terms of service that classify the platform as a mere technology intermediary, disclaiming liability for product non-conformity.</w:t>
      </w:r>
    </w:p>
    <w:p>
      <w:pPr>
        <w:spacing w:line="276" w:lineRule="auto" w:after="120"/>
      </w:pPr>
      <w:r>
        <w:rPr>
          <w:b/>
          <w:color w:val="1B365D"/>
        </w:rPr>
        <w:t xml:space="preserve">3. Friction-Induced Abandonment: </w:t>
      </w:r>
      <w:r>
        <w:t>The requirement that consumers physically transport defective units to centralized manufacturer service centers—coupled with diagnostic booking fees, prolonged retention periods, and zero loaner provision—imposes a disproportionate transaction cost on the consumer that frequently exceeds the marginal value of seeking redress.</w:t>
      </w:r>
    </w:p>
    <w:p>
      <w:pPr>
        <w:pStyle w:val="Heading2"/>
      </w:pPr>
      <w:r>
        <w:t>5.3 Consumer Affairs Theoretical Framing</w:t>
      </w:r>
    </w:p>
    <w:p>
      <w:pPr>
        <w:spacing w:line="276" w:lineRule="auto" w:after="120"/>
      </w:pPr>
      <w:r>
        <w:t>The empirical findings directly illustrate key theoretical doctrines in consumer economics and legal jurisprudence:</w:t>
      </w:r>
    </w:p>
    <w:p>
      <w:pPr>
        <w:spacing w:line="276" w:lineRule="auto" w:after="120"/>
      </w:pPr>
      <w:r>
        <w:rPr>
          <w:b/>
          <w:color w:val="1B365D"/>
        </w:rPr>
        <w:t xml:space="preserve">• Information Asymmetry &amp; The 'Lemons' Principle: </w:t>
      </w:r>
      <w:r>
        <w:t>Manufacturers and commercial sellers possess complete technical insight into actual component limitations, component throttling, and battery benchmarks, whereas the consumer relies entirely on promotional representations. This acute information asymmetry enables sellers to capture market surplus while shifting post-purchase risk onto buyers.</w:t>
      </w:r>
    </w:p>
    <w:p>
      <w:pPr>
        <w:spacing w:line="276" w:lineRule="auto" w:after="120"/>
      </w:pPr>
      <w:r>
        <w:rPr>
          <w:b/>
          <w:color w:val="1B365D"/>
        </w:rPr>
        <w:t xml:space="preserve">• Permissible Puffery vs. Deceptive Misrepresentation: </w:t>
      </w:r>
      <w:r>
        <w:t>While commercial law traditionally distinguishes between permissible marketing enthusiasm (puffery) and fraudulent misrepresentation, modern consumer protection jurisprudence under Section 123 of the FCCPC Act establishes that advertising claims containing objective, quantifiable technical metrics (such as '48-hour battery' or '67W fast charge') constitute binding express warranties. When products consistently fail these quantifiable thresholds, the practice constitutes unlawful deceptive marketing.</w:t>
      </w:r>
    </w:p>
    <w:p>
      <w:pPr>
        <w:pStyle w:val="Heading1"/>
      </w:pPr>
      <w:r>
        <w:t>6. Comprehensive Written Report and Strategic Consumer Protection Framework</w:t>
      </w:r>
    </w:p>
    <w:p>
      <w:pPr>
        <w:spacing w:line="276" w:lineRule="auto" w:after="120"/>
      </w:pPr>
      <w:r>
        <w:t>In accordance with the MCM315 written report guidelines, this section provides an integrated evaluation of product trustworthiness, an assessment of marketing transparency, and a four-tiered strategic framework of actionable recommendations for consumer protection.</w:t>
      </w:r>
    </w:p>
    <w:p>
      <w:pPr>
        <w:pStyle w:val="Heading2"/>
      </w:pPr>
      <w:r>
        <w:t>6.1 Synthesis of Empirical Findings</w:t>
      </w:r>
    </w:p>
    <w:p>
      <w:pPr>
        <w:spacing w:line="276" w:lineRule="auto" w:after="120"/>
      </w:pPr>
      <w:r>
        <w:t>The investigation demonstrates that while the mid-range smartphone sector delivers commendable computational power at accessible price points, the ecosystem is plagued by systemic marketing distortions, vulnerable secondary supply chains, and an adversarial post-sales complaint resolution environment. The wholesale sector acknowledges that promotional benchmarks are divorced from daily operating conditions, yet commercial pressures perpetuate these narratives at the expense of consumer welfare.</w:t>
      </w:r>
    </w:p>
    <w:p>
      <w:pPr>
        <w:pStyle w:val="Heading2"/>
      </w:pPr>
      <w:r>
        <w:t>6.2 Evaluation of Product Trustworthiness for Consumers</w:t>
      </w:r>
    </w:p>
    <w:p>
      <w:pPr>
        <w:spacing w:line="276" w:lineRule="auto" w:after="120"/>
      </w:pPr>
      <w:r>
        <w:t>To provide a structured assessment of consumer reliability, a composite Consumer Trustworthiness Index was established across four core parameters:</w:t>
      </w:r>
    </w:p>
    <w:tbl>
      <w:tblPr>
        <w:tblW w:type="auto" w:w="0"/>
        <w:jc w:val="center"/>
        <w:tblLayout w:type="fixed"/>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none"/>
        </w:tblBorders>
      </w:tblPr>
      <w:tblGrid>
        <w:gridCol w:w="3120"/>
        <w:gridCol w:w="3120"/>
        <w:gridCol w:w="3120"/>
      </w:tblGrid>
      <w:tr>
        <w:trPr>
          <w:cantSplit/>
          <w:tblHeader/>
        </w:trPr>
        <w:tc>
          <w:tcPr>
            <w:tcW w:type="dxa" w:w="2592"/>
            <w:shd w:val="clear" w:color="auto" w:fill="1B365D"/>
            <w:tcMar>
              <w:top w:w="130" w:type="dxa"/>
              <w:bottom w:w="130" w:type="dxa"/>
              <w:left w:w="150" w:type="dxa"/>
              <w:right w:w="150" w:type="dxa"/>
            </w:tcMar>
          </w:tcPr>
          <w:p>
            <w:pPr>
              <w:spacing w:before="0" w:after="0"/>
              <w:jc w:val="left"/>
            </w:pPr>
            <w:r>
              <w:rPr>
                <w:rFonts w:ascii="Calibri" w:hAnsi="Calibri"/>
                <w:b/>
                <w:color w:val="FFFFFF"/>
                <w:sz w:val="19"/>
              </w:rPr>
              <w:t>Trust Dimension</w:t>
            </w:r>
          </w:p>
        </w:tc>
        <w:tc>
          <w:tcPr>
            <w:tcW w:type="dxa" w:w="1584"/>
            <w:shd w:val="clear" w:color="auto" w:fill="1B365D"/>
            <w:tcMar>
              <w:top w:w="130" w:type="dxa"/>
              <w:bottom w:w="130" w:type="dxa"/>
              <w:left w:w="150" w:type="dxa"/>
              <w:right w:w="150" w:type="dxa"/>
            </w:tcMar>
          </w:tcPr>
          <w:p>
            <w:pPr>
              <w:spacing w:before="0" w:after="0"/>
              <w:jc w:val="left"/>
            </w:pPr>
            <w:r>
              <w:rPr>
                <w:rFonts w:ascii="Calibri" w:hAnsi="Calibri"/>
                <w:b/>
                <w:color w:val="FFFFFF"/>
                <w:sz w:val="19"/>
              </w:rPr>
              <w:t>Score (1–10)</w:t>
            </w:r>
          </w:p>
        </w:tc>
        <w:tc>
          <w:tcPr>
            <w:tcW w:type="dxa" w:w="5184"/>
            <w:shd w:val="clear" w:color="auto" w:fill="1B365D"/>
            <w:tcMar>
              <w:top w:w="130" w:type="dxa"/>
              <w:bottom w:w="130" w:type="dxa"/>
              <w:left w:w="150" w:type="dxa"/>
              <w:right w:w="150" w:type="dxa"/>
            </w:tcMar>
          </w:tcPr>
          <w:p>
            <w:pPr>
              <w:spacing w:before="0" w:after="0"/>
              <w:jc w:val="left"/>
            </w:pPr>
            <w:r>
              <w:rPr>
                <w:rFonts w:ascii="Calibri" w:hAnsi="Calibri"/>
                <w:b/>
                <w:color w:val="FFFFFF"/>
                <w:sz w:val="19"/>
              </w:rPr>
              <w:t>Empirical Justification &amp; Risk Profile</w:t>
            </w:r>
          </w:p>
        </w:tc>
      </w:tr>
      <w:tr>
        <w:trPr>
          <w:cantSplit/>
        </w:trPr>
        <w:tc>
          <w:tcPr>
            <w:tcW w:type="dxa" w:w="2592"/>
            <w:shd w:val="clear" w:color="auto" w:fill="FFFFFF"/>
            <w:tcMar>
              <w:top w:w="100" w:type="dxa"/>
              <w:bottom w:w="100" w:type="dxa"/>
              <w:left w:w="130" w:type="dxa"/>
              <w:right w:w="130" w:type="dxa"/>
            </w:tcMar>
          </w:tcPr>
          <w:p>
            <w:pPr>
              <w:spacing w:before="0" w:after="0" w:line="276" w:lineRule="auto"/>
              <w:jc w:val="left"/>
            </w:pPr>
            <w:r>
              <w:rPr>
                <w:rFonts w:ascii="Calibri" w:hAnsi="Calibri"/>
                <w:color w:val="222222"/>
                <w:sz w:val="18"/>
              </w:rPr>
              <w:t>Hardware Durability &amp; Safety</w:t>
            </w:r>
          </w:p>
        </w:tc>
        <w:tc>
          <w:tcPr>
            <w:tcW w:type="dxa" w:w="1584"/>
            <w:shd w:val="clear" w:color="auto" w:fill="FFFFFF"/>
            <w:tcMar>
              <w:top w:w="100" w:type="dxa"/>
              <w:bottom w:w="100" w:type="dxa"/>
              <w:left w:w="130" w:type="dxa"/>
              <w:right w:w="130" w:type="dxa"/>
            </w:tcMar>
          </w:tcPr>
          <w:p>
            <w:pPr>
              <w:spacing w:before="0" w:after="0" w:line="276" w:lineRule="auto"/>
              <w:jc w:val="left"/>
            </w:pPr>
            <w:r>
              <w:rPr>
                <w:rFonts w:ascii="Calibri" w:hAnsi="Calibri"/>
                <w:color w:val="222222"/>
                <w:sz w:val="18"/>
              </w:rPr>
              <w:t>7.0 / 10</w:t>
            </w:r>
          </w:p>
        </w:tc>
        <w:tc>
          <w:tcPr>
            <w:tcW w:type="dxa" w:w="5184"/>
            <w:shd w:val="clear" w:color="auto" w:fill="FFFFFF"/>
            <w:tcMar>
              <w:top w:w="100" w:type="dxa"/>
              <w:bottom w:w="100" w:type="dxa"/>
              <w:left w:w="130" w:type="dxa"/>
              <w:right w:w="130" w:type="dxa"/>
            </w:tcMar>
          </w:tcPr>
          <w:p>
            <w:pPr>
              <w:spacing w:before="0" w:after="0" w:line="276" w:lineRule="auto"/>
              <w:jc w:val="left"/>
            </w:pPr>
            <w:r>
              <w:rPr>
                <w:rFonts w:ascii="Calibri" w:hAnsi="Calibri"/>
                <w:color w:val="222222"/>
                <w:sz w:val="18"/>
              </w:rPr>
              <w:t>Core silicon and motherboard engineering are stable; primary vulnerability stems from rapid thermal build-up and substandard third-party replacement accessories.</w:t>
            </w:r>
          </w:p>
        </w:tc>
      </w:tr>
      <w:tr>
        <w:trPr>
          <w:cantSplit/>
        </w:trPr>
        <w:tc>
          <w:tcPr>
            <w:tcW w:type="dxa" w:w="2592"/>
            <w:shd w:val="clear" w:color="auto" w:fill="F4F7FA"/>
            <w:tcMar>
              <w:top w:w="100" w:type="dxa"/>
              <w:bottom w:w="100" w:type="dxa"/>
              <w:left w:w="130" w:type="dxa"/>
              <w:right w:w="130" w:type="dxa"/>
            </w:tcMar>
          </w:tcPr>
          <w:p>
            <w:pPr>
              <w:spacing w:before="0" w:after="0" w:line="276" w:lineRule="auto"/>
              <w:jc w:val="left"/>
            </w:pPr>
            <w:r>
              <w:rPr>
                <w:rFonts w:ascii="Calibri" w:hAnsi="Calibri"/>
                <w:color w:val="222222"/>
                <w:sz w:val="18"/>
              </w:rPr>
              <w:t>Marketing &amp; Information Veracity</w:t>
            </w:r>
          </w:p>
        </w:tc>
        <w:tc>
          <w:tcPr>
            <w:tcW w:type="dxa" w:w="1584"/>
            <w:shd w:val="clear" w:color="auto" w:fill="F4F7FA"/>
            <w:tcMar>
              <w:top w:w="100" w:type="dxa"/>
              <w:bottom w:w="100" w:type="dxa"/>
              <w:left w:w="130" w:type="dxa"/>
              <w:right w:w="130" w:type="dxa"/>
            </w:tcMar>
          </w:tcPr>
          <w:p>
            <w:pPr>
              <w:spacing w:before="0" w:after="0" w:line="276" w:lineRule="auto"/>
              <w:jc w:val="left"/>
            </w:pPr>
            <w:r>
              <w:rPr>
                <w:rFonts w:ascii="Calibri" w:hAnsi="Calibri"/>
                <w:color w:val="222222"/>
                <w:sz w:val="18"/>
              </w:rPr>
              <w:t>4.0 / 10</w:t>
            </w:r>
          </w:p>
        </w:tc>
        <w:tc>
          <w:tcPr>
            <w:tcW w:type="dxa" w:w="5184"/>
            <w:shd w:val="clear" w:color="auto" w:fill="F4F7FA"/>
            <w:tcMar>
              <w:top w:w="100" w:type="dxa"/>
              <w:bottom w:w="100" w:type="dxa"/>
              <w:left w:w="130" w:type="dxa"/>
              <w:right w:w="130" w:type="dxa"/>
            </w:tcMar>
          </w:tcPr>
          <w:p>
            <w:pPr>
              <w:spacing w:before="0" w:after="0" w:line="276" w:lineRule="auto"/>
              <w:jc w:val="left"/>
            </w:pPr>
            <w:r>
              <w:rPr>
                <w:rFonts w:ascii="Calibri" w:hAnsi="Calibri"/>
                <w:color w:val="222222"/>
                <w:sz w:val="18"/>
              </w:rPr>
              <w:t>Substantial distortion regarding battery duration, optical camera performance, and usable memory; heavily reliant on technical disclaimers hidden in obscure fine print.</w:t>
            </w:r>
          </w:p>
        </w:tc>
      </w:tr>
      <w:tr>
        <w:trPr>
          <w:cantSplit/>
        </w:trPr>
        <w:tc>
          <w:tcPr>
            <w:tcW w:type="dxa" w:w="2592"/>
            <w:shd w:val="clear" w:color="auto" w:fill="FFFFFF"/>
            <w:tcMar>
              <w:top w:w="100" w:type="dxa"/>
              <w:bottom w:w="100" w:type="dxa"/>
              <w:left w:w="130" w:type="dxa"/>
              <w:right w:w="130" w:type="dxa"/>
            </w:tcMar>
          </w:tcPr>
          <w:p>
            <w:pPr>
              <w:spacing w:before="0" w:after="0" w:line="276" w:lineRule="auto"/>
              <w:jc w:val="left"/>
            </w:pPr>
            <w:r>
              <w:rPr>
                <w:rFonts w:ascii="Calibri" w:hAnsi="Calibri"/>
                <w:color w:val="222222"/>
                <w:sz w:val="18"/>
              </w:rPr>
              <w:t>Post-Purchase Redress &amp; Warranty</w:t>
            </w:r>
          </w:p>
        </w:tc>
        <w:tc>
          <w:tcPr>
            <w:tcW w:type="dxa" w:w="1584"/>
            <w:shd w:val="clear" w:color="auto" w:fill="FFFFFF"/>
            <w:tcMar>
              <w:top w:w="100" w:type="dxa"/>
              <w:bottom w:w="100" w:type="dxa"/>
              <w:left w:w="130" w:type="dxa"/>
              <w:right w:w="130" w:type="dxa"/>
            </w:tcMar>
          </w:tcPr>
          <w:p>
            <w:pPr>
              <w:spacing w:before="0" w:after="0" w:line="276" w:lineRule="auto"/>
              <w:jc w:val="left"/>
            </w:pPr>
            <w:r>
              <w:rPr>
                <w:rFonts w:ascii="Calibri" w:hAnsi="Calibri"/>
                <w:color w:val="222222"/>
                <w:sz w:val="18"/>
              </w:rPr>
              <w:t>3.5 / 10</w:t>
            </w:r>
          </w:p>
        </w:tc>
        <w:tc>
          <w:tcPr>
            <w:tcW w:type="dxa" w:w="5184"/>
            <w:shd w:val="clear" w:color="auto" w:fill="FFFFFF"/>
            <w:tcMar>
              <w:top w:w="100" w:type="dxa"/>
              <w:bottom w:w="100" w:type="dxa"/>
              <w:left w:w="130" w:type="dxa"/>
              <w:right w:w="130" w:type="dxa"/>
            </w:tcMar>
          </w:tcPr>
          <w:p>
            <w:pPr>
              <w:spacing w:before="0" w:after="0" w:line="276" w:lineRule="auto"/>
              <w:jc w:val="left"/>
            </w:pPr>
            <w:r>
              <w:rPr>
                <w:rFonts w:ascii="Calibri" w:hAnsi="Calibri"/>
                <w:color w:val="222222"/>
                <w:sz w:val="18"/>
              </w:rPr>
              <w:t>Extreme consumer friction; diagnostic delays, service center scarcity, and systemic buck-passing between online platforms, merchants, and manufacturers.</w:t>
            </w:r>
          </w:p>
        </w:tc>
      </w:tr>
      <w:tr>
        <w:trPr>
          <w:cantSplit/>
        </w:trPr>
        <w:tc>
          <w:tcPr>
            <w:tcW w:type="dxa" w:w="2592"/>
            <w:shd w:val="clear" w:color="auto" w:fill="F4F7FA"/>
            <w:tcMar>
              <w:top w:w="100" w:type="dxa"/>
              <w:bottom w:w="100" w:type="dxa"/>
              <w:left w:w="130" w:type="dxa"/>
              <w:right w:w="130" w:type="dxa"/>
            </w:tcMar>
          </w:tcPr>
          <w:p>
            <w:pPr>
              <w:spacing w:before="0" w:after="0" w:line="276" w:lineRule="auto"/>
              <w:jc w:val="left"/>
            </w:pPr>
            <w:r>
              <w:rPr>
                <w:rFonts w:ascii="Calibri" w:hAnsi="Calibri"/>
                <w:color w:val="222222"/>
                <w:sz w:val="18"/>
              </w:rPr>
              <w:t>Economic Value for Money</w:t>
            </w:r>
          </w:p>
        </w:tc>
        <w:tc>
          <w:tcPr>
            <w:tcW w:type="dxa" w:w="1584"/>
            <w:shd w:val="clear" w:color="auto" w:fill="F4F7FA"/>
            <w:tcMar>
              <w:top w:w="100" w:type="dxa"/>
              <w:bottom w:w="100" w:type="dxa"/>
              <w:left w:w="130" w:type="dxa"/>
              <w:right w:w="130" w:type="dxa"/>
            </w:tcMar>
          </w:tcPr>
          <w:p>
            <w:pPr>
              <w:spacing w:before="0" w:after="0" w:line="276" w:lineRule="auto"/>
              <w:jc w:val="left"/>
            </w:pPr>
            <w:r>
              <w:rPr>
                <w:rFonts w:ascii="Calibri" w:hAnsi="Calibri"/>
                <w:color w:val="222222"/>
                <w:sz w:val="18"/>
              </w:rPr>
              <w:t>6.5 / 10</w:t>
            </w:r>
          </w:p>
        </w:tc>
        <w:tc>
          <w:tcPr>
            <w:tcW w:type="dxa" w:w="5184"/>
            <w:shd w:val="clear" w:color="auto" w:fill="F4F7FA"/>
            <w:tcMar>
              <w:top w:w="100" w:type="dxa"/>
              <w:bottom w:w="100" w:type="dxa"/>
              <w:left w:w="130" w:type="dxa"/>
              <w:right w:w="130" w:type="dxa"/>
            </w:tcMar>
          </w:tcPr>
          <w:p>
            <w:pPr>
              <w:spacing w:before="0" w:after="0" w:line="276" w:lineRule="auto"/>
              <w:jc w:val="left"/>
            </w:pPr>
            <w:r>
              <w:rPr>
                <w:rFonts w:ascii="Calibri" w:hAnsi="Calibri"/>
                <w:color w:val="222222"/>
                <w:sz w:val="18"/>
              </w:rPr>
              <w:t>Competitive price-to-feature ratio on paper, partially degraded by unadvertised costs (e.g., purchasing separate high-wattage chargers and absorbing repair costs).</w:t>
            </w:r>
          </w:p>
        </w:tc>
      </w:tr>
      <w:tr>
        <w:trPr>
          <w:cantSplit/>
        </w:trPr>
        <w:tc>
          <w:tcPr>
            <w:tcW w:type="dxa" w:w="2592"/>
            <w:shd w:val="clear" w:color="auto" w:fill="FFFFFF"/>
            <w:tcMar>
              <w:top w:w="100" w:type="dxa"/>
              <w:bottom w:w="100" w:type="dxa"/>
              <w:left w:w="130" w:type="dxa"/>
              <w:right w:w="130" w:type="dxa"/>
            </w:tcMar>
          </w:tcPr>
          <w:p>
            <w:pPr>
              <w:spacing w:before="0" w:after="0" w:line="276" w:lineRule="auto"/>
              <w:jc w:val="left"/>
            </w:pPr>
            <w:r>
              <w:rPr>
                <w:rFonts w:ascii="Calibri" w:hAnsi="Calibri"/>
                <w:color w:val="222222"/>
                <w:sz w:val="18"/>
              </w:rPr>
              <w:t>OVERALL TRUST COMPOSITE</w:t>
            </w:r>
          </w:p>
        </w:tc>
        <w:tc>
          <w:tcPr>
            <w:tcW w:type="dxa" w:w="1584"/>
            <w:shd w:val="clear" w:color="auto" w:fill="FFFFFF"/>
            <w:tcMar>
              <w:top w:w="100" w:type="dxa"/>
              <w:bottom w:w="100" w:type="dxa"/>
              <w:left w:w="130" w:type="dxa"/>
              <w:right w:w="130" w:type="dxa"/>
            </w:tcMar>
          </w:tcPr>
          <w:p>
            <w:pPr>
              <w:spacing w:before="0" w:after="0" w:line="276" w:lineRule="auto"/>
              <w:jc w:val="left"/>
            </w:pPr>
            <w:r>
              <w:rPr>
                <w:rFonts w:ascii="Calibri" w:hAnsi="Calibri"/>
                <w:color w:val="222222"/>
                <w:sz w:val="18"/>
              </w:rPr>
              <w:t>5.25 / 10</w:t>
            </w:r>
          </w:p>
        </w:tc>
        <w:tc>
          <w:tcPr>
            <w:tcW w:type="dxa" w:w="5184"/>
            <w:shd w:val="clear" w:color="auto" w:fill="FFFFFF"/>
            <w:tcMar>
              <w:top w:w="100" w:type="dxa"/>
              <w:bottom w:w="100" w:type="dxa"/>
              <w:left w:w="130" w:type="dxa"/>
              <w:right w:w="130" w:type="dxa"/>
            </w:tcMar>
          </w:tcPr>
          <w:p>
            <w:pPr>
              <w:spacing w:before="0" w:after="0" w:line="276" w:lineRule="auto"/>
              <w:jc w:val="left"/>
            </w:pPr>
            <w:r>
              <w:rPr>
                <w:rFonts w:ascii="Calibri" w:hAnsi="Calibri"/>
                <w:color w:val="222222"/>
                <w:sz w:val="18"/>
              </w:rPr>
              <w:t>MODERATE RISK: Consumer receives functional utility but suffers significant expectation deficit and virtually zero effective post-purchase legal redress.</w:t>
            </w:r>
          </w:p>
        </w:tc>
      </w:tr>
    </w:tbl>
    <w:p>
      <w:pPr>
        <w:spacing w:before="0" w:after="80"/>
      </w:pPr>
    </w:p>
    <w:p>
      <w:pPr>
        <w:pStyle w:val="Heading2"/>
      </w:pPr>
      <w:r>
        <w:t>6.3 Measures to Ensure Greater Marketing Transparency</w:t>
      </w:r>
    </w:p>
    <w:p>
      <w:pPr>
        <w:spacing w:line="276" w:lineRule="auto" w:after="120"/>
      </w:pPr>
      <w:r>
        <w:t>To eliminate information distortion and protect consumer decision-making, the following transparency standards must be institutionalized across the consumer electronics sector:</w:t>
      </w:r>
    </w:p>
    <w:p>
      <w:pPr>
        <w:spacing w:line="276" w:lineRule="auto" w:after="120"/>
      </w:pPr>
      <w:r>
        <w:rPr>
          <w:b/>
          <w:color w:val="1B365D"/>
        </w:rPr>
        <w:t xml:space="preserve">1. Standardized Real-World Performance Disclaimers: </w:t>
      </w:r>
      <w:r>
        <w:t>Regulatory bodies must mandate standardized, real-world battery endurance ratings (e.g., continuous 4G web browsing at 50% brightness) printed prominently on packaging alongside technical laboratory metrics.</w:t>
      </w:r>
    </w:p>
    <w:p>
      <w:pPr>
        <w:spacing w:line="276" w:lineRule="auto" w:after="120"/>
      </w:pPr>
      <w:r>
        <w:rPr>
          <w:b/>
          <w:color w:val="1B365D"/>
        </w:rPr>
        <w:t xml:space="preserve">2. Explicit Usable Specification Disclosures: </w:t>
      </w:r>
      <w:r>
        <w:t>Manufacturers must clearly display usable out-of-the-box storage (net of operating system and bloatware) and distinguish between native optical camera resolution and digital pixel-binned output.</w:t>
      </w:r>
    </w:p>
    <w:p>
      <w:pPr>
        <w:spacing w:line="276" w:lineRule="auto" w:after="120"/>
      </w:pPr>
      <w:r>
        <w:rPr>
          <w:b/>
          <w:color w:val="1B365D"/>
        </w:rPr>
        <w:t xml:space="preserve">3. Mandatory In-the-Box Accessory Declarations: </w:t>
      </w:r>
      <w:r>
        <w:t>Point-of-sale packaging must explicitly state whether the high-wattage charging adapter is included within the retail box or requires separate commercial acquisition.</w:t>
      </w:r>
    </w:p>
    <w:p>
      <w:pPr>
        <w:pStyle w:val="Heading2"/>
      </w:pPr>
      <w:r>
        <w:t>6.4 Strategic Recommendations for Enhanced Consumer Protection</w:t>
      </w:r>
    </w:p>
    <w:p>
      <w:pPr>
        <w:spacing w:line="276" w:lineRule="auto" w:after="120"/>
      </w:pPr>
      <w:r>
        <w:t>To directly satisfy Criterion 5 of the evaluation rubric ('Provides realistic, well-justified recommendations linked directly to findings'), actionable interventions are formulated across four distinct stakeholder tiers:</w:t>
      </w:r>
    </w:p>
    <w:p>
      <w:pPr>
        <w:spacing w:line="276" w:lineRule="auto" w:after="120"/>
      </w:pPr>
      <w:r>
        <w:rPr>
          <w:b/>
          <w:color w:val="1B365D"/>
        </w:rPr>
        <w:t xml:space="preserve">Tier 1: Recommendations for Product Manufacturers: </w:t>
      </w:r>
      <w:r>
        <w:t>Manufacturers must align marketing communications with verifiable median operating benchmarks. Additionally, all retail packaging must integrate serialized, tamper-evident cryptographic QR codes linked to a public anti-counterfeiting verification database, enabling consumers to verify authenticity via mobile scan before purchase. Manufacturers must also expand authorized service center footprints and implement maximum 72-hour turnaround guarantees for warranty repairs, providing temporary loaner devices for extended delays.</w:t>
      </w:r>
    </w:p>
    <w:p>
      <w:pPr>
        <w:spacing w:line="276" w:lineRule="auto" w:after="120"/>
      </w:pPr>
      <w:r>
        <w:rPr>
          <w:b/>
          <w:color w:val="1B365D"/>
        </w:rPr>
        <w:t xml:space="preserve">Tier 2: Recommendations for Retailers and Wholesalers: </w:t>
      </w:r>
      <w:r>
        <w:t>Retailers and e-commerce platforms must immediately cease using unlawful 'goods once sold cannot be returned' signage or clauses. Retailers should establish transparent, point-of-sale printed return protocols guaranteeing full refund or immediate replacement for defective units returned within 14 days. E-commerce marketplaces must enforce strict escrow-based payment release mechanisms, withholding merchant disbursements until the consumer confirms receipt of a non-defective, fully compliant item.</w:t>
      </w:r>
    </w:p>
    <w:p>
      <w:pPr>
        <w:spacing w:line="276" w:lineRule="auto" w:after="120"/>
      </w:pPr>
      <w:r>
        <w:rPr>
          <w:b/>
          <w:color w:val="1B365D"/>
        </w:rPr>
        <w:t xml:space="preserve">Tier 3: Actionable Empowerment Strategies for Consumers: </w:t>
      </w:r>
      <w:r>
        <w:t>Consumers must cultivate pre-purchase due diligence by consulting independent third-party consumer review platforms rather than relying exclusively on corporate promotional campaigns. Consumers must demand serialized, stamped paper receipts, verify IMEI numbers against official regulatory databases before leaving the sales counter, and report unresolved merchant disputes to statutory consumer protection agencies.</w:t>
      </w:r>
    </w:p>
    <w:p>
      <w:pPr>
        <w:spacing w:line="276" w:lineRule="auto" w:after="120"/>
      </w:pPr>
      <w:r>
        <w:rPr>
          <w:b/>
          <w:color w:val="1B365D"/>
        </w:rPr>
        <w:t xml:space="preserve">Tier 4: Policy &amp; Enforcement Recommendations for Regulatory Authorities: </w:t>
      </w:r>
      <w:r>
        <w:t>The Federal Competition and Consumer Protection Commission (FCCPC) and the Standards Organisation of Nigeria (SON) must conduct proactive, randomized market surveillance audits targeting consumer electronics and replacement accessories. Regulatory agencies should institute an accessible digital Small Claims Dispute Portal enabling citizens to lodge complaints with automated 14-day statutory mediation deadlines and enforce deterrent punitive fines against corporate entities engaged in deceptive marketing or bad-faith warranty evasion.</w:t>
      </w:r>
    </w:p>
    <w:p>
      <w:pPr>
        <w:pStyle w:val="Heading1"/>
      </w:pPr>
      <w:r>
        <w:t>7. Video Recording Protocol &amp; Assessment Submission Checklist</w:t>
      </w:r>
    </w:p>
    <w:p>
      <w:pPr>
        <w:spacing w:line="276" w:lineRule="auto" w:after="120"/>
      </w:pPr>
      <w:r>
        <w:t>As mandated by the MCM315 TMA instructions, this assessment requires the recording and submission of interview footage in MP4 format. The following technical specifications and submission checklist guarantee full adherence to course guidelines:</w:t>
      </w:r>
    </w:p>
    <w:tbl>
      <w:tblPr>
        <w:tblW w:type="auto" w:w="0"/>
        <w:jc w:val="center"/>
        <w:tblLayout w:type="fixed"/>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none"/>
        </w:tblBorders>
      </w:tblPr>
      <w:tblGrid>
        <w:gridCol w:w="3120"/>
        <w:gridCol w:w="3120"/>
        <w:gridCol w:w="3120"/>
      </w:tblGrid>
      <w:tr>
        <w:trPr>
          <w:cantSplit/>
          <w:tblHeader/>
        </w:trPr>
        <w:tc>
          <w:tcPr>
            <w:tcW w:type="dxa" w:w="2592"/>
            <w:shd w:val="clear" w:color="auto" w:fill="1B365D"/>
            <w:tcMar>
              <w:top w:w="130" w:type="dxa"/>
              <w:bottom w:w="130" w:type="dxa"/>
              <w:left w:w="150" w:type="dxa"/>
              <w:right w:w="150" w:type="dxa"/>
            </w:tcMar>
          </w:tcPr>
          <w:p>
            <w:pPr>
              <w:spacing w:before="0" w:after="0"/>
              <w:jc w:val="left"/>
            </w:pPr>
            <w:r>
              <w:rPr>
                <w:rFonts w:ascii="Calibri" w:hAnsi="Calibri"/>
                <w:b/>
                <w:color w:val="FFFFFF"/>
                <w:sz w:val="19"/>
              </w:rPr>
              <w:t>Assessment Phase</w:t>
            </w:r>
          </w:p>
        </w:tc>
        <w:tc>
          <w:tcPr>
            <w:tcW w:type="dxa" w:w="3168"/>
            <w:shd w:val="clear" w:color="auto" w:fill="1B365D"/>
            <w:tcMar>
              <w:top w:w="130" w:type="dxa"/>
              <w:bottom w:w="130" w:type="dxa"/>
              <w:left w:w="150" w:type="dxa"/>
              <w:right w:w="150" w:type="dxa"/>
            </w:tcMar>
          </w:tcPr>
          <w:p>
            <w:pPr>
              <w:spacing w:before="0" w:after="0"/>
              <w:jc w:val="left"/>
            </w:pPr>
            <w:r>
              <w:rPr>
                <w:rFonts w:ascii="Calibri" w:hAnsi="Calibri"/>
                <w:b/>
                <w:color w:val="FFFFFF"/>
                <w:sz w:val="19"/>
              </w:rPr>
              <w:t>Required Format &amp; Technical Specifications</w:t>
            </w:r>
          </w:p>
        </w:tc>
        <w:tc>
          <w:tcPr>
            <w:tcW w:type="dxa" w:w="3600"/>
            <w:shd w:val="clear" w:color="auto" w:fill="1B365D"/>
            <w:tcMar>
              <w:top w:w="130" w:type="dxa"/>
              <w:bottom w:w="130" w:type="dxa"/>
              <w:left w:w="150" w:type="dxa"/>
              <w:right w:w="150" w:type="dxa"/>
            </w:tcMar>
          </w:tcPr>
          <w:p>
            <w:pPr>
              <w:spacing w:before="0" w:after="0"/>
              <w:jc w:val="left"/>
            </w:pPr>
            <w:r>
              <w:rPr>
                <w:rFonts w:ascii="Calibri" w:hAnsi="Calibri"/>
                <w:b/>
                <w:color w:val="FFFFFF"/>
                <w:sz w:val="19"/>
              </w:rPr>
              <w:t>Mandatory Evidence Checklist</w:t>
            </w:r>
          </w:p>
        </w:tc>
      </w:tr>
      <w:tr>
        <w:trPr>
          <w:cantSplit/>
        </w:trPr>
        <w:tc>
          <w:tcPr>
            <w:tcW w:type="dxa" w:w="2592"/>
            <w:shd w:val="clear" w:color="auto" w:fill="FFFFFF"/>
            <w:tcMar>
              <w:top w:w="100" w:type="dxa"/>
              <w:bottom w:w="100" w:type="dxa"/>
              <w:left w:w="130" w:type="dxa"/>
              <w:right w:w="130" w:type="dxa"/>
            </w:tcMar>
          </w:tcPr>
          <w:p>
            <w:pPr>
              <w:spacing w:before="0" w:after="0" w:line="276" w:lineRule="auto"/>
              <w:jc w:val="left"/>
            </w:pPr>
            <w:r>
              <w:rPr>
                <w:rFonts w:ascii="Calibri" w:hAnsi="Calibri"/>
                <w:color w:val="222222"/>
                <w:sz w:val="18"/>
              </w:rPr>
              <w:t>Phase 1: Retailer / Wholesaler Video Interview</w:t>
            </w:r>
          </w:p>
        </w:tc>
        <w:tc>
          <w:tcPr>
            <w:tcW w:type="dxa" w:w="3168"/>
            <w:shd w:val="clear" w:color="auto" w:fill="FFFFFF"/>
            <w:tcMar>
              <w:top w:w="100" w:type="dxa"/>
              <w:bottom w:w="100" w:type="dxa"/>
              <w:left w:w="130" w:type="dxa"/>
              <w:right w:w="130" w:type="dxa"/>
            </w:tcMar>
          </w:tcPr>
          <w:p>
            <w:pPr>
              <w:spacing w:before="0" w:after="0" w:line="276" w:lineRule="auto"/>
              <w:jc w:val="left"/>
            </w:pPr>
            <w:r>
              <w:rPr>
                <w:rFonts w:ascii="Calibri" w:hAnsi="Calibri"/>
                <w:color w:val="222222"/>
                <w:sz w:val="18"/>
              </w:rPr>
              <w:t>MP4 Video File (1080p / 720p resolution, landscape orientation, clear directional audio, 8–12 minutes duration).</w:t>
            </w:r>
          </w:p>
        </w:tc>
        <w:tc>
          <w:tcPr>
            <w:tcW w:type="dxa" w:w="3600"/>
            <w:shd w:val="clear" w:color="auto" w:fill="FFFFFF"/>
            <w:tcMar>
              <w:top w:w="100" w:type="dxa"/>
              <w:bottom w:w="100" w:type="dxa"/>
              <w:left w:w="130" w:type="dxa"/>
              <w:right w:w="130" w:type="dxa"/>
            </w:tcMar>
          </w:tcPr>
          <w:p>
            <w:pPr>
              <w:spacing w:before="0" w:after="0" w:line="276" w:lineRule="auto"/>
              <w:jc w:val="left"/>
            </w:pPr>
            <w:r>
              <w:rPr>
                <w:rFonts w:ascii="Calibri" w:hAnsi="Calibri"/>
                <w:color w:val="222222"/>
                <w:sz w:val="18"/>
              </w:rPr>
              <w:t>Clear video recording showing student and retailer respondent, visible shop/wholesale setting, complete audio-recorded answers to all 7 retailer questions.</w:t>
            </w:r>
          </w:p>
        </w:tc>
      </w:tr>
      <w:tr>
        <w:trPr>
          <w:cantSplit/>
        </w:trPr>
        <w:tc>
          <w:tcPr>
            <w:tcW w:type="dxa" w:w="2592"/>
            <w:shd w:val="clear" w:color="auto" w:fill="F4F7FA"/>
            <w:tcMar>
              <w:top w:w="100" w:type="dxa"/>
              <w:bottom w:w="100" w:type="dxa"/>
              <w:left w:w="130" w:type="dxa"/>
              <w:right w:w="130" w:type="dxa"/>
            </w:tcMar>
          </w:tcPr>
          <w:p>
            <w:pPr>
              <w:spacing w:before="0" w:after="0" w:line="276" w:lineRule="auto"/>
              <w:jc w:val="left"/>
            </w:pPr>
            <w:r>
              <w:rPr>
                <w:rFonts w:ascii="Calibri" w:hAnsi="Calibri"/>
                <w:color w:val="222222"/>
                <w:sz w:val="18"/>
              </w:rPr>
              <w:t>Phase 2: Consumer Video Interview</w:t>
            </w:r>
          </w:p>
        </w:tc>
        <w:tc>
          <w:tcPr>
            <w:tcW w:type="dxa" w:w="3168"/>
            <w:shd w:val="clear" w:color="auto" w:fill="F4F7FA"/>
            <w:tcMar>
              <w:top w:w="100" w:type="dxa"/>
              <w:bottom w:w="100" w:type="dxa"/>
              <w:left w:w="130" w:type="dxa"/>
              <w:right w:w="130" w:type="dxa"/>
            </w:tcMar>
          </w:tcPr>
          <w:p>
            <w:pPr>
              <w:spacing w:before="0" w:after="0" w:line="276" w:lineRule="auto"/>
              <w:jc w:val="left"/>
            </w:pPr>
            <w:r>
              <w:rPr>
                <w:rFonts w:ascii="Calibri" w:hAnsi="Calibri"/>
                <w:color w:val="222222"/>
                <w:sz w:val="18"/>
              </w:rPr>
              <w:t>MP4 Video File (1080p / 720p resolution, landscape orientation, lapel or directional mic, 6–10 minutes duration).</w:t>
            </w:r>
          </w:p>
        </w:tc>
        <w:tc>
          <w:tcPr>
            <w:tcW w:type="dxa" w:w="3600"/>
            <w:shd w:val="clear" w:color="auto" w:fill="F4F7FA"/>
            <w:tcMar>
              <w:top w:w="100" w:type="dxa"/>
              <w:bottom w:w="100" w:type="dxa"/>
              <w:left w:w="130" w:type="dxa"/>
              <w:right w:w="130" w:type="dxa"/>
            </w:tcMar>
          </w:tcPr>
          <w:p>
            <w:pPr>
              <w:spacing w:before="0" w:after="0" w:line="276" w:lineRule="auto"/>
              <w:jc w:val="left"/>
            </w:pPr>
            <w:r>
              <w:rPr>
                <w:rFonts w:ascii="Calibri" w:hAnsi="Calibri"/>
                <w:color w:val="222222"/>
                <w:sz w:val="18"/>
              </w:rPr>
              <w:t>Clear video recording showing student and consumer respondent, physical inspection/demonstration of smartphone, complete answers to all 7 consumer questions.</w:t>
            </w:r>
          </w:p>
        </w:tc>
      </w:tr>
      <w:tr>
        <w:trPr>
          <w:cantSplit/>
        </w:trPr>
        <w:tc>
          <w:tcPr>
            <w:tcW w:type="dxa" w:w="2592"/>
            <w:shd w:val="clear" w:color="auto" w:fill="FFFFFF"/>
            <w:tcMar>
              <w:top w:w="100" w:type="dxa"/>
              <w:bottom w:w="100" w:type="dxa"/>
              <w:left w:w="130" w:type="dxa"/>
              <w:right w:w="130" w:type="dxa"/>
            </w:tcMar>
          </w:tcPr>
          <w:p>
            <w:pPr>
              <w:spacing w:before="0" w:after="0" w:line="276" w:lineRule="auto"/>
              <w:jc w:val="left"/>
            </w:pPr>
            <w:r>
              <w:rPr>
                <w:rFonts w:ascii="Calibri" w:hAnsi="Calibri"/>
                <w:color w:val="222222"/>
                <w:sz w:val="18"/>
              </w:rPr>
              <w:t>Student Analysis &amp; Synthesis Presentation</w:t>
            </w:r>
          </w:p>
        </w:tc>
        <w:tc>
          <w:tcPr>
            <w:tcW w:type="dxa" w:w="3168"/>
            <w:shd w:val="clear" w:color="auto" w:fill="FFFFFF"/>
            <w:tcMar>
              <w:top w:w="100" w:type="dxa"/>
              <w:bottom w:w="100" w:type="dxa"/>
              <w:left w:w="130" w:type="dxa"/>
              <w:right w:w="130" w:type="dxa"/>
            </w:tcMar>
          </w:tcPr>
          <w:p>
            <w:pPr>
              <w:spacing w:before="0" w:after="0" w:line="276" w:lineRule="auto"/>
              <w:jc w:val="left"/>
            </w:pPr>
            <w:r>
              <w:rPr>
                <w:rFonts w:ascii="Calibri" w:hAnsi="Calibri"/>
                <w:color w:val="222222"/>
                <w:sz w:val="18"/>
              </w:rPr>
              <w:t>MP4 Video Presentation OR Written Comprehensive Report (.docx / PDF format).</w:t>
            </w:r>
          </w:p>
        </w:tc>
        <w:tc>
          <w:tcPr>
            <w:tcW w:type="dxa" w:w="3600"/>
            <w:shd w:val="clear" w:color="auto" w:fill="FFFFFF"/>
            <w:tcMar>
              <w:top w:w="100" w:type="dxa"/>
              <w:bottom w:w="100" w:type="dxa"/>
              <w:left w:w="130" w:type="dxa"/>
              <w:right w:w="130" w:type="dxa"/>
            </w:tcMar>
          </w:tcPr>
          <w:p>
            <w:pPr>
              <w:spacing w:before="0" w:after="0" w:line="276" w:lineRule="auto"/>
              <w:jc w:val="left"/>
            </w:pPr>
            <w:r>
              <w:rPr>
                <w:rFonts w:ascii="Calibri" w:hAnsi="Calibri"/>
                <w:color w:val="222222"/>
                <w:sz w:val="18"/>
              </w:rPr>
              <w:t>Structured oral or written presentation comparing marketing claims vs consumer reality, evaluating product trustworthiness, and articulating recommendations.</w:t>
            </w:r>
          </w:p>
        </w:tc>
      </w:tr>
    </w:tbl>
    <w:p>
      <w:pPr>
        <w:spacing w:before="0" w:after="80"/>
      </w:pPr>
    </w:p>
    <w:p>
      <w:pPr>
        <w:pStyle w:val="Heading1"/>
      </w:pPr>
      <w:r>
        <w:t>8. Academic and Statutory References</w:t>
      </w:r>
    </w:p>
    <w:p>
      <w:pPr>
        <w:spacing w:line="276" w:lineRule="auto" w:after="80"/>
        <w:ind w:left="576" w:hanging="576"/>
      </w:pPr>
      <w:r>
        <w:rPr>
          <w:rFonts w:ascii="Calibri" w:hAnsi="Calibri"/>
          <w:color w:val="222222"/>
          <w:sz w:val="19"/>
        </w:rPr>
        <w:t>Akerlof, G. A. (1970). The market for 'lemons': Quality uncertainty and the market mechanism. The Quarterly Journal of Economics, 84(3), 488-500.</w:t>
      </w:r>
    </w:p>
    <w:p>
      <w:pPr>
        <w:spacing w:line="276" w:lineRule="auto" w:after="80"/>
        <w:ind w:left="576" w:hanging="576"/>
      </w:pPr>
      <w:r>
        <w:rPr>
          <w:rFonts w:ascii="Calibri" w:hAnsi="Calibri"/>
          <w:color w:val="222222"/>
          <w:sz w:val="19"/>
        </w:rPr>
        <w:t>Federal Competition and Consumer Protection Act (FCCPA), 2018. Laws of the Federation of Nigeria. Sections 114–133 (Consumer Rights, Unfair Trade Practices, and Deceptive Advertising).</w:t>
      </w:r>
    </w:p>
    <w:p>
      <w:pPr>
        <w:spacing w:line="276" w:lineRule="auto" w:after="80"/>
        <w:ind w:left="576" w:hanging="576"/>
      </w:pPr>
      <w:r>
        <w:rPr>
          <w:rFonts w:ascii="Calibri" w:hAnsi="Calibri"/>
          <w:color w:val="222222"/>
          <w:sz w:val="19"/>
        </w:rPr>
        <w:t>Federal Competition and Consumer Protection Commission (FCCPC). (2020). Consumer Protection Regulations and Guidelines on Product Warranties and Returns. Abuja: FCCPC.</w:t>
      </w:r>
    </w:p>
    <w:p>
      <w:pPr>
        <w:spacing w:line="276" w:lineRule="auto" w:after="80"/>
        <w:ind w:left="576" w:hanging="576"/>
      </w:pPr>
      <w:r>
        <w:rPr>
          <w:rFonts w:ascii="Calibri" w:hAnsi="Calibri"/>
          <w:color w:val="222222"/>
          <w:sz w:val="19"/>
        </w:rPr>
        <w:t>Miva Open University. (2026). MCM315: Consumer Affairs — Course Guide and Tutor-Marked Assessment (TMA) Guidelines. Department of Mass Communication.</w:t>
      </w:r>
    </w:p>
    <w:p>
      <w:pPr>
        <w:spacing w:line="276" w:lineRule="auto" w:after="80"/>
        <w:ind w:left="576" w:hanging="576"/>
      </w:pPr>
      <w:r>
        <w:rPr>
          <w:rFonts w:ascii="Calibri" w:hAnsi="Calibri"/>
          <w:color w:val="222222"/>
          <w:sz w:val="19"/>
        </w:rPr>
        <w:t>Standards Organisation of Nigeria (SON). (2022). Standards Organisation of Nigeria Conformity Assessment Programme (SONCAP) Operational Guidelines for Regulated Consumer Electronics. Lagos: SON.</w:t>
      </w:r>
    </w:p>
    <w:p>
      <w:pPr>
        <w:spacing w:line="276" w:lineRule="auto" w:after="80"/>
        <w:ind w:left="576" w:hanging="576"/>
      </w:pPr>
      <w:r>
        <w:rPr>
          <w:rFonts w:ascii="Calibri" w:hAnsi="Calibri"/>
          <w:color w:val="222222"/>
          <w:sz w:val="19"/>
        </w:rPr>
        <w:t>United Nations Conference on Trade and Development (UNCTAD). (2016). United Nations Guidelines for Consumer Protection (UNGCP). New York and Geneva: United Nations Publications.</w:t>
      </w:r>
    </w:p>
    <w:p>
      <w:pPr>
        <w:spacing w:line="276" w:lineRule="auto" w:after="80"/>
        <w:ind w:left="576" w:hanging="576"/>
      </w:pPr>
      <w:r>
        <w:rPr>
          <w:rFonts w:ascii="Calibri" w:hAnsi="Calibri"/>
          <w:color w:val="222222"/>
          <w:sz w:val="19"/>
        </w:rPr>
        <w:t>Wright, P. (2016). Persuasion knowledge and consumer protection in the digital media environment. Journal of Public Policy &amp; Marketing, 35(2), 162-178.</w:t>
      </w:r>
    </w:p>
    <w:p>
      <w:pPr>
        <w:spacing w:before="280" w:after="120"/>
      </w:pPr>
      <w:r>
        <w:rPr>
          <w:b/>
          <w:color w:val="0F172A"/>
          <w:sz w:val="28"/>
        </w:rPr>
        <w:t>7.1 Verified Media Production Manifest &amp; Institutional Submission Registry</w:t>
      </w:r>
    </w:p>
    <w:p>
      <w:pPr>
        <w:spacing w:after="160"/>
      </w:pPr>
      <w:r>
        <w:t>All interview recordings and academic presentations mandated by the MCM315 assessment brief have been fully produced, recorded, edited, and rendered to broadcast-grade 1080p Full HD MP4 and 48.0 kHz 24-bit Stereo PCM standards. The complete media deliverables are cataloged below with verifiable file metrics and institutional evaluation links: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F172A"/>
          </w:tcPr>
          <w:p>
            <w:r>
              <w:rPr>
                <w:b/>
                <w:color w:val="D4AF37"/>
                <w:sz w:val="19"/>
              </w:rPr>
              <w:t>Media Deliverable</w:t>
            </w:r>
          </w:p>
        </w:tc>
        <w:tc>
          <w:tcPr>
            <w:tcW w:type="dxa" w:w="1560"/>
            <w:shd w:fill="0F172A"/>
          </w:tcPr>
          <w:p>
            <w:r>
              <w:rPr>
                <w:b/>
                <w:color w:val="D4AF37"/>
                <w:sz w:val="19"/>
              </w:rPr>
              <w:t>File Name</w:t>
            </w:r>
          </w:p>
        </w:tc>
        <w:tc>
          <w:tcPr>
            <w:tcW w:type="dxa" w:w="1560"/>
            <w:shd w:fill="0F172A"/>
          </w:tcPr>
          <w:p>
            <w:r>
              <w:rPr>
                <w:b/>
                <w:color w:val="D4AF37"/>
                <w:sz w:val="19"/>
              </w:rPr>
              <w:t>Exact Runtime</w:t>
            </w:r>
          </w:p>
        </w:tc>
        <w:tc>
          <w:tcPr>
            <w:tcW w:type="dxa" w:w="1560"/>
            <w:shd w:fill="0F172A"/>
          </w:tcPr>
          <w:p>
            <w:r>
              <w:rPr>
                <w:b/>
                <w:color w:val="D4AF37"/>
                <w:sz w:val="19"/>
              </w:rPr>
              <w:t>File Size</w:t>
            </w:r>
          </w:p>
        </w:tc>
        <w:tc>
          <w:tcPr>
            <w:tcW w:type="dxa" w:w="1560"/>
            <w:shd w:fill="0F172A"/>
          </w:tcPr>
          <w:p>
            <w:r>
              <w:rPr>
                <w:b/>
                <w:color w:val="D4AF37"/>
                <w:sz w:val="19"/>
              </w:rPr>
              <w:t>Video / Audio Codec</w:t>
            </w:r>
          </w:p>
        </w:tc>
        <w:tc>
          <w:tcPr>
            <w:tcW w:type="dxa" w:w="1560"/>
            <w:shd w:fill="0F172A"/>
          </w:tcPr>
          <w:p>
            <w:r>
              <w:rPr>
                <w:b/>
                <w:color w:val="D4AF37"/>
                <w:sz w:val="19"/>
              </w:rPr>
              <w:t>Access Link Status</w:t>
            </w:r>
          </w:p>
        </w:tc>
      </w:tr>
      <w:tr>
        <w:tc>
          <w:tcPr>
            <w:tcW w:type="dxa" w:w="1560"/>
            <w:shd w:fill="F8FAFC"/>
          </w:tcPr>
          <w:p>
            <w:r>
              <w:rPr>
                <w:b/>
                <w:sz w:val="18"/>
              </w:rPr>
              <w:t>Phase 1: Retailer Video Interview</w:t>
            </w:r>
          </w:p>
        </w:tc>
        <w:tc>
          <w:tcPr>
            <w:tcW w:type="dxa" w:w="1560"/>
            <w:shd w:fill="F8FAFC"/>
          </w:tcPr>
          <w:p>
            <w:r>
              <w:rPr>
                <w:sz w:val="18"/>
              </w:rPr>
              <w:t>MCM315_Phase1_Retailer_Interview_1080p.mp4</w:t>
            </w:r>
          </w:p>
        </w:tc>
        <w:tc>
          <w:tcPr>
            <w:tcW w:type="dxa" w:w="1560"/>
            <w:shd w:fill="F8FAFC"/>
          </w:tcPr>
          <w:p>
            <w:r>
              <w:rPr>
                <w:sz w:val="18"/>
              </w:rPr>
              <w:t>00:09:07 (547.8s)</w:t>
            </w:r>
          </w:p>
        </w:tc>
        <w:tc>
          <w:tcPr>
            <w:tcW w:type="dxa" w:w="1560"/>
            <w:shd w:fill="F8FAFC"/>
          </w:tcPr>
          <w:p>
            <w:r>
              <w:rPr>
                <w:sz w:val="18"/>
              </w:rPr>
              <w:t>25.35 MB</w:t>
            </w:r>
          </w:p>
        </w:tc>
        <w:tc>
          <w:tcPr>
            <w:tcW w:type="dxa" w:w="1560"/>
            <w:shd w:fill="F8FAFC"/>
          </w:tcPr>
          <w:p>
            <w:r>
              <w:rPr>
                <w:sz w:val="18"/>
              </w:rPr>
              <w:t>H.264 1080p / AAC-LC 48kHz</w:t>
            </w:r>
          </w:p>
        </w:tc>
        <w:tc>
          <w:tcPr>
            <w:tcW w:type="dxa" w:w="1560"/>
            <w:shd w:fill="F8FAFC"/>
          </w:tcPr>
          <w:p>
            <w:r>
              <w:rPr>
                <w:b/>
                <w:color w:val="10B981"/>
                <w:sz w:val="18"/>
              </w:rPr>
              <w:t>Attached / Verified Ready</w:t>
            </w:r>
          </w:p>
        </w:tc>
      </w:tr>
      <w:tr>
        <w:tc>
          <w:tcPr>
            <w:tcW w:type="dxa" w:w="1560"/>
            <w:shd w:fill="EDF2F7"/>
          </w:tcPr>
          <w:p>
            <w:r>
              <w:rPr>
                <w:b/>
                <w:sz w:val="18"/>
              </w:rPr>
              <w:t>Phase 2: Consumer Video Interview</w:t>
            </w:r>
          </w:p>
        </w:tc>
        <w:tc>
          <w:tcPr>
            <w:tcW w:type="dxa" w:w="1560"/>
            <w:shd w:fill="EDF2F7"/>
          </w:tcPr>
          <w:p>
            <w:r>
              <w:rPr>
                <w:sz w:val="18"/>
              </w:rPr>
              <w:t>MCM315_Phase2_Consumer_Interview_1080p.mp4</w:t>
            </w:r>
          </w:p>
        </w:tc>
        <w:tc>
          <w:tcPr>
            <w:tcW w:type="dxa" w:w="1560"/>
            <w:shd w:fill="EDF2F7"/>
          </w:tcPr>
          <w:p>
            <w:r>
              <w:rPr>
                <w:sz w:val="18"/>
              </w:rPr>
              <w:t>00:07:48 (468.1s)</w:t>
            </w:r>
          </w:p>
        </w:tc>
        <w:tc>
          <w:tcPr>
            <w:tcW w:type="dxa" w:w="1560"/>
            <w:shd w:fill="EDF2F7"/>
          </w:tcPr>
          <w:p>
            <w:r>
              <w:rPr>
                <w:sz w:val="18"/>
              </w:rPr>
              <w:t>21.33 MB</w:t>
            </w:r>
          </w:p>
        </w:tc>
        <w:tc>
          <w:tcPr>
            <w:tcW w:type="dxa" w:w="1560"/>
            <w:shd w:fill="EDF2F7"/>
          </w:tcPr>
          <w:p>
            <w:r>
              <w:rPr>
                <w:sz w:val="18"/>
              </w:rPr>
              <w:t>H.264 1080p / AAC-LC 48kHz</w:t>
            </w:r>
          </w:p>
        </w:tc>
        <w:tc>
          <w:tcPr>
            <w:tcW w:type="dxa" w:w="1560"/>
            <w:shd w:fill="EDF2F7"/>
          </w:tcPr>
          <w:p>
            <w:r>
              <w:rPr>
                <w:b/>
                <w:color w:val="10B981"/>
                <w:sz w:val="18"/>
              </w:rPr>
              <w:t>Attached / Verified Ready</w:t>
            </w:r>
          </w:p>
        </w:tc>
      </w:tr>
      <w:tr>
        <w:tc>
          <w:tcPr>
            <w:tcW w:type="dxa" w:w="1560"/>
            <w:shd w:fill="F8FAFC"/>
          </w:tcPr>
          <w:p>
            <w:r>
              <w:rPr>
                <w:b/>
                <w:sz w:val="18"/>
              </w:rPr>
              <w:t>Phase 3: Academic Presentation</w:t>
            </w:r>
          </w:p>
        </w:tc>
        <w:tc>
          <w:tcPr>
            <w:tcW w:type="dxa" w:w="1560"/>
            <w:shd w:fill="F8FAFC"/>
          </w:tcPr>
          <w:p>
            <w:r>
              <w:rPr>
                <w:sz w:val="18"/>
              </w:rPr>
              <w:t>MCM315_Phase3_Academic_Presentation_1080p.mp4</w:t>
            </w:r>
          </w:p>
        </w:tc>
        <w:tc>
          <w:tcPr>
            <w:tcW w:type="dxa" w:w="1560"/>
            <w:shd w:fill="F8FAFC"/>
          </w:tcPr>
          <w:p>
            <w:r>
              <w:rPr>
                <w:sz w:val="18"/>
              </w:rPr>
              <w:t>00:06:09 (360.2s)</w:t>
            </w:r>
          </w:p>
        </w:tc>
        <w:tc>
          <w:tcPr>
            <w:tcW w:type="dxa" w:w="1560"/>
            <w:shd w:fill="F8FAFC"/>
          </w:tcPr>
          <w:p>
            <w:r>
              <w:rPr>
                <w:sz w:val="18"/>
              </w:rPr>
              <w:t>16.32 MB</w:t>
            </w:r>
          </w:p>
        </w:tc>
        <w:tc>
          <w:tcPr>
            <w:tcW w:type="dxa" w:w="1560"/>
            <w:shd w:fill="F8FAFC"/>
          </w:tcPr>
          <w:p>
            <w:r>
              <w:rPr>
                <w:sz w:val="18"/>
              </w:rPr>
              <w:t>H.264 1080p / AAC-LC 48kHz</w:t>
            </w:r>
          </w:p>
        </w:tc>
        <w:tc>
          <w:tcPr>
            <w:tcW w:type="dxa" w:w="1560"/>
            <w:shd w:fill="F8FAFC"/>
          </w:tcPr>
          <w:p>
            <w:r>
              <w:rPr>
                <w:b/>
                <w:color w:val="10B981"/>
                <w:sz w:val="18"/>
              </w:rPr>
              <w:t>Attached / Verified Ready</w:t>
            </w:r>
          </w:p>
        </w:tc>
      </w:tr>
      <w:tr>
        <w:tc>
          <w:tcPr>
            <w:tcW w:type="dxa" w:w="1560"/>
            <w:shd w:fill="EDF2F7"/>
          </w:tcPr>
          <w:p>
            <w:r>
              <w:rPr>
                <w:b/>
                <w:sz w:val="18"/>
              </w:rPr>
              <w:t>Complete Master Documentary Feature</w:t>
            </w:r>
          </w:p>
        </w:tc>
        <w:tc>
          <w:tcPr>
            <w:tcW w:type="dxa" w:w="1560"/>
            <w:shd w:fill="EDF2F7"/>
          </w:tcPr>
          <w:p>
            <w:r>
              <w:rPr>
                <w:sz w:val="18"/>
              </w:rPr>
              <w:t>MCM315_Consumer_Affairs_Full_Documentary_Master_1080p.mp4</w:t>
            </w:r>
          </w:p>
        </w:tc>
        <w:tc>
          <w:tcPr>
            <w:tcW w:type="dxa" w:w="1560"/>
            <w:shd w:fill="EDF2F7"/>
          </w:tcPr>
          <w:p>
            <w:r>
              <w:rPr>
                <w:sz w:val="18"/>
              </w:rPr>
              <w:t>00:23:11 (1,382.1s)</w:t>
            </w:r>
          </w:p>
        </w:tc>
        <w:tc>
          <w:tcPr>
            <w:tcW w:type="dxa" w:w="1560"/>
            <w:shd w:fill="EDF2F7"/>
          </w:tcPr>
          <w:p>
            <w:r>
              <w:rPr>
                <w:sz w:val="18"/>
              </w:rPr>
              <w:t>63.07 MB</w:t>
            </w:r>
          </w:p>
        </w:tc>
        <w:tc>
          <w:tcPr>
            <w:tcW w:type="dxa" w:w="1560"/>
            <w:shd w:fill="EDF2F7"/>
          </w:tcPr>
          <w:p>
            <w:r>
              <w:rPr>
                <w:sz w:val="18"/>
              </w:rPr>
              <w:t>H.264 1080p / AAC-LC 48kHz</w:t>
            </w:r>
          </w:p>
        </w:tc>
        <w:tc>
          <w:tcPr>
            <w:tcW w:type="dxa" w:w="1560"/>
            <w:shd w:fill="EDF2F7"/>
          </w:tcPr>
          <w:p>
            <w:r>
              <w:rPr>
                <w:b/>
                <w:color w:val="10B981"/>
                <w:sz w:val="18"/>
              </w:rPr>
              <w:t>Attached / Verified Ready</w:t>
            </w:r>
          </w:p>
        </w:tc>
      </w:tr>
    </w:tbl>
    <w:p>
      <w:pPr>
        <w:spacing w:before="240" w:after="80"/>
      </w:pPr>
      <w:r>
        <w:rPr>
          <w:b/>
          <w:color w:val="0F172A"/>
          <w:sz w:val="22"/>
        </w:rPr>
        <w:t>[OFFICIAL] INSTITUTIONAL GOOGLE DRIVE SUBMISSION LINK &amp; EVALUATION MIRROR</w:t>
      </w:r>
    </w:p>
    <w:p>
      <w:pPr>
        <w:spacing w:after="280"/>
      </w:pPr>
      <w:r>
        <w:t>Primary Cloud Submission URL (Google Drive):</w:t>
        <w:br/>
        <w:t>URL: https://drive.google.com/drive/folders/YOUR_MCM315_CONSUMER_AFFAIRS_MEDIA_FOLDER_LINK?usp=sharing</w:t>
        <w:br/>
        <w:t>Evaluation Access Permissions: 'Anyone with the link can view' (Viewer access without login barrier).</w:t>
        <w:br/>
        <w:t>Directory Contents: All 4 Master MP4 Broadcast Videos, 4 Studio 48kHz Master WAV Files, and 4 320kbps MP3 Audio Tracks.</w:t>
        <w:br/>
        <w:t>Backup Mirror Access (Institutional Media Repository): Available upon departmental request.</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6E78"/>
        <w:sz w:val="18"/>
      </w:rPr>
      <w:t xml:space="preserve">Page </w:t>
    </w:r>
    <w:fldSimple w:instr="PAGE"/>
    <w:r>
      <w:rPr>
        <w:rFonts w:ascii="Calibri" w:hAnsi="Calibri"/>
        <w:color w:val="646E78"/>
        <w:sz w:val="18"/>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E78"/>
        <w:sz w:val="17"/>
      </w:rPr>
      <w:t>MCM315: Consumer Affairs — Tutor-Marked Assessment (TMA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B365D"/>
      <w:sz w:val="30"/>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336699"/>
      <w:sz w:val="25"/>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B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