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BF31D9" w14:textId="77777777" w:rsidR="002B3E80" w:rsidRPr="00B26FA0" w:rsidRDefault="002B3E80" w:rsidP="002B3E80">
      <w:pPr>
        <w:autoSpaceDE w:val="0"/>
        <w:autoSpaceDN w:val="0"/>
        <w:adjustRightInd w:val="0"/>
        <w:rPr>
          <w:i/>
        </w:rPr>
      </w:pPr>
      <w:r w:rsidRPr="00744A6C">
        <w:rPr>
          <w:b/>
          <w:u w:val="single"/>
        </w:rPr>
        <w:t>Reviewer #1</w:t>
      </w:r>
      <w:r w:rsidRPr="00744A6C">
        <w:t>:</w:t>
      </w:r>
      <w:r>
        <w:t xml:space="preserve"> </w:t>
      </w:r>
      <w:r w:rsidRPr="00B26FA0">
        <w:rPr>
          <w:i/>
        </w:rPr>
        <w:t>In the reviewed manuscript, the authors describe expression analysis of a set of histologically diverse bladder cancers using an ROI-based spatial transcriptomics approach. Analysis is descriptive and focuses on differences between bladder cancers of various Consensus Subtypes. The work is valuable because it provides a spatial dimension to histologic subtypes/divergent differentiation states and the Consensus expression subtypes, which are based on bulk RNA sequencing. However, the analysis is remarkably limited. Much more valuable information can be drawn from the data that is presented. I recommend the following:</w:t>
      </w:r>
    </w:p>
    <w:p w14:paraId="72E83E1A" w14:textId="77777777" w:rsidR="002B3E80" w:rsidRPr="00BE66DE" w:rsidRDefault="002B3E80" w:rsidP="002B3E80">
      <w:pPr>
        <w:autoSpaceDE w:val="0"/>
        <w:autoSpaceDN w:val="0"/>
        <w:adjustRightInd w:val="0"/>
        <w:rPr>
          <w:i/>
          <w:highlight w:val="yellow"/>
        </w:rPr>
      </w:pPr>
      <w:r w:rsidRPr="007D277A">
        <w:rPr>
          <w:i/>
        </w:rPr>
        <w:br/>
      </w:r>
      <w:r w:rsidRPr="00BE66DE">
        <w:rPr>
          <w:iCs/>
          <w:highlight w:val="yellow"/>
        </w:rPr>
        <w:t>1.</w:t>
      </w:r>
      <w:r w:rsidRPr="00BE66DE">
        <w:rPr>
          <w:i/>
          <w:highlight w:val="yellow"/>
        </w:rPr>
        <w:t xml:space="preserve"> The analysis places tumors into Consensus subtypes. These are based on presence of multiple cell types, including stromal, inflammatory cells, and neoplastic epithelial cells. However, the subtypes are artificial to a large degree. For example, Dadhania et al. showed bladder cancers of the P53-like subtype, which are defined by their stromal signature, can easily be divided into Luminal and Basal by evaluation of IHC in neoplastic epithelial cells [PMID 27612592]. Please expand the analysis to provide such an analysis, which compares ROIs that are stroma dominant vs epithelial dominant.</w:t>
      </w:r>
    </w:p>
    <w:p w14:paraId="48956A1E" w14:textId="24E7F83B" w:rsidR="001E1821" w:rsidRPr="001E1821" w:rsidRDefault="002B3E80" w:rsidP="002B3E80">
      <w:pPr>
        <w:autoSpaceDE w:val="0"/>
        <w:autoSpaceDN w:val="0"/>
        <w:adjustRightInd w:val="0"/>
        <w:rPr>
          <w:highlight w:val="yellow"/>
        </w:rPr>
      </w:pPr>
      <w:r w:rsidRPr="00BE66DE">
        <w:rPr>
          <w:b/>
          <w:highlight w:val="yellow"/>
        </w:rPr>
        <w:t>Answer</w:t>
      </w:r>
      <w:r w:rsidRPr="00BE66DE">
        <w:rPr>
          <w:highlight w:val="yellow"/>
        </w:rPr>
        <w:t xml:space="preserve">: </w:t>
      </w:r>
    </w:p>
    <w:p w14:paraId="7462C606" w14:textId="77777777" w:rsidR="009130D7" w:rsidRDefault="009130D7" w:rsidP="009130D7">
      <w:pPr>
        <w:autoSpaceDE w:val="0"/>
        <w:autoSpaceDN w:val="0"/>
        <w:adjustRightInd w:val="0"/>
      </w:pPr>
    </w:p>
    <w:p w14:paraId="5DED1B2F" w14:textId="7F1E3938" w:rsidR="009130D7" w:rsidRDefault="009130D7" w:rsidP="00A4037A">
      <w:pPr>
        <w:pStyle w:val="ListParagraph"/>
        <w:numPr>
          <w:ilvl w:val="0"/>
          <w:numId w:val="3"/>
        </w:numPr>
      </w:pPr>
      <w:r>
        <w:t xml:space="preserve">The data we produced for this study is laser-captured RNA-seq. Importantly, our samples (AOIs) are </w:t>
      </w:r>
      <w:r w:rsidR="001C4CCB">
        <w:t>a mix of</w:t>
      </w:r>
      <w:r>
        <w:t xml:space="preserve"> purified tumor epithelium</w:t>
      </w:r>
      <w:r w:rsidR="001C4CCB">
        <w:t xml:space="preserve"> and</w:t>
      </w:r>
      <w:r>
        <w:t xml:space="preserve"> bulk samples</w:t>
      </w:r>
      <w:r w:rsidR="001C4CCB">
        <w:t xml:space="preserve"> (those denoted “Full ROI”)</w:t>
      </w:r>
      <w:r>
        <w:t xml:space="preserve"> that include both tumor epithelium and large swaths of the surrounding TME. Therefore, </w:t>
      </w:r>
      <w:r w:rsidR="00906D46">
        <w:t xml:space="preserve">as you rightly point out, </w:t>
      </w:r>
      <w:r w:rsidR="001C4CCB">
        <w:t>some</w:t>
      </w:r>
      <w:r w:rsidR="00A574CE">
        <w:t xml:space="preserve"> of our ROIs </w:t>
      </w:r>
      <w:r w:rsidR="00A4037A">
        <w:t>can be thought of as</w:t>
      </w:r>
      <w:r w:rsidR="00D7491D">
        <w:t xml:space="preserve"> </w:t>
      </w:r>
      <w:r w:rsidR="00F555D0">
        <w:t>stroma</w:t>
      </w:r>
      <w:r w:rsidR="00A574CE">
        <w:t xml:space="preserve"> dominant</w:t>
      </w:r>
      <w:r w:rsidR="00AE6035">
        <w:t>.</w:t>
      </w:r>
      <w:r w:rsidR="00D7491D">
        <w:t xml:space="preserve"> </w:t>
      </w:r>
      <w:r w:rsidR="00A4037A">
        <w:t xml:space="preserve">In response, we have conducted supplementary unsupervised clustering analyses in which we identify </w:t>
      </w:r>
      <w:r w:rsidR="00DB3E02">
        <w:t>stroma dominant ROIs and epithelium pure ROIs. Then, within each of these groups, we identify two major sub-clusters and examine their differences.</w:t>
      </w:r>
    </w:p>
    <w:p w14:paraId="54830E1F" w14:textId="7E556C14" w:rsidR="00AE0D87" w:rsidRDefault="00E62BE7" w:rsidP="00A4037A">
      <w:pPr>
        <w:pStyle w:val="ListParagraph"/>
        <w:numPr>
          <w:ilvl w:val="0"/>
          <w:numId w:val="3"/>
        </w:numPr>
        <w:autoSpaceDE w:val="0"/>
        <w:autoSpaceDN w:val="0"/>
        <w:adjustRightInd w:val="0"/>
      </w:pPr>
      <w:r>
        <w:t>W</w:t>
      </w:r>
      <w:r w:rsidR="00AE0D87">
        <w:t>e d</w:t>
      </w:r>
      <w:r w:rsidR="00435167">
        <w:t>id</w:t>
      </w:r>
      <w:r w:rsidR="00AE0D87">
        <w:t xml:space="preserve"> agree that individual marker</w:t>
      </w:r>
      <w:r w:rsidR="00D02ABE">
        <w:t xml:space="preserve"> genes </w:t>
      </w:r>
      <w:r w:rsidR="00AE0D87">
        <w:t xml:space="preserve">for Luminal and Basal subtypes ought to be visualized for our dataset. </w:t>
      </w:r>
      <w:r w:rsidR="00275B2C">
        <w:t>N</w:t>
      </w:r>
      <w:r w:rsidR="00AE0D87">
        <w:t>ew heatmap</w:t>
      </w:r>
      <w:r w:rsidR="00275B2C">
        <w:t>s</w:t>
      </w:r>
      <w:r w:rsidR="00AE0D87">
        <w:t xml:space="preserve"> ha</w:t>
      </w:r>
      <w:r w:rsidR="00275B2C">
        <w:t>ve</w:t>
      </w:r>
      <w:r w:rsidR="00AE0D87">
        <w:t xml:space="preserve"> </w:t>
      </w:r>
      <w:r w:rsidR="002E5C1A">
        <w:t xml:space="preserve">thus </w:t>
      </w:r>
      <w:r w:rsidR="00AE0D87">
        <w:t xml:space="preserve">been created that depict our samples’ </w:t>
      </w:r>
      <w:r w:rsidR="00A43A1F">
        <w:t xml:space="preserve">Consensus molecular </w:t>
      </w:r>
      <w:r w:rsidR="00AE0D87">
        <w:t xml:space="preserve">classifications </w:t>
      </w:r>
      <w:r w:rsidR="00030C70">
        <w:t xml:space="preserve">along </w:t>
      </w:r>
      <w:r w:rsidR="00CA1CDB">
        <w:t>with</w:t>
      </w:r>
      <w:r w:rsidR="00AE0D87">
        <w:t xml:space="preserve"> their expression of </w:t>
      </w:r>
      <w:r w:rsidR="00E02B08">
        <w:t>pre-selected ma</w:t>
      </w:r>
      <w:r w:rsidR="004A5D56">
        <w:t>r</w:t>
      </w:r>
      <w:r w:rsidR="00E02B08">
        <w:t xml:space="preserve">ker </w:t>
      </w:r>
      <w:r w:rsidR="00AE0D87">
        <w:t>genes</w:t>
      </w:r>
      <w:r w:rsidR="00774CDC">
        <w:t xml:space="preserve">. For Basal: </w:t>
      </w:r>
      <w:r w:rsidR="00AE0D87" w:rsidRPr="000E21B5">
        <w:rPr>
          <w:i/>
          <w:iCs/>
        </w:rPr>
        <w:t>CD44, KRT5, KRT6</w:t>
      </w:r>
      <w:r w:rsidR="00C66841" w:rsidRPr="000E21B5">
        <w:rPr>
          <w:i/>
          <w:iCs/>
        </w:rPr>
        <w:t>A</w:t>
      </w:r>
      <w:r w:rsidR="00AE0D87" w:rsidRPr="000E21B5">
        <w:rPr>
          <w:i/>
          <w:iCs/>
        </w:rPr>
        <w:t xml:space="preserve">, KRT14, </w:t>
      </w:r>
      <w:r w:rsidR="00774CDC">
        <w:t xml:space="preserve">and </w:t>
      </w:r>
      <w:r w:rsidR="00AE0D87" w:rsidRPr="000E21B5">
        <w:rPr>
          <w:i/>
          <w:iCs/>
        </w:rPr>
        <w:t>CDH3</w:t>
      </w:r>
      <w:r w:rsidR="00774CDC" w:rsidRPr="000E21B5">
        <w:rPr>
          <w:i/>
          <w:iCs/>
        </w:rPr>
        <w:t xml:space="preserve">. </w:t>
      </w:r>
      <w:r w:rsidR="000B3BD1">
        <w:t xml:space="preserve">For Luminal: </w:t>
      </w:r>
      <w:r w:rsidR="00AE0D87" w:rsidRPr="000E21B5">
        <w:rPr>
          <w:i/>
          <w:iCs/>
        </w:rPr>
        <w:t xml:space="preserve">CD24, FOXA1, GATA3, ERBB2, ERBB3, XBP1, </w:t>
      </w:r>
      <w:r w:rsidR="00C66841" w:rsidRPr="000E21B5">
        <w:rPr>
          <w:i/>
          <w:iCs/>
        </w:rPr>
        <w:t xml:space="preserve">KRT18, KRT19, </w:t>
      </w:r>
      <w:r w:rsidR="00AE0D87">
        <w:t xml:space="preserve">and </w:t>
      </w:r>
      <w:r w:rsidR="00AE0D87" w:rsidRPr="000E21B5">
        <w:rPr>
          <w:i/>
          <w:iCs/>
        </w:rPr>
        <w:t>KRT20</w:t>
      </w:r>
      <w:r w:rsidR="00AE0D87">
        <w:t xml:space="preserve">. These genes were selected </w:t>
      </w:r>
      <w:r w:rsidR="00BF5A79">
        <w:t xml:space="preserve">directly from Dadhania et al. and </w:t>
      </w:r>
      <w:r w:rsidR="00AE0D87">
        <w:t xml:space="preserve">Choi et al., </w:t>
      </w:r>
      <w:r w:rsidR="009A7A9B">
        <w:t xml:space="preserve">which </w:t>
      </w:r>
      <w:r w:rsidR="00AE0D87">
        <w:t>Dadhania et al.</w:t>
      </w:r>
      <w:r w:rsidR="009A7A9B">
        <w:t xml:space="preserve"> extensively cites.</w:t>
      </w:r>
      <w:r w:rsidR="00AE0D87">
        <w:t xml:space="preserve"> </w:t>
      </w:r>
      <w:commentRangeStart w:id="0"/>
      <w:r w:rsidR="00AE0D87">
        <w:t>Both Choi et al. and Dadhania et al. are now properly cited in our manuscript.</w:t>
      </w:r>
      <w:commentRangeEnd w:id="0"/>
      <w:r w:rsidR="00160398">
        <w:rPr>
          <w:rStyle w:val="CommentReference"/>
          <w:sz w:val="24"/>
          <w:szCs w:val="24"/>
        </w:rPr>
        <w:commentReference w:id="0"/>
      </w:r>
    </w:p>
    <w:p w14:paraId="57A0F7D3" w14:textId="77777777" w:rsidR="004D0546" w:rsidRDefault="004D0546" w:rsidP="004D0546">
      <w:pPr>
        <w:autoSpaceDE w:val="0"/>
        <w:autoSpaceDN w:val="0"/>
        <w:adjustRightInd w:val="0"/>
      </w:pPr>
    </w:p>
    <w:p w14:paraId="4A7C76AC" w14:textId="0F6422CF" w:rsidR="004D0546" w:rsidRPr="004D0546" w:rsidRDefault="004D0546" w:rsidP="004D0546">
      <w:pPr>
        <w:autoSpaceDE w:val="0"/>
        <w:autoSpaceDN w:val="0"/>
        <w:adjustRightInd w:val="0"/>
        <w:rPr>
          <w:color w:val="EE0000"/>
        </w:rPr>
      </w:pPr>
      <w:r>
        <w:rPr>
          <w:color w:val="EE0000"/>
        </w:rPr>
        <w:t>Ting: In the files I sent you, I looked at the entire dataset first. Cluster 1 was stroma dominant, and cluster 2 was epithelium pure. I then</w:t>
      </w:r>
      <w:r w:rsidR="002A52FA">
        <w:rPr>
          <w:color w:val="EE0000"/>
        </w:rPr>
        <w:t xml:space="preserve"> </w:t>
      </w:r>
      <w:r>
        <w:rPr>
          <w:color w:val="EE0000"/>
        </w:rPr>
        <w:t>sub-clustered each of these</w:t>
      </w:r>
      <w:r w:rsidR="00D41555">
        <w:rPr>
          <w:color w:val="EE0000"/>
        </w:rPr>
        <w:t xml:space="preserve">. Within each, I compared the two major clusters. </w:t>
      </w:r>
      <w:r w:rsidR="007C7A60">
        <w:rPr>
          <w:color w:val="EE0000"/>
        </w:rPr>
        <w:t>I think that this makes more sense than just dividing into “Full ROI” and “Epithelium” segments, since, as you pointed out, some of the “Full ROI” samples are not contaminated at all.</w:t>
      </w:r>
    </w:p>
    <w:p w14:paraId="5F5A9406" w14:textId="77777777" w:rsidR="002B3E80" w:rsidRPr="00BE66DE" w:rsidRDefault="002B3E80" w:rsidP="002B3E80">
      <w:pPr>
        <w:autoSpaceDE w:val="0"/>
        <w:autoSpaceDN w:val="0"/>
        <w:adjustRightInd w:val="0"/>
        <w:rPr>
          <w:highlight w:val="yellow"/>
        </w:rPr>
      </w:pPr>
    </w:p>
    <w:p w14:paraId="30ED87D7" w14:textId="77777777" w:rsidR="002B3E80" w:rsidRPr="00BE66DE" w:rsidRDefault="002B3E80" w:rsidP="002B3E80">
      <w:pPr>
        <w:autoSpaceDE w:val="0"/>
        <w:autoSpaceDN w:val="0"/>
        <w:adjustRightInd w:val="0"/>
        <w:rPr>
          <w:i/>
          <w:highlight w:val="yellow"/>
        </w:rPr>
      </w:pPr>
      <w:r w:rsidRPr="00BE66DE">
        <w:rPr>
          <w:highlight w:val="yellow"/>
        </w:rPr>
        <w:t xml:space="preserve">2. </w:t>
      </w:r>
      <w:r w:rsidRPr="00BE66DE">
        <w:rPr>
          <w:i/>
          <w:highlight w:val="yellow"/>
        </w:rPr>
        <w:t xml:space="preserve">Multiple subtyping systems have been defined for bladder cancer. The Consensus system is one valid system but misses information in other systems. Please expand the analysis of your data to the other major subtyping systems (i.e. Lund, MD Anderson, UNC, TCGA). Each has </w:t>
      </w:r>
      <w:r w:rsidRPr="00BE66DE">
        <w:rPr>
          <w:i/>
          <w:highlight w:val="yellow"/>
        </w:rPr>
        <w:t>unique facets. Focus the analysis on the differences.</w:t>
      </w:r>
    </w:p>
    <w:p w14:paraId="23811EE5" w14:textId="77777777" w:rsidR="002B3E80" w:rsidRPr="00BE66DE" w:rsidRDefault="002B3E80" w:rsidP="002B3E80">
      <w:pPr>
        <w:autoSpaceDE w:val="0"/>
        <w:autoSpaceDN w:val="0"/>
        <w:adjustRightInd w:val="0"/>
        <w:rPr>
          <w:highlight w:val="yellow"/>
        </w:rPr>
      </w:pPr>
      <w:r w:rsidRPr="00BE66DE">
        <w:rPr>
          <w:b/>
          <w:highlight w:val="yellow"/>
        </w:rPr>
        <w:t>Answer</w:t>
      </w:r>
      <w:r w:rsidRPr="00BE66DE">
        <w:rPr>
          <w:highlight w:val="yellow"/>
        </w:rPr>
        <w:t>:</w:t>
      </w:r>
    </w:p>
    <w:p w14:paraId="3C145949" w14:textId="77777777" w:rsidR="006A0C19" w:rsidRDefault="006A0C19"/>
    <w:p w14:paraId="0B3F5DDE" w14:textId="2B34BECA" w:rsidR="006F3AEB" w:rsidRDefault="009130D7" w:rsidP="009130D7">
      <w:r>
        <w:lastRenderedPageBreak/>
        <w:t>T</w:t>
      </w:r>
      <w:r w:rsidR="00F36E6D">
        <w:t>he</w:t>
      </w:r>
      <w:r>
        <w:t xml:space="preserve"> mentioned</w:t>
      </w:r>
      <w:r w:rsidR="00F36E6D">
        <w:t xml:space="preserve"> subtyping systems are all unsupervised hierarchical clustering </w:t>
      </w:r>
      <w:r w:rsidR="0092476F">
        <w:t>approaches</w:t>
      </w:r>
      <w:r w:rsidR="0096196E">
        <w:t xml:space="preserve"> that were performed on datasets in which samples represented </w:t>
      </w:r>
      <w:r w:rsidR="00B63FA3">
        <w:t>independent</w:t>
      </w:r>
      <w:r w:rsidR="0096196E">
        <w:t xml:space="preserve"> patient</w:t>
      </w:r>
      <w:r w:rsidR="00B63FA3">
        <w:t>s</w:t>
      </w:r>
      <w:r w:rsidR="0096196E">
        <w:t xml:space="preserve">. Furthermore, these systems were defined using datasets with hundreds of samples. Our modest dataset, </w:t>
      </w:r>
      <w:r w:rsidR="003C6F33">
        <w:t xml:space="preserve">with </w:t>
      </w:r>
      <w:r w:rsidR="0096196E">
        <w:t xml:space="preserve">multiple samples </w:t>
      </w:r>
      <w:r w:rsidR="003C6F33">
        <w:t>coming from</w:t>
      </w:r>
      <w:r w:rsidR="0096196E">
        <w:t xml:space="preserve"> </w:t>
      </w:r>
      <w:r w:rsidR="003C6F33">
        <w:t>the same</w:t>
      </w:r>
      <w:r w:rsidR="0096196E">
        <w:t xml:space="preserve"> patient</w:t>
      </w:r>
      <w:r w:rsidR="003C6F33">
        <w:t xml:space="preserve"> in some cases</w:t>
      </w:r>
      <w:r w:rsidR="0096196E">
        <w:t>,</w:t>
      </w:r>
      <w:r w:rsidR="0092476F">
        <w:t xml:space="preserve"> </w:t>
      </w:r>
      <w:r w:rsidR="0096196E">
        <w:t xml:space="preserve">is not </w:t>
      </w:r>
      <w:r w:rsidR="00410AC6">
        <w:t>well-suited</w:t>
      </w:r>
      <w:r w:rsidR="0096196E">
        <w:t xml:space="preserve"> to this sort of framework</w:t>
      </w:r>
      <w:r w:rsidR="007363D9">
        <w:t>.</w:t>
      </w:r>
      <w:r w:rsidR="0096196E">
        <w:t xml:space="preserve"> </w:t>
      </w:r>
      <w:r w:rsidR="007363D9">
        <w:t>U</w:t>
      </w:r>
      <w:r w:rsidR="0096196E">
        <w:t xml:space="preserve">sing a single sample classifier </w:t>
      </w:r>
      <w:r w:rsidR="00C21313">
        <w:t>approach</w:t>
      </w:r>
      <w:r w:rsidR="00A25E3B">
        <w:t xml:space="preserve">, which does not rely on </w:t>
      </w:r>
      <w:r w:rsidR="00837388">
        <w:t>sample-to-sample</w:t>
      </w:r>
      <w:r w:rsidR="00A25E3B">
        <w:t xml:space="preserve"> </w:t>
      </w:r>
      <w:r w:rsidR="007C2D73">
        <w:t>variation</w:t>
      </w:r>
      <w:r w:rsidR="00A25E3B">
        <w:t>,</w:t>
      </w:r>
      <w:r w:rsidR="00C21313">
        <w:t xml:space="preserve"> therefore ma</w:t>
      </w:r>
      <w:r w:rsidR="00837388">
        <w:t>de</w:t>
      </w:r>
      <w:r w:rsidR="00C21313">
        <w:t xml:space="preserve"> sense for this dataset. Nonetheless, </w:t>
      </w:r>
      <w:r w:rsidR="0096196E">
        <w:t>we</w:t>
      </w:r>
      <w:r w:rsidR="00F36E6D">
        <w:t xml:space="preserve"> f</w:t>
      </w:r>
      <w:r w:rsidR="00C21313">
        <w:t>ound</w:t>
      </w:r>
      <w:r w:rsidR="00F36E6D">
        <w:t xml:space="preserve"> it reasonable</w:t>
      </w:r>
      <w:r w:rsidR="000914CA">
        <w:t xml:space="preserve"> to attempt</w:t>
      </w:r>
      <w:r>
        <w:t xml:space="preserve"> </w:t>
      </w:r>
      <w:r w:rsidR="00F36E6D">
        <w:t xml:space="preserve">to recapitulate </w:t>
      </w:r>
      <w:r w:rsidR="00321BB4">
        <w:t>the</w:t>
      </w:r>
      <w:r w:rsidR="00F36E6D">
        <w:t xml:space="preserve"> </w:t>
      </w:r>
      <w:r w:rsidR="00951C34">
        <w:t xml:space="preserve">unsupervised clustering </w:t>
      </w:r>
      <w:r w:rsidR="00F36E6D">
        <w:t>analy</w:t>
      </w:r>
      <w:r w:rsidR="00951C34">
        <w:t>sis</w:t>
      </w:r>
      <w:r w:rsidR="00F36E6D">
        <w:t xml:space="preserve"> using our data</w:t>
      </w:r>
      <w:r w:rsidR="006A7608">
        <w:t xml:space="preserve"> (mentioned in the response above)</w:t>
      </w:r>
      <w:r w:rsidR="0092476F">
        <w:t>. C</w:t>
      </w:r>
      <w:r w:rsidR="00FB683C">
        <w:t xml:space="preserve">onsequently, </w:t>
      </w:r>
      <w:r w:rsidR="00F54C60">
        <w:t>using</w:t>
      </w:r>
      <w:r w:rsidR="00FB683C">
        <w:t xml:space="preserve"> hierarchical clustering</w:t>
      </w:r>
      <w:r w:rsidR="00C97B98">
        <w:t>, we</w:t>
      </w:r>
      <w:r w:rsidR="00FB683C">
        <w:t xml:space="preserve"> identif</w:t>
      </w:r>
      <w:r w:rsidR="00C97B98">
        <w:t>ied</w:t>
      </w:r>
      <w:r w:rsidR="00FB683C">
        <w:t xml:space="preserve"> </w:t>
      </w:r>
      <w:commentRangeStart w:id="1"/>
      <w:r w:rsidR="006A7608" w:rsidRPr="006A7608">
        <w:rPr>
          <w:color w:val="EE0000"/>
        </w:rPr>
        <w:t>[Ting: insert some interpretations here].</w:t>
      </w:r>
      <w:commentRangeEnd w:id="1"/>
      <w:r w:rsidR="00E06936">
        <w:rPr>
          <w:rStyle w:val="CommentReference"/>
          <w:sz w:val="24"/>
          <w:szCs w:val="24"/>
        </w:rPr>
        <w:commentReference w:id="1"/>
      </w:r>
      <w:r w:rsidR="006A7608">
        <w:t xml:space="preserve"> </w:t>
      </w:r>
      <w:r w:rsidR="00FB683C">
        <w:t>This analysis has been added to the manuscript</w:t>
      </w:r>
      <w:r w:rsidR="004A4E0D">
        <w:t>’s supplement</w:t>
      </w:r>
      <w:r w:rsidR="00FB683C">
        <w:t xml:space="preserve">. </w:t>
      </w:r>
    </w:p>
    <w:p w14:paraId="55B49249" w14:textId="77777777" w:rsidR="00726EB2" w:rsidRDefault="00726EB2" w:rsidP="009130D7"/>
    <w:p w14:paraId="0542B3EE" w14:textId="29C22FC5" w:rsidR="00726EB2" w:rsidRPr="00726EB2" w:rsidRDefault="00726EB2" w:rsidP="009130D7">
      <w:pPr>
        <w:rPr>
          <w:color w:val="EE0000"/>
        </w:rPr>
      </w:pPr>
      <w:r>
        <w:rPr>
          <w:color w:val="EE0000"/>
        </w:rPr>
        <w:t xml:space="preserve">I can provide more methods writing regarding these methods, if necessary. </w:t>
      </w:r>
      <w:r w:rsidR="00E86003">
        <w:rPr>
          <w:color w:val="EE0000"/>
        </w:rPr>
        <w:t>Just let me know!</w:t>
      </w:r>
    </w:p>
    <w:p w14:paraId="10F9EC01" w14:textId="77777777" w:rsidR="002B3E80" w:rsidRDefault="002B3E80"/>
    <w:p w14:paraId="43AC3D75" w14:textId="41BE886C" w:rsidR="002B3E80" w:rsidRDefault="002B3E80">
      <w:pPr>
        <w:rPr>
          <w:i/>
        </w:rPr>
      </w:pPr>
      <w:r w:rsidRPr="008D500D">
        <w:rPr>
          <w:b/>
          <w:u w:val="single"/>
        </w:rPr>
        <w:t>Reviewer #2</w:t>
      </w:r>
      <w:r>
        <w:t xml:space="preserve">: </w:t>
      </w:r>
      <w:r w:rsidRPr="009D2321">
        <w:rPr>
          <w:i/>
        </w:rPr>
        <w:t xml:space="preserve">Summary: This manuscript investigates the ST profiles and consensus molecular classifications of MP, PC, and SM urothelial carcinoma using GeoMx DSP. The authors report substantial intratumoral heterogeneity, with adjacent histologic regions frequently corresponding to different molecular classes and identify subtype-specific transcriptional and </w:t>
      </w:r>
      <w:r w:rsidRPr="009D2321">
        <w:rPr>
          <w:i/>
        </w:rPr>
        <w:t>pathway-level differences. However, several methodological and interpretative limitations reduce the strength of the conclusions and should be addressed.</w:t>
      </w:r>
    </w:p>
    <w:p w14:paraId="05E60656" w14:textId="77777777" w:rsidR="002B3E80" w:rsidRDefault="002B3E80">
      <w:pPr>
        <w:rPr>
          <w:i/>
        </w:rPr>
      </w:pPr>
    </w:p>
    <w:p w14:paraId="7884E9DF" w14:textId="77777777" w:rsidR="002B3E80" w:rsidRDefault="002B3E80" w:rsidP="002B3E80">
      <w:pPr>
        <w:autoSpaceDE w:val="0"/>
        <w:autoSpaceDN w:val="0"/>
        <w:adjustRightInd w:val="0"/>
        <w:rPr>
          <w:i/>
        </w:rPr>
      </w:pPr>
      <w:r w:rsidRPr="00564321">
        <w:rPr>
          <w:highlight w:val="yellow"/>
        </w:rPr>
        <w:t xml:space="preserve">3. </w:t>
      </w:r>
      <w:r w:rsidRPr="00564321">
        <w:rPr>
          <w:i/>
          <w:highlight w:val="yellow"/>
        </w:rPr>
        <w:t>Potential pseudoreplication and statistical independence: Multiple AOIs are derived from the same patient, yet analyses appear to treat AOIs as independent observations. While the methods note inclusion of patient identifiers "when applicable", the implementation is unclear.</w:t>
      </w:r>
      <w:r w:rsidRPr="00564321">
        <w:rPr>
          <w:i/>
          <w:highlight w:val="yellow"/>
        </w:rPr>
        <w:br/>
        <w:t>Recommendation: Clarify the statistical modeling approach and consider mixed-effects models or patient-level clustering adjustments. This is critical to avoid inflated significance.</w:t>
      </w:r>
    </w:p>
    <w:p w14:paraId="1E0D0B45" w14:textId="77777777" w:rsidR="002B3E80" w:rsidRDefault="002B3E80" w:rsidP="002B3E80">
      <w:pPr>
        <w:autoSpaceDE w:val="0"/>
        <w:autoSpaceDN w:val="0"/>
        <w:adjustRightInd w:val="0"/>
      </w:pPr>
      <w:r w:rsidRPr="00667C17">
        <w:rPr>
          <w:b/>
          <w:highlight w:val="yellow"/>
        </w:rPr>
        <w:t>Answer</w:t>
      </w:r>
      <w:r w:rsidRPr="00667C17">
        <w:rPr>
          <w:highlight w:val="yellow"/>
        </w:rPr>
        <w:t>:</w:t>
      </w:r>
      <w:r>
        <w:t xml:space="preserve"> </w:t>
      </w:r>
    </w:p>
    <w:p w14:paraId="04B395C2" w14:textId="77777777" w:rsidR="002B3E80" w:rsidRDefault="002B3E80"/>
    <w:p w14:paraId="13CEAC98" w14:textId="19C32B7A" w:rsidR="002F149D" w:rsidRDefault="002F149D" w:rsidP="000459D5">
      <w:pPr>
        <w:ind w:firstLine="720"/>
      </w:pPr>
      <w:r>
        <w:t xml:space="preserve">Thank you for this astute comment. We have made the modeling approach clear by adding details to the </w:t>
      </w:r>
      <w:r w:rsidR="00C451E9">
        <w:t xml:space="preserve">computational </w:t>
      </w:r>
      <w:r>
        <w:t xml:space="preserve">methods section. </w:t>
      </w:r>
      <w:r w:rsidR="00F32E53">
        <w:t>Current</w:t>
      </w:r>
      <w:r>
        <w:t xml:space="preserve"> popular tools</w:t>
      </w:r>
      <w:r w:rsidR="00183CF6">
        <w:t xml:space="preserve"> for DE</w:t>
      </w:r>
      <w:r>
        <w:t>, including DESeq2</w:t>
      </w:r>
      <w:r w:rsidR="00211F3A">
        <w:t xml:space="preserve"> and </w:t>
      </w:r>
      <w:r>
        <w:t xml:space="preserve">limma, do not accommodate mixed-effects models. However, these tools have their own benefits, such as </w:t>
      </w:r>
      <w:r w:rsidR="008E0008">
        <w:t>precision sample weights and/or empirical Bayes</w:t>
      </w:r>
      <w:r w:rsidR="00337F41">
        <w:t xml:space="preserve"> estimation. </w:t>
      </w:r>
      <w:r w:rsidR="000A423D">
        <w:t>Forgoing use of these tools</w:t>
      </w:r>
      <w:r w:rsidR="006E1D93">
        <w:t>, thereby</w:t>
      </w:r>
      <w:r w:rsidR="00912DAF">
        <w:t xml:space="preserve"> </w:t>
      </w:r>
      <w:r w:rsidR="000A423D">
        <w:t>f</w:t>
      </w:r>
      <w:r w:rsidR="009C5241">
        <w:t xml:space="preserve">itting </w:t>
      </w:r>
      <w:r w:rsidR="004E36CB">
        <w:t xml:space="preserve">a </w:t>
      </w:r>
      <w:r w:rsidR="009C5241">
        <w:t>wholly separate mixed model</w:t>
      </w:r>
      <w:r w:rsidR="00EC7730">
        <w:t xml:space="preserve"> </w:t>
      </w:r>
      <w:r w:rsidR="009C5241">
        <w:t xml:space="preserve">for </w:t>
      </w:r>
      <w:r w:rsidR="006077DF">
        <w:t>e</w:t>
      </w:r>
      <w:r w:rsidR="00EC7730">
        <w:t>ach</w:t>
      </w:r>
      <w:r w:rsidR="009C5241">
        <w:t xml:space="preserve"> gene</w:t>
      </w:r>
      <w:r w:rsidR="00912DAF">
        <w:t>,</w:t>
      </w:r>
      <w:r w:rsidR="0040682B">
        <w:t xml:space="preserve"> </w:t>
      </w:r>
      <w:r w:rsidR="00EC7730">
        <w:t xml:space="preserve">would </w:t>
      </w:r>
      <w:r w:rsidR="009C5241">
        <w:t xml:space="preserve">prevent leveraging these </w:t>
      </w:r>
      <w:r w:rsidR="000A423D">
        <w:t xml:space="preserve">important </w:t>
      </w:r>
      <w:r w:rsidR="009C5241">
        <w:t xml:space="preserve">features. Therefore, we chose to adhere to the implementation of DESeq2 and provide patient ID as a fixed effect whenever possible. For a small number of comparisons, the DESeq2 model could not </w:t>
      </w:r>
      <w:r w:rsidR="007B78CF">
        <w:t xml:space="preserve">be </w:t>
      </w:r>
      <w:r w:rsidR="009C5241">
        <w:t>fit</w:t>
      </w:r>
      <w:r w:rsidR="00117822">
        <w:t xml:space="preserve"> when patient ID was provided as a predictor, due to linear dependence. </w:t>
      </w:r>
      <w:r w:rsidR="00AB37FD">
        <w:t>In these cases, we omitted the patient ID effect.</w:t>
      </w:r>
      <w:r w:rsidR="000459D5">
        <w:t xml:space="preserve"> </w:t>
      </w:r>
      <w:r w:rsidR="007B78CF">
        <w:t xml:space="preserve">This is now mentioned in the manuscript. </w:t>
      </w:r>
    </w:p>
    <w:p w14:paraId="33911AE3" w14:textId="1B481916" w:rsidR="000459D5" w:rsidRDefault="000459D5" w:rsidP="00667C17">
      <w:pPr>
        <w:ind w:firstLine="720"/>
      </w:pPr>
      <w:r>
        <w:t>In addition, an acknowledgement of mixed-effects modeling has been added to the limitations within the discussion section.</w:t>
      </w:r>
      <w:r w:rsidR="004018E4">
        <w:t xml:space="preserve"> We explain that </w:t>
      </w:r>
      <w:r w:rsidR="00547788">
        <w:t xml:space="preserve">exploring </w:t>
      </w:r>
      <w:r w:rsidR="004018E4">
        <w:t xml:space="preserve">alternative modeling approaches may </w:t>
      </w:r>
      <w:r w:rsidR="00547788">
        <w:t xml:space="preserve">be warranted </w:t>
      </w:r>
      <w:r w:rsidR="004018E4">
        <w:t xml:space="preserve">for our specific study design. </w:t>
      </w:r>
      <w:r w:rsidR="00EC6257">
        <w:t>To expand</w:t>
      </w:r>
      <w:r w:rsidR="00057212">
        <w:t>, t</w:t>
      </w:r>
      <w:r>
        <w:t xml:space="preserve">he variancePartition </w:t>
      </w:r>
      <w:r w:rsidR="00057212">
        <w:t xml:space="preserve">R </w:t>
      </w:r>
      <w:r>
        <w:t xml:space="preserve">package is a less popular tool that extends the limma framework </w:t>
      </w:r>
      <w:r w:rsidR="00A33CB6">
        <w:t>for</w:t>
      </w:r>
      <w:r>
        <w:t xml:space="preserve"> </w:t>
      </w:r>
      <w:r w:rsidR="00A33CB6">
        <w:t>compatibility</w:t>
      </w:r>
      <w:r>
        <w:t xml:space="preserve"> with mixed models. </w:t>
      </w:r>
      <w:r w:rsidR="004018E4">
        <w:t>The manuscript now recognizes this tool</w:t>
      </w:r>
      <w:r w:rsidR="006440E1">
        <w:t xml:space="preserve"> to offer prospective readers an avenue to evaluate our data with this alternative method</w:t>
      </w:r>
      <w:r w:rsidR="00845551">
        <w:t xml:space="preserve">. </w:t>
      </w:r>
    </w:p>
    <w:p w14:paraId="47854C20" w14:textId="77777777" w:rsidR="004B467C" w:rsidRDefault="004B467C"/>
    <w:p w14:paraId="57C2F8A6" w14:textId="77777777" w:rsidR="002B3E80" w:rsidRDefault="002B3E80" w:rsidP="002B3E80">
      <w:pPr>
        <w:autoSpaceDE w:val="0"/>
        <w:autoSpaceDN w:val="0"/>
        <w:adjustRightInd w:val="0"/>
      </w:pPr>
      <w:r w:rsidRPr="00A00B75">
        <w:t>Minor Comments</w:t>
      </w:r>
      <w:r w:rsidRPr="00A00B75">
        <w:br/>
        <w:t>1. Methodological clarity:</w:t>
      </w:r>
      <w:r w:rsidRPr="00A00B75">
        <w:br/>
        <w:t>*       AOI selection criteria are not fully standardized</w:t>
      </w:r>
      <w:r w:rsidRPr="00A00B75">
        <w:br/>
      </w:r>
      <w:r w:rsidRPr="00A00B75">
        <w:lastRenderedPageBreak/>
        <w:t xml:space="preserve">*       </w:t>
      </w:r>
      <w:r w:rsidRPr="0065180A">
        <w:rPr>
          <w:highlight w:val="yellow"/>
        </w:rPr>
        <w:t>QC thresholds are not quantitatively defined</w:t>
      </w:r>
      <w:r w:rsidRPr="00A00B75">
        <w:br/>
        <w:t>Recommendation:</w:t>
      </w:r>
      <w:r w:rsidRPr="00A00B75">
        <w:br/>
        <w:t>Provide explicit criteria to improve reproducibility.</w:t>
      </w:r>
    </w:p>
    <w:p w14:paraId="65BC9F92" w14:textId="77777777" w:rsidR="00E857B1" w:rsidRDefault="002B3E80" w:rsidP="002B3E80">
      <w:pPr>
        <w:autoSpaceDE w:val="0"/>
        <w:autoSpaceDN w:val="0"/>
        <w:adjustRightInd w:val="0"/>
      </w:pPr>
      <w:r w:rsidRPr="00514E34">
        <w:rPr>
          <w:b/>
        </w:rPr>
        <w:t>Answer</w:t>
      </w:r>
      <w:r w:rsidRPr="00D40A2A">
        <w:t>:</w:t>
      </w:r>
      <w:r>
        <w:t xml:space="preserve"> </w:t>
      </w:r>
      <w:bookmarkStart w:id="2" w:name="_Hlk231742877"/>
    </w:p>
    <w:p w14:paraId="2FF7489A" w14:textId="77777777" w:rsidR="00E857B1" w:rsidRDefault="00E857B1" w:rsidP="002B3E80">
      <w:pPr>
        <w:autoSpaceDE w:val="0"/>
        <w:autoSpaceDN w:val="0"/>
        <w:adjustRightInd w:val="0"/>
      </w:pPr>
    </w:p>
    <w:p w14:paraId="6DC9CDCC" w14:textId="5C58E1FD" w:rsidR="002B3E80" w:rsidRPr="00464F80" w:rsidRDefault="002B3E80" w:rsidP="00464F80">
      <w:pPr>
        <w:pStyle w:val="ListParagraph"/>
        <w:numPr>
          <w:ilvl w:val="0"/>
          <w:numId w:val="2"/>
        </w:numPr>
        <w:autoSpaceDE w:val="0"/>
        <w:autoSpaceDN w:val="0"/>
        <w:adjustRightInd w:val="0"/>
      </w:pPr>
      <w:r w:rsidRPr="00177FE4">
        <w:t>ROIs of different sizes (up to 660 × 785 µm) and shapes (rectangles, squares, and freehand polygons) were manually annotated, as previously described (PMID: 35847846), to capture representative histologic regions while maintaining adequate nuclei density and signal quality for analysis. ROI selection was guided by corresponding H&amp;E and fluorescence-stained sections, with avoidance of regions showing tissue folding, necrosis, low cellularity, or poor fluorescence signal.</w:t>
      </w:r>
      <w:bookmarkEnd w:id="2"/>
      <w:r>
        <w:t xml:space="preserve"> </w:t>
      </w:r>
      <w:r w:rsidRPr="00464F80">
        <w:rPr>
          <w:bCs/>
        </w:rPr>
        <w:t>Repeated ROIs were selected for seven histologic components to evaluate intratumoral consistency.</w:t>
      </w:r>
      <w:r w:rsidR="00E857B1" w:rsidRPr="00464F80">
        <w:rPr>
          <w:bCs/>
        </w:rPr>
        <w:t xml:space="preserve"> </w:t>
      </w:r>
    </w:p>
    <w:p w14:paraId="09907665" w14:textId="4271AC1D" w:rsidR="00464F80" w:rsidRDefault="00464F80" w:rsidP="00F302FE">
      <w:pPr>
        <w:pStyle w:val="ListParagraph"/>
        <w:numPr>
          <w:ilvl w:val="0"/>
          <w:numId w:val="2"/>
        </w:numPr>
        <w:autoSpaceDE w:val="0"/>
        <w:autoSpaceDN w:val="0"/>
        <w:adjustRightInd w:val="0"/>
      </w:pPr>
      <w:r>
        <w:rPr>
          <w:bCs/>
        </w:rPr>
        <w:t xml:space="preserve">Detail has been added to the computational methods section of the manuscript. The precise thresholds are now explicitly defined. </w:t>
      </w:r>
      <w:r w:rsidR="00BC6C9E">
        <w:rPr>
          <w:bCs/>
        </w:rPr>
        <w:t xml:space="preserve">Note that these thresholds are also documented in the project code, </w:t>
      </w:r>
      <w:r w:rsidR="00EE604F">
        <w:rPr>
          <w:bCs/>
        </w:rPr>
        <w:t>which is accessible</w:t>
      </w:r>
      <w:r w:rsidR="00BC6C9E">
        <w:rPr>
          <w:bCs/>
        </w:rPr>
        <w:t xml:space="preserve"> on GitHub.</w:t>
      </w:r>
      <w:r w:rsidR="00461FF6">
        <w:rPr>
          <w:bCs/>
        </w:rPr>
        <w:t xml:space="preserve"> The repository which holds the code is linked in the methods section.</w:t>
      </w:r>
    </w:p>
    <w:p w14:paraId="052E2EB8" w14:textId="77777777" w:rsidR="002B3E80" w:rsidRDefault="002B3E80"/>
    <w:sectPr w:rsidR="002B3E8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Nawrocki, Cole Charles (ccn7wn)" w:date="2026-06-15T17:48:00Z" w:initials="NCC(">
    <w:p w14:paraId="074AF091" w14:textId="77777777" w:rsidR="00160398" w:rsidRDefault="00160398" w:rsidP="00160398">
      <w:r>
        <w:rPr>
          <w:rStyle w:val="CommentReference"/>
        </w:rPr>
        <w:annotationRef/>
      </w:r>
      <w:r>
        <w:rPr>
          <w:sz w:val="20"/>
          <w:szCs w:val="20"/>
        </w:rPr>
        <w:t>Ting: cite these if you see fit.</w:t>
      </w:r>
    </w:p>
  </w:comment>
  <w:comment w:id="1" w:author="Nawrocki, Cole Charles (ccn7wn)" w:date="2026-07-03T17:26:00Z" w:initials="NCC(">
    <w:p w14:paraId="18688D2E" w14:textId="77777777" w:rsidR="00E06936" w:rsidRDefault="00E06936" w:rsidP="00E06936">
      <w:r>
        <w:rPr>
          <w:rStyle w:val="CommentReference"/>
        </w:rPr>
        <w:annotationRef/>
      </w:r>
      <w:r>
        <w:rPr>
          <w:sz w:val="20"/>
          <w:szCs w:val="20"/>
        </w:rPr>
        <w:t>I think you will be able to write about some interesting points.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74AF091" w15:done="0"/>
  <w15:commentEx w15:paraId="18688D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AC4D002" w16cex:dateUtc="2026-06-15T21:48:00Z"/>
  <w16cex:commentExtensible w16cex:durableId="63EB9D8B" w16cex:dateUtc="2026-07-03T21: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74AF091" w16cid:durableId="1AC4D002"/>
  <w16cid:commentId w16cid:paraId="18688D2E" w16cid:durableId="63EB9D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ECB32D" w14:textId="77777777" w:rsidR="00900536" w:rsidRDefault="00900536" w:rsidP="002B3E80">
      <w:r>
        <w:separator/>
      </w:r>
    </w:p>
  </w:endnote>
  <w:endnote w:type="continuationSeparator" w:id="0">
    <w:p w14:paraId="22589B78" w14:textId="77777777" w:rsidR="00900536" w:rsidRDefault="00900536" w:rsidP="002B3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8FB411" w14:textId="77777777" w:rsidR="00900536" w:rsidRDefault="00900536" w:rsidP="002B3E80">
      <w:r>
        <w:separator/>
      </w:r>
    </w:p>
  </w:footnote>
  <w:footnote w:type="continuationSeparator" w:id="0">
    <w:p w14:paraId="3D290828" w14:textId="77777777" w:rsidR="00900536" w:rsidRDefault="00900536" w:rsidP="002B3E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283315"/>
    <w:multiLevelType w:val="hybridMultilevel"/>
    <w:tmpl w:val="A9D28D7C"/>
    <w:lvl w:ilvl="0" w:tplc="E04C3E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B45D35"/>
    <w:multiLevelType w:val="hybridMultilevel"/>
    <w:tmpl w:val="25E40BBA"/>
    <w:lvl w:ilvl="0" w:tplc="68D2D3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364957"/>
    <w:multiLevelType w:val="hybridMultilevel"/>
    <w:tmpl w:val="D6B44408"/>
    <w:lvl w:ilvl="0" w:tplc="1458F0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7096211">
    <w:abstractNumId w:val="1"/>
  </w:num>
  <w:num w:numId="2" w16cid:durableId="948119493">
    <w:abstractNumId w:val="0"/>
  </w:num>
  <w:num w:numId="3" w16cid:durableId="19222809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awrocki, Cole Charles (ccn7wn)">
    <w15:presenceInfo w15:providerId="AD" w15:userId="S::ccn7wn@virginia.edu::3ac95240-afc2-411b-a6c0-3d09cc662cb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2D4"/>
    <w:rsid w:val="000255C6"/>
    <w:rsid w:val="00030B38"/>
    <w:rsid w:val="00030C70"/>
    <w:rsid w:val="000344A7"/>
    <w:rsid w:val="000459D5"/>
    <w:rsid w:val="00057212"/>
    <w:rsid w:val="00066304"/>
    <w:rsid w:val="000713A0"/>
    <w:rsid w:val="000914CA"/>
    <w:rsid w:val="000926F7"/>
    <w:rsid w:val="000A423D"/>
    <w:rsid w:val="000B3BD1"/>
    <w:rsid w:val="000E21B5"/>
    <w:rsid w:val="001047B2"/>
    <w:rsid w:val="00117822"/>
    <w:rsid w:val="00160398"/>
    <w:rsid w:val="00183CF6"/>
    <w:rsid w:val="00185495"/>
    <w:rsid w:val="001A37E5"/>
    <w:rsid w:val="001C4CCB"/>
    <w:rsid w:val="001E1821"/>
    <w:rsid w:val="001E38F5"/>
    <w:rsid w:val="001F69F4"/>
    <w:rsid w:val="00201C25"/>
    <w:rsid w:val="002047F7"/>
    <w:rsid w:val="00211F3A"/>
    <w:rsid w:val="002310BF"/>
    <w:rsid w:val="00275B2C"/>
    <w:rsid w:val="002950EB"/>
    <w:rsid w:val="002A52FA"/>
    <w:rsid w:val="002B01DE"/>
    <w:rsid w:val="002B3E80"/>
    <w:rsid w:val="002E045D"/>
    <w:rsid w:val="002E5C1A"/>
    <w:rsid w:val="002F149D"/>
    <w:rsid w:val="00321BB4"/>
    <w:rsid w:val="00337F41"/>
    <w:rsid w:val="00352449"/>
    <w:rsid w:val="00376A38"/>
    <w:rsid w:val="0038029F"/>
    <w:rsid w:val="003B1821"/>
    <w:rsid w:val="003C2CBB"/>
    <w:rsid w:val="003C6F33"/>
    <w:rsid w:val="003F5632"/>
    <w:rsid w:val="004018E4"/>
    <w:rsid w:val="0040682B"/>
    <w:rsid w:val="00410AC6"/>
    <w:rsid w:val="0043474A"/>
    <w:rsid w:val="00435167"/>
    <w:rsid w:val="00461FF6"/>
    <w:rsid w:val="00464F80"/>
    <w:rsid w:val="004656A7"/>
    <w:rsid w:val="00476FA6"/>
    <w:rsid w:val="00486E0C"/>
    <w:rsid w:val="004A4E0D"/>
    <w:rsid w:val="004A5D56"/>
    <w:rsid w:val="004B42C1"/>
    <w:rsid w:val="004B467C"/>
    <w:rsid w:val="004D0546"/>
    <w:rsid w:val="004D17B4"/>
    <w:rsid w:val="004D48BF"/>
    <w:rsid w:val="004E36CB"/>
    <w:rsid w:val="00546742"/>
    <w:rsid w:val="00547788"/>
    <w:rsid w:val="00571C06"/>
    <w:rsid w:val="00593CBA"/>
    <w:rsid w:val="006047FA"/>
    <w:rsid w:val="006077DF"/>
    <w:rsid w:val="00613A57"/>
    <w:rsid w:val="00622459"/>
    <w:rsid w:val="0063597E"/>
    <w:rsid w:val="006440E1"/>
    <w:rsid w:val="00667C17"/>
    <w:rsid w:val="00671ED5"/>
    <w:rsid w:val="00684185"/>
    <w:rsid w:val="006A0C19"/>
    <w:rsid w:val="006A7608"/>
    <w:rsid w:val="006D3210"/>
    <w:rsid w:val="006E1D93"/>
    <w:rsid w:val="006F27A4"/>
    <w:rsid w:val="006F3AEB"/>
    <w:rsid w:val="00710E55"/>
    <w:rsid w:val="00726EB2"/>
    <w:rsid w:val="007363D9"/>
    <w:rsid w:val="00767C93"/>
    <w:rsid w:val="00774CDC"/>
    <w:rsid w:val="00782FF1"/>
    <w:rsid w:val="007966B8"/>
    <w:rsid w:val="00796E56"/>
    <w:rsid w:val="007B78CF"/>
    <w:rsid w:val="007C2D73"/>
    <w:rsid w:val="007C7A60"/>
    <w:rsid w:val="008349A1"/>
    <w:rsid w:val="00837388"/>
    <w:rsid w:val="00845551"/>
    <w:rsid w:val="00876E96"/>
    <w:rsid w:val="00882EA7"/>
    <w:rsid w:val="008A39C3"/>
    <w:rsid w:val="008B4903"/>
    <w:rsid w:val="008B5228"/>
    <w:rsid w:val="008C379F"/>
    <w:rsid w:val="008E0008"/>
    <w:rsid w:val="008F063E"/>
    <w:rsid w:val="008F67BA"/>
    <w:rsid w:val="00900536"/>
    <w:rsid w:val="00906D46"/>
    <w:rsid w:val="00907EE0"/>
    <w:rsid w:val="00912DAF"/>
    <w:rsid w:val="009130D7"/>
    <w:rsid w:val="0092476F"/>
    <w:rsid w:val="009328E1"/>
    <w:rsid w:val="009378A8"/>
    <w:rsid w:val="0094229B"/>
    <w:rsid w:val="00951C34"/>
    <w:rsid w:val="0096196E"/>
    <w:rsid w:val="00964FDA"/>
    <w:rsid w:val="0097673A"/>
    <w:rsid w:val="00982E38"/>
    <w:rsid w:val="0099116D"/>
    <w:rsid w:val="009A7A9B"/>
    <w:rsid w:val="009C5241"/>
    <w:rsid w:val="009D35DE"/>
    <w:rsid w:val="009D7161"/>
    <w:rsid w:val="00A142B7"/>
    <w:rsid w:val="00A25E3B"/>
    <w:rsid w:val="00A33CB6"/>
    <w:rsid w:val="00A4037A"/>
    <w:rsid w:val="00A43A1F"/>
    <w:rsid w:val="00A526AD"/>
    <w:rsid w:val="00A574CE"/>
    <w:rsid w:val="00A94AE4"/>
    <w:rsid w:val="00AA1E39"/>
    <w:rsid w:val="00AB2CB2"/>
    <w:rsid w:val="00AB37FD"/>
    <w:rsid w:val="00AE0D87"/>
    <w:rsid w:val="00AE6035"/>
    <w:rsid w:val="00AF5907"/>
    <w:rsid w:val="00B112D4"/>
    <w:rsid w:val="00B43E7F"/>
    <w:rsid w:val="00B63FA3"/>
    <w:rsid w:val="00B65B10"/>
    <w:rsid w:val="00BC4748"/>
    <w:rsid w:val="00BC63AE"/>
    <w:rsid w:val="00BC6C9E"/>
    <w:rsid w:val="00BD39D8"/>
    <w:rsid w:val="00BD546C"/>
    <w:rsid w:val="00BF5A79"/>
    <w:rsid w:val="00C0034F"/>
    <w:rsid w:val="00C21313"/>
    <w:rsid w:val="00C4189C"/>
    <w:rsid w:val="00C451E9"/>
    <w:rsid w:val="00C61E47"/>
    <w:rsid w:val="00C66841"/>
    <w:rsid w:val="00C67CC2"/>
    <w:rsid w:val="00C97B98"/>
    <w:rsid w:val="00CA1CDB"/>
    <w:rsid w:val="00CA4548"/>
    <w:rsid w:val="00CC1F82"/>
    <w:rsid w:val="00CF48FC"/>
    <w:rsid w:val="00D02ABE"/>
    <w:rsid w:val="00D07E1D"/>
    <w:rsid w:val="00D11FAA"/>
    <w:rsid w:val="00D33844"/>
    <w:rsid w:val="00D41555"/>
    <w:rsid w:val="00D65F38"/>
    <w:rsid w:val="00D7491D"/>
    <w:rsid w:val="00D94078"/>
    <w:rsid w:val="00DB072A"/>
    <w:rsid w:val="00DB0A3E"/>
    <w:rsid w:val="00DB3E02"/>
    <w:rsid w:val="00E02B08"/>
    <w:rsid w:val="00E06936"/>
    <w:rsid w:val="00E327FB"/>
    <w:rsid w:val="00E62BE7"/>
    <w:rsid w:val="00E857B1"/>
    <w:rsid w:val="00E86003"/>
    <w:rsid w:val="00EC6257"/>
    <w:rsid w:val="00EC7730"/>
    <w:rsid w:val="00ED277F"/>
    <w:rsid w:val="00ED2B87"/>
    <w:rsid w:val="00ED306C"/>
    <w:rsid w:val="00ED5F0D"/>
    <w:rsid w:val="00EE10B4"/>
    <w:rsid w:val="00EE604F"/>
    <w:rsid w:val="00EF570A"/>
    <w:rsid w:val="00EF7483"/>
    <w:rsid w:val="00F302FE"/>
    <w:rsid w:val="00F32E53"/>
    <w:rsid w:val="00F34360"/>
    <w:rsid w:val="00F36E6D"/>
    <w:rsid w:val="00F53761"/>
    <w:rsid w:val="00F54C60"/>
    <w:rsid w:val="00F55452"/>
    <w:rsid w:val="00F555D0"/>
    <w:rsid w:val="00F906AC"/>
    <w:rsid w:val="00FB683C"/>
    <w:rsid w:val="00FF2D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BDFC4"/>
  <w15:chartTrackingRefBased/>
  <w15:docId w15:val="{0818A887-E8E6-45D1-9CA9-1E711140C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E80"/>
    <w:pPr>
      <w:spacing w:after="0" w:line="240" w:lineRule="auto"/>
    </w:pPr>
    <w:rPr>
      <w:rFonts w:ascii="Times New Roman" w:eastAsia="SimSun" w:hAnsi="Times New Roman" w:cs="Times New Roman"/>
      <w:kern w:val="0"/>
    </w:rPr>
  </w:style>
  <w:style w:type="paragraph" w:styleId="Heading1">
    <w:name w:val="heading 1"/>
    <w:basedOn w:val="Normal"/>
    <w:next w:val="Normal"/>
    <w:link w:val="Heading1Char"/>
    <w:uiPriority w:val="9"/>
    <w:qFormat/>
    <w:rsid w:val="00B112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12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12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12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12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12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2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2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2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2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12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12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12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12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1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2D4"/>
    <w:rPr>
      <w:rFonts w:eastAsiaTheme="majorEastAsia" w:cstheme="majorBidi"/>
      <w:color w:val="272727" w:themeColor="text1" w:themeTint="D8"/>
    </w:rPr>
  </w:style>
  <w:style w:type="paragraph" w:styleId="Title">
    <w:name w:val="Title"/>
    <w:basedOn w:val="Normal"/>
    <w:next w:val="Normal"/>
    <w:link w:val="TitleChar"/>
    <w:uiPriority w:val="10"/>
    <w:qFormat/>
    <w:rsid w:val="00B112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2D4"/>
    <w:pPr>
      <w:spacing w:before="160"/>
      <w:jc w:val="center"/>
    </w:pPr>
    <w:rPr>
      <w:i/>
      <w:iCs/>
      <w:color w:val="404040" w:themeColor="text1" w:themeTint="BF"/>
    </w:rPr>
  </w:style>
  <w:style w:type="character" w:customStyle="1" w:styleId="QuoteChar">
    <w:name w:val="Quote Char"/>
    <w:basedOn w:val="DefaultParagraphFont"/>
    <w:link w:val="Quote"/>
    <w:uiPriority w:val="29"/>
    <w:rsid w:val="00B112D4"/>
    <w:rPr>
      <w:i/>
      <w:iCs/>
      <w:color w:val="404040" w:themeColor="text1" w:themeTint="BF"/>
    </w:rPr>
  </w:style>
  <w:style w:type="paragraph" w:styleId="ListParagraph">
    <w:name w:val="List Paragraph"/>
    <w:basedOn w:val="Normal"/>
    <w:uiPriority w:val="34"/>
    <w:qFormat/>
    <w:rsid w:val="00B112D4"/>
    <w:pPr>
      <w:ind w:left="720"/>
      <w:contextualSpacing/>
    </w:pPr>
  </w:style>
  <w:style w:type="character" w:styleId="IntenseEmphasis">
    <w:name w:val="Intense Emphasis"/>
    <w:basedOn w:val="DefaultParagraphFont"/>
    <w:uiPriority w:val="21"/>
    <w:qFormat/>
    <w:rsid w:val="00B112D4"/>
    <w:rPr>
      <w:i/>
      <w:iCs/>
      <w:color w:val="2F5496" w:themeColor="accent1" w:themeShade="BF"/>
    </w:rPr>
  </w:style>
  <w:style w:type="paragraph" w:styleId="IntenseQuote">
    <w:name w:val="Intense Quote"/>
    <w:basedOn w:val="Normal"/>
    <w:next w:val="Normal"/>
    <w:link w:val="IntenseQuoteChar"/>
    <w:uiPriority w:val="30"/>
    <w:qFormat/>
    <w:rsid w:val="00B112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12D4"/>
    <w:rPr>
      <w:i/>
      <w:iCs/>
      <w:color w:val="2F5496" w:themeColor="accent1" w:themeShade="BF"/>
    </w:rPr>
  </w:style>
  <w:style w:type="character" w:styleId="IntenseReference">
    <w:name w:val="Intense Reference"/>
    <w:basedOn w:val="DefaultParagraphFont"/>
    <w:uiPriority w:val="32"/>
    <w:qFormat/>
    <w:rsid w:val="00B112D4"/>
    <w:rPr>
      <w:b/>
      <w:bCs/>
      <w:smallCaps/>
      <w:color w:val="2F5496" w:themeColor="accent1" w:themeShade="BF"/>
      <w:spacing w:val="5"/>
    </w:rPr>
  </w:style>
  <w:style w:type="paragraph" w:styleId="Header">
    <w:name w:val="header"/>
    <w:basedOn w:val="Normal"/>
    <w:link w:val="HeaderChar"/>
    <w:uiPriority w:val="99"/>
    <w:unhideWhenUsed/>
    <w:rsid w:val="002B3E80"/>
    <w:pPr>
      <w:tabs>
        <w:tab w:val="center" w:pos="4680"/>
        <w:tab w:val="right" w:pos="9360"/>
      </w:tabs>
    </w:pPr>
  </w:style>
  <w:style w:type="character" w:customStyle="1" w:styleId="HeaderChar">
    <w:name w:val="Header Char"/>
    <w:basedOn w:val="DefaultParagraphFont"/>
    <w:link w:val="Header"/>
    <w:uiPriority w:val="99"/>
    <w:rsid w:val="002B3E80"/>
  </w:style>
  <w:style w:type="paragraph" w:styleId="Footer">
    <w:name w:val="footer"/>
    <w:basedOn w:val="Normal"/>
    <w:link w:val="FooterChar"/>
    <w:uiPriority w:val="99"/>
    <w:unhideWhenUsed/>
    <w:rsid w:val="002B3E80"/>
    <w:pPr>
      <w:tabs>
        <w:tab w:val="center" w:pos="4680"/>
        <w:tab w:val="right" w:pos="9360"/>
      </w:tabs>
    </w:pPr>
  </w:style>
  <w:style w:type="character" w:customStyle="1" w:styleId="FooterChar">
    <w:name w:val="Footer Char"/>
    <w:basedOn w:val="DefaultParagraphFont"/>
    <w:link w:val="Footer"/>
    <w:uiPriority w:val="99"/>
    <w:rsid w:val="002B3E80"/>
  </w:style>
  <w:style w:type="paragraph" w:styleId="Revision">
    <w:name w:val="Revision"/>
    <w:hidden/>
    <w:uiPriority w:val="99"/>
    <w:semiHidden/>
    <w:rsid w:val="00710E55"/>
    <w:pPr>
      <w:spacing w:after="0" w:line="240" w:lineRule="auto"/>
    </w:pPr>
    <w:rPr>
      <w:rFonts w:ascii="Times New Roman" w:eastAsia="SimSun" w:hAnsi="Times New Roman" w:cs="Times New Roman"/>
      <w:kern w:val="0"/>
    </w:rPr>
  </w:style>
  <w:style w:type="character" w:styleId="CommentReference">
    <w:name w:val="annotation reference"/>
    <w:basedOn w:val="DefaultParagraphFont"/>
    <w:uiPriority w:val="99"/>
    <w:semiHidden/>
    <w:unhideWhenUsed/>
    <w:rsid w:val="00160398"/>
    <w:rPr>
      <w:sz w:val="16"/>
      <w:szCs w:val="16"/>
    </w:rPr>
  </w:style>
  <w:style w:type="paragraph" w:styleId="CommentText">
    <w:name w:val="annotation text"/>
    <w:basedOn w:val="Normal"/>
    <w:link w:val="CommentTextChar"/>
    <w:uiPriority w:val="99"/>
    <w:semiHidden/>
    <w:unhideWhenUsed/>
    <w:rsid w:val="00160398"/>
    <w:rPr>
      <w:sz w:val="20"/>
      <w:szCs w:val="20"/>
    </w:rPr>
  </w:style>
  <w:style w:type="character" w:customStyle="1" w:styleId="CommentTextChar">
    <w:name w:val="Comment Text Char"/>
    <w:basedOn w:val="DefaultParagraphFont"/>
    <w:link w:val="CommentText"/>
    <w:uiPriority w:val="99"/>
    <w:semiHidden/>
    <w:rsid w:val="00160398"/>
    <w:rPr>
      <w:rFonts w:ascii="Times New Roman" w:eastAsia="SimSun" w:hAnsi="Times New Roman" w:cs="Times New Roman"/>
      <w:kern w:val="0"/>
      <w:sz w:val="20"/>
      <w:szCs w:val="20"/>
    </w:rPr>
  </w:style>
  <w:style w:type="paragraph" w:styleId="CommentSubject">
    <w:name w:val="annotation subject"/>
    <w:basedOn w:val="CommentText"/>
    <w:next w:val="CommentText"/>
    <w:link w:val="CommentSubjectChar"/>
    <w:uiPriority w:val="99"/>
    <w:semiHidden/>
    <w:unhideWhenUsed/>
    <w:rsid w:val="00160398"/>
    <w:rPr>
      <w:b/>
      <w:bCs/>
    </w:rPr>
  </w:style>
  <w:style w:type="character" w:customStyle="1" w:styleId="CommentSubjectChar">
    <w:name w:val="Comment Subject Char"/>
    <w:basedOn w:val="CommentTextChar"/>
    <w:link w:val="CommentSubject"/>
    <w:uiPriority w:val="99"/>
    <w:semiHidden/>
    <w:rsid w:val="00160398"/>
    <w:rPr>
      <w:rFonts w:ascii="Times New Roman" w:eastAsia="SimSun" w:hAnsi="Times New Roman" w:cs="Times New Roman"/>
      <w:b/>
      <w:bCs/>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1122</Words>
  <Characters>6399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Ting,MD</dc:creator>
  <cp:keywords/>
  <dc:description/>
  <cp:lastModifiedBy>Nawrocki, Cole Charles (ccn7wn)</cp:lastModifiedBy>
  <cp:revision>2</cp:revision>
  <dcterms:created xsi:type="dcterms:W3CDTF">2026-07-03T21:27:00Z</dcterms:created>
  <dcterms:modified xsi:type="dcterms:W3CDTF">2026-07-03T21:27:00Z</dcterms:modified>
</cp:coreProperties>
</file>