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FDD2C" w14:textId="77777777" w:rsidR="005931AA" w:rsidRDefault="0092242D" w:rsidP="0092242D">
      <w:pPr>
        <w:spacing w:after="0" w:line="240" w:lineRule="auto"/>
        <w:rPr>
          <w:rFonts w:ascii="Arial" w:eastAsia="Times New Roman" w:hAnsi="Arial" w:cs="Arial"/>
          <w:color w:val="212121"/>
          <w:kern w:val="0"/>
          <w:sz w:val="22"/>
          <w:szCs w:val="22"/>
          <w14:ligatures w14:val="none"/>
        </w:rPr>
      </w:pPr>
      <w:r w:rsidRPr="0092242D">
        <w:rPr>
          <w:rFonts w:ascii="Arial" w:eastAsia="Times New Roman" w:hAnsi="Arial" w:cs="Arial"/>
          <w:color w:val="212121"/>
          <w:kern w:val="0"/>
          <w:sz w:val="22"/>
          <w:szCs w:val="22"/>
          <w14:ligatures w14:val="none"/>
        </w:rPr>
        <w:t>Reviewer 1: </w:t>
      </w:r>
      <w:r w:rsidRPr="0092242D">
        <w:rPr>
          <w:rFonts w:ascii="Arial" w:eastAsia="Times New Roman" w:hAnsi="Arial" w:cs="Arial"/>
          <w:color w:val="212121"/>
          <w:kern w:val="0"/>
          <w:sz w:val="22"/>
          <w:szCs w:val="22"/>
          <w14:ligatures w14:val="none"/>
        </w:rPr>
        <w:br/>
        <w:t>This paper is special because it is the first to use spatial transcriptomics on ductal carcinoma, versus AIP (atypical intraductal proliferation) versus invasive cribriform versus intraductal acinar. They have shown that</w:t>
      </w:r>
      <w:proofErr w:type="gramStart"/>
      <w:r w:rsidRPr="0092242D">
        <w:rPr>
          <w:rFonts w:ascii="Arial" w:eastAsia="Times New Roman" w:hAnsi="Arial" w:cs="Arial"/>
          <w:color w:val="212121"/>
          <w:kern w:val="0"/>
          <w:sz w:val="22"/>
          <w:szCs w:val="22"/>
          <w14:ligatures w14:val="none"/>
        </w:rPr>
        <w:t>, actually, these</w:t>
      </w:r>
      <w:proofErr w:type="gramEnd"/>
      <w:r w:rsidRPr="0092242D">
        <w:rPr>
          <w:rFonts w:ascii="Arial" w:eastAsia="Times New Roman" w:hAnsi="Arial" w:cs="Arial"/>
          <w:color w:val="212121"/>
          <w:kern w:val="0"/>
          <w:sz w:val="22"/>
          <w:szCs w:val="22"/>
          <w14:ligatures w14:val="none"/>
        </w:rPr>
        <w:t xml:space="preserve"> large-gland proliferations all dwell on the same continuum molecularly with certain notable differences between categories. Here, the authors have done a sophisticated spatial transcriptomics study of these entities, plus a comparison of their results with acinar invasive carcinoma. They have mined and catalogued an impressive amount of transcriptomic information and have appropriately discussed the possible importance of these molecular details in the Discussion, while acknowledging the limitation of the study--mainly, its small size. Minor revisions should be considered.</w:t>
      </w: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INTRODUCTION, line 7: Because many readers of this article will not be GU pathologists, it should be emphasized for their appreciation that ductal, AIP, invasive cribriform, and IDC are all members of the set of "large-gland proliferations of the prostate" that stand in contrast to the majority of invasive cancer, which consists of small glands. It should also be mentioned here for their appreciation, that since 2019, the reporting of cribriform presence (because of its great importance) has been a mandatory requirement recommended by ISUP (Cite </w:t>
      </w:r>
      <w:hyperlink r:id="rId4" w:tooltip="https://secure-web.cisco.com/1DdFCfgJB3Nzb2CXxnqFIR1YjtFIIUchz7FNVjj-NqqpgJ4sSBeQ8jSzx5uuCftb8-fUl8kvFIyxYYut6pr073774WXOpiF3YV9T5XrcdqHNh4pdFtdfE9-b1iGu72kuNUp1DnaDsVkG6Nd6_dVEtKKEEQv0H0G6cphuXSAbUMRfPw4t0WBYOTUZfFKcumOkWeuYIBYkj-zfqLLEkjx8Cwanys9hv1Y4iGO5YHTVtl9iW-WqNHc8LtK0UvSAPOXWmnWBk49gMhd92DaH9joBmKHVlTwF_j---MxaAYPFI72kzAGbRUadibK6RfGB7OQU7/https%3A%2F%2Fpubmed.ncbi.nlm.nih.gov%2F32847702%2F)" w:history="1">
        <w:r w:rsidRPr="0092242D">
          <w:rPr>
            <w:rFonts w:ascii="Arial" w:eastAsia="Times New Roman" w:hAnsi="Arial" w:cs="Arial"/>
            <w:color w:val="F8481C"/>
            <w:kern w:val="0"/>
            <w:sz w:val="22"/>
            <w:szCs w:val="22"/>
            <w:u w:val="single"/>
            <w14:ligatures w14:val="none"/>
          </w:rPr>
          <w:t>https://secure-web.cisco.com/1DdFCfgJB3Nzb2CXxnqFIR1YjtFIIUchz7FNVjj-NqqpgJ4sSBeQ8jSzx5uuCftb8-fUl8kvFIyxYYut6pr073774WXOpiF3YV9T5XrcdqHNh4pdFtdfE9-b1iGu72kuNUp1DnaDsVkG6Nd6_dVEtKKEEQv0H0G6cphuXSAbUMRfPw4t0WBYOTUZfFKcumOkWeuYIBYkj-zfqLLEkjx8Cwanys9hv1Y4iGO5YHTVtl9iW-WqNHc8LtK0UvSAPOXWmnWBk49gMhd92DaH9joBmKHVlTwF_j---MxaAYPFI72kzAGbRUadibK6RfGB7OQU7/https%3A%2F%2Fpubmed.ncbi.nlm.nih.gov%2F32847702%2F)</w:t>
        </w:r>
      </w:hyperlink>
      <w:r w:rsidRPr="0092242D">
        <w:rPr>
          <w:rFonts w:ascii="Arial" w:eastAsia="Times New Roman" w:hAnsi="Arial" w:cs="Arial"/>
          <w:color w:val="212121"/>
          <w:kern w:val="0"/>
          <w:sz w:val="22"/>
          <w:szCs w:val="22"/>
          <w14:ligatures w14:val="none"/>
        </w:rPr>
        <w:t>. When you think about it, the cribriform/non-cribriform assessment requirement on every case, and every part of every case with specimens A--L, and every diagnosis with Gleason grade groups 2 or above, day in and day out, really DOES demand more time and effort of the pathologist but also truly does influence treatment choices now that clinicians are coming to understand it.</w:t>
      </w: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MATERIALS AND METHODS, line 23: Without criteria, everything is subjective. The authors should cite here the consensus of the ISUP on definition of Cribriform (</w:t>
      </w:r>
      <w:hyperlink r:id="rId5" w:tooltip="https://secure-web.cisco.com/1b-1XAXIbemfahmQHFHzLSorTmyGy-ZbBw7tCuICaxuDZKYerfJmkalFhC29HWDpCKXOp8G4MNs8AHC0ZgxhyBAcmyrbsGZQTpsDOrMWmTqTaK6jMJVdrIdVWgE_Znu-ipk77lrXuiFRnnzg2ShZHvUzIANMYd37mMq3w01DrgDI41WBWIv9gGYlu7qrwATLbCkUORYF392kIxeQvtMto0URoEuDLLFoZ_etWznuLOWMbQ1kUWu0QyTmtyZOTH8Td6dEUgRokD3g2QLq39NXrqCyFuna3L3jRcIkSQE9DIu3-EmNB3rPc__PGSxkIDT_K/https%3A%2F%2Fpubmed.ncbi.nlm.nih.gov%2F33999555%2F" w:history="1">
        <w:r w:rsidRPr="0092242D">
          <w:rPr>
            <w:rFonts w:ascii="Arial" w:eastAsia="Times New Roman" w:hAnsi="Arial" w:cs="Arial"/>
            <w:color w:val="F8481C"/>
            <w:kern w:val="0"/>
            <w:sz w:val="22"/>
            <w:szCs w:val="22"/>
            <w:u w:val="single"/>
            <w14:ligatures w14:val="none"/>
          </w:rPr>
          <w:t>https://secure-web.cisco.com/1b-1XAXIbemfahmQHFHzLSorTmyGy-ZbBw7tCuICaxuDZKYerfJmkalFhC29HWDpCKXOp8G4MNs8AHC0ZgxhyBAcmyrbsGZQTpsDOrMWmTqTaK6jMJVdrIdVWgE_Znu-ipk77lrXuiFRnnzg2ShZHvUzIANMYd37mMq3w01DrgDI41WBWIv9gGYlu7qrwATLbCkUORYF392kIxeQvtMto0URoEuDLLFoZ_etWznuLOWMbQ1kUWu0QyTmtyZOTH8Td6dEUgRokD3g2QLq39NXrqCyFuna3L3jRcIkSQE9DIu3-EmNB3rPc__PGSxkIDT_K/https%3A%2F%2Fpubmed.ncbi.nlm.nih.gov%2F33999555%2F</w:t>
        </w:r>
      </w:hyperlink>
      <w:r w:rsidRPr="0092242D">
        <w:rPr>
          <w:rFonts w:ascii="Arial" w:eastAsia="Times New Roman" w:hAnsi="Arial" w:cs="Arial"/>
          <w:color w:val="212121"/>
          <w:kern w:val="0"/>
          <w:sz w:val="22"/>
          <w:szCs w:val="22"/>
          <w14:ligatures w14:val="none"/>
        </w:rPr>
        <w:t>) and reiterate "no intervening stroma or mucin" as a criterion they used to judge and annotate cribriform in the current study. Then, lesions classified as AIP should be stated as large-gland structures intermediate between HGPIN but falling short of IDP criteria.</w:t>
      </w: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MATERIALS AND METHODS, line 26: This is picky, but 18 cores for 17 cases...does this mean one core/case except for one more that was done in duplicate? Which case was done in duplicate--any reason why?</w:t>
      </w:r>
    </w:p>
    <w:p w14:paraId="2D7B62E6" w14:textId="77777777" w:rsidR="005931AA" w:rsidRDefault="005931AA" w:rsidP="0092242D">
      <w:pPr>
        <w:spacing w:after="0" w:line="240" w:lineRule="auto"/>
        <w:rPr>
          <w:rFonts w:ascii="Arial" w:eastAsia="Times New Roman" w:hAnsi="Arial" w:cs="Arial"/>
          <w:color w:val="212121"/>
          <w:kern w:val="0"/>
          <w:sz w:val="22"/>
          <w:szCs w:val="22"/>
          <w14:ligatures w14:val="none"/>
        </w:rPr>
      </w:pPr>
    </w:p>
    <w:p w14:paraId="6AD48726" w14:textId="2631D1CD" w:rsidR="005931AA" w:rsidRPr="005931AA" w:rsidRDefault="005931AA" w:rsidP="0092242D">
      <w:pPr>
        <w:spacing w:after="0" w:line="240" w:lineRule="auto"/>
        <w:rPr>
          <w:rFonts w:ascii="Arial" w:eastAsia="Times New Roman" w:hAnsi="Arial" w:cs="Arial"/>
          <w:color w:val="EE0000"/>
          <w:kern w:val="0"/>
          <w:sz w:val="22"/>
          <w:szCs w:val="22"/>
          <w14:ligatures w14:val="none"/>
        </w:rPr>
      </w:pPr>
      <w:r w:rsidRPr="005931AA">
        <w:rPr>
          <w:rFonts w:ascii="Arial" w:eastAsia="Times New Roman" w:hAnsi="Arial" w:cs="Arial"/>
          <w:color w:val="EE0000"/>
          <w:kern w:val="0"/>
          <w:sz w:val="22"/>
          <w:szCs w:val="22"/>
          <w:highlight w:val="yellow"/>
          <w14:ligatures w14:val="none"/>
        </w:rPr>
        <w:t>I cannot recall if this was the control core or not. That might be the answer to this.</w:t>
      </w:r>
      <w:r>
        <w:rPr>
          <w:rFonts w:ascii="Arial" w:eastAsia="Times New Roman" w:hAnsi="Arial" w:cs="Arial"/>
          <w:color w:val="EE0000"/>
          <w:kern w:val="0"/>
          <w:sz w:val="22"/>
          <w:szCs w:val="22"/>
          <w14:ligatures w14:val="none"/>
        </w:rPr>
        <w:t xml:space="preserve"> </w:t>
      </w:r>
    </w:p>
    <w:p w14:paraId="1103C6D9" w14:textId="718DDFED" w:rsidR="00320AA2" w:rsidRDefault="0092242D" w:rsidP="0092242D">
      <w:pPr>
        <w:spacing w:after="0" w:line="240" w:lineRule="auto"/>
        <w:rPr>
          <w:rFonts w:ascii="Arial" w:eastAsia="Times New Roman" w:hAnsi="Arial" w:cs="Arial"/>
          <w:color w:val="212121"/>
          <w:kern w:val="0"/>
          <w:sz w:val="22"/>
          <w:szCs w:val="22"/>
          <w14:ligatures w14:val="none"/>
        </w:rPr>
      </w:pP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 xml:space="preserve">MATERIALS AND METHODS, line 53: It should be explicitly stated that the non-crib components of 16 out of 17 AAC cases were annotated, too, and they constituted the source of </w:t>
      </w:r>
      <w:r w:rsidRPr="0092242D">
        <w:rPr>
          <w:rFonts w:ascii="Arial" w:eastAsia="Times New Roman" w:hAnsi="Arial" w:cs="Arial"/>
          <w:color w:val="212121"/>
          <w:kern w:val="0"/>
          <w:sz w:val="22"/>
          <w:szCs w:val="22"/>
          <w14:ligatures w14:val="none"/>
        </w:rPr>
        <w:lastRenderedPageBreak/>
        <w:t>the non-crib comparisons versus AIP, IDC, crib, and ductal performed by spatial transcriptomics later on (at least I assume that is the case).</w:t>
      </w: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RESULTS, line 23: It is stated that one tumor was exclusively ductal (DAC). Maybe it would be good to specify that this corresponds to Case #2 in the Table.</w:t>
      </w: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FIGURES: The resolution on the Figure 1 O and P (even after downloading the full-size version) seems not as good as the rest. It is worth considering retaking these 2 pictures. All other figures and tables have excellent readability.</w:t>
      </w:r>
    </w:p>
    <w:p w14:paraId="13085333" w14:textId="77777777" w:rsidR="00320AA2" w:rsidRDefault="00320AA2" w:rsidP="0092242D">
      <w:pPr>
        <w:spacing w:after="0" w:line="240" w:lineRule="auto"/>
        <w:rPr>
          <w:rFonts w:ascii="Arial" w:eastAsia="Times New Roman" w:hAnsi="Arial" w:cs="Arial"/>
          <w:color w:val="212121"/>
          <w:kern w:val="0"/>
          <w:sz w:val="22"/>
          <w:szCs w:val="22"/>
          <w14:ligatures w14:val="none"/>
        </w:rPr>
      </w:pPr>
    </w:p>
    <w:p w14:paraId="0E94696F" w14:textId="77777777" w:rsidR="00FC2725" w:rsidRDefault="00320AA2" w:rsidP="0092242D">
      <w:pPr>
        <w:spacing w:after="0" w:line="240" w:lineRule="auto"/>
        <w:rPr>
          <w:rFonts w:ascii="Arial" w:eastAsia="Times New Roman" w:hAnsi="Arial" w:cs="Arial"/>
          <w:color w:val="212121"/>
          <w:kern w:val="0"/>
          <w:sz w:val="22"/>
          <w:szCs w:val="22"/>
          <w14:ligatures w14:val="none"/>
        </w:rPr>
      </w:pPr>
      <w:r w:rsidRPr="005931AA">
        <w:rPr>
          <w:rFonts w:ascii="Arial" w:eastAsia="Times New Roman" w:hAnsi="Arial" w:cs="Arial"/>
          <w:color w:val="EE0000"/>
          <w:kern w:val="0"/>
          <w:sz w:val="22"/>
          <w:szCs w:val="22"/>
          <w:highlight w:val="yellow"/>
          <w14:ligatures w14:val="none"/>
        </w:rPr>
        <w:t>I think you can re-save as PDF, as we discussed, to restore resolution.</w:t>
      </w:r>
      <w:r>
        <w:rPr>
          <w:rFonts w:ascii="Arial" w:eastAsia="Times New Roman" w:hAnsi="Arial" w:cs="Arial"/>
          <w:color w:val="EE0000"/>
          <w:kern w:val="0"/>
          <w:sz w:val="22"/>
          <w:szCs w:val="22"/>
          <w14:ligatures w14:val="none"/>
        </w:rPr>
        <w:t xml:space="preserve"> </w:t>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t>Reviewer 2: </w:t>
      </w:r>
      <w:r w:rsidR="0092242D" w:rsidRPr="0092242D">
        <w:rPr>
          <w:rFonts w:ascii="Arial" w:eastAsia="Times New Roman" w:hAnsi="Arial" w:cs="Arial"/>
          <w:color w:val="212121"/>
          <w:kern w:val="0"/>
          <w:sz w:val="22"/>
          <w:szCs w:val="22"/>
          <w14:ligatures w14:val="none"/>
        </w:rPr>
        <w:br/>
        <w:t>This manuscript presents a spatial transcriptomic analysis of cribriform acinar adenocarcinoma, intraductal carcinoma of the prostate (IDC-P), atypical intraductal proliferation (AIP), and ductal adenocarcinoma (DAC) with the aim of clarifying their molecular relationships. The application of spatial transcriptomics to histologically defined regions is a major strength, enabling meaningful integration of morphology and gene expression. The findings—particularly the strong transcriptomic similarity among cribriform carcinoma, IDC-P, and AIP—are compelling and provide important molecular support for evolving concepts in the grading and classification of aggressive prostate cancer. Overall, the study addresses a clinically and biologically important question and is likely to be of interest to the readership.</w:t>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t>That said, several aspects would benefit from clarification, moderation of conclusions, and expanded discussion. </w:t>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t>1. Although the data convincingly demonstrate substantial transcriptomic overlap among cribriform carcinoma, IDC-P, and AIP, the manuscript would benefit from a more careful delineation of the underlying biological interpretation. Specifically, it remains unclear whether this similarity reflects shared lineage, intraductal spread, phenotypic convergence, or microenvironment-driven effects. At times, the discussion implies a degree of biologic equivalence that may extend beyond what the current data support, and this should be tempered.</w:t>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t>2. The comparison of putative precursor-type versus invasive-type IDC-P/AIP is conceptually interesting but is based on a single case. This limitation should be more explicitly acknowledged, and the corresponding conclusions framed as hypothesis-generating rather than definitive.</w:t>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t>3. The manuscript would benefit from a more focused discussion of how these findings inform current controversies in practice, particularly regarding the inclusion of IDC-P in Gleason grading and the classification and clinical significance of AIP. Strengthening the linkage between the molecular observations and their practical diagnostic implications would enhance the translational impact.</w:t>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t xml:space="preserve">4. Although DAC is reported to be most </w:t>
      </w:r>
      <w:proofErr w:type="spellStart"/>
      <w:r w:rsidR="0092242D" w:rsidRPr="0092242D">
        <w:rPr>
          <w:rFonts w:ascii="Arial" w:eastAsia="Times New Roman" w:hAnsi="Arial" w:cs="Arial"/>
          <w:color w:val="212121"/>
          <w:kern w:val="0"/>
          <w:sz w:val="22"/>
          <w:szCs w:val="22"/>
          <w14:ligatures w14:val="none"/>
        </w:rPr>
        <w:t>transcriptomically</w:t>
      </w:r>
      <w:proofErr w:type="spellEnd"/>
      <w:r w:rsidR="0092242D" w:rsidRPr="0092242D">
        <w:rPr>
          <w:rFonts w:ascii="Arial" w:eastAsia="Times New Roman" w:hAnsi="Arial" w:cs="Arial"/>
          <w:color w:val="212121"/>
          <w:kern w:val="0"/>
          <w:sz w:val="22"/>
          <w:szCs w:val="22"/>
          <w14:ligatures w14:val="none"/>
        </w:rPr>
        <w:t xml:space="preserve"> </w:t>
      </w:r>
      <w:proofErr w:type="gramStart"/>
      <w:r w:rsidR="0092242D" w:rsidRPr="0092242D">
        <w:rPr>
          <w:rFonts w:ascii="Arial" w:eastAsia="Times New Roman" w:hAnsi="Arial" w:cs="Arial"/>
          <w:color w:val="212121"/>
          <w:kern w:val="0"/>
          <w:sz w:val="22"/>
          <w:szCs w:val="22"/>
          <w14:ligatures w14:val="none"/>
        </w:rPr>
        <w:t>similar to</w:t>
      </w:r>
      <w:proofErr w:type="gramEnd"/>
      <w:r w:rsidR="0092242D" w:rsidRPr="0092242D">
        <w:rPr>
          <w:rFonts w:ascii="Arial" w:eastAsia="Times New Roman" w:hAnsi="Arial" w:cs="Arial"/>
          <w:color w:val="212121"/>
          <w:kern w:val="0"/>
          <w:sz w:val="22"/>
          <w:szCs w:val="22"/>
          <w14:ligatures w14:val="none"/>
        </w:rPr>
        <w:t xml:space="preserve"> cribriform acinar adenocarcinoma, the biological significance of this observation is not fully developed. Additional discussion placing this finding in the context of prior genomic and morphologic studies would be helpful.</w:t>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br/>
      </w:r>
      <w:r w:rsidR="0092242D" w:rsidRPr="0092242D">
        <w:rPr>
          <w:rFonts w:ascii="Arial" w:eastAsia="Times New Roman" w:hAnsi="Arial" w:cs="Arial"/>
          <w:color w:val="212121"/>
          <w:kern w:val="0"/>
          <w:sz w:val="22"/>
          <w:szCs w:val="22"/>
          <w14:ligatures w14:val="none"/>
        </w:rPr>
        <w:lastRenderedPageBreak/>
        <w:t>5. Several additional areas could be further expanded. Given the spatial platform, a more explicit distinction between epithelial-intrinsic programs (e.g., translation and redox pathways) and tumor microenvironment-associated signals (e.g., stromal and immune pathways) would improve interpretability. Similarly, further contextualization of key pathways identified (e.g., Notch, SLIT/ROBO, and DNA repair pathways) within prostate cancer biology would help readers move beyond descriptive enrichment results.</w:t>
      </w:r>
    </w:p>
    <w:p w14:paraId="2BA7E5B3" w14:textId="77777777" w:rsidR="00FC2725" w:rsidRDefault="00FC2725" w:rsidP="0092242D">
      <w:pPr>
        <w:spacing w:after="0" w:line="240" w:lineRule="auto"/>
        <w:rPr>
          <w:rFonts w:ascii="Arial" w:eastAsia="Times New Roman" w:hAnsi="Arial" w:cs="Arial"/>
          <w:color w:val="212121"/>
          <w:kern w:val="0"/>
          <w:sz w:val="22"/>
          <w:szCs w:val="22"/>
          <w14:ligatures w14:val="none"/>
        </w:rPr>
      </w:pPr>
    </w:p>
    <w:p w14:paraId="6F9C3AFE" w14:textId="104CFD7E" w:rsidR="00FC2725" w:rsidRPr="00FC2725" w:rsidRDefault="00FC2725" w:rsidP="0092242D">
      <w:pPr>
        <w:spacing w:after="0" w:line="240" w:lineRule="auto"/>
        <w:rPr>
          <w:rFonts w:ascii="Arial" w:eastAsia="Times New Roman" w:hAnsi="Arial" w:cs="Arial"/>
          <w:color w:val="EE0000"/>
          <w:kern w:val="0"/>
          <w:sz w:val="22"/>
          <w:szCs w:val="22"/>
          <w14:ligatures w14:val="none"/>
        </w:rPr>
      </w:pPr>
      <w:r w:rsidRPr="00CB7A32">
        <w:rPr>
          <w:rFonts w:ascii="Arial" w:eastAsia="Times New Roman" w:hAnsi="Arial" w:cs="Arial"/>
          <w:color w:val="EE0000"/>
          <w:kern w:val="0"/>
          <w:sz w:val="22"/>
          <w:szCs w:val="22"/>
          <w:highlight w:val="yellow"/>
          <w14:ligatures w14:val="none"/>
        </w:rPr>
        <w:t xml:space="preserve">This is a fair point, but I believe that all ROIs for this study were unsegmented. Therefore, we cannot computationally decompose any signal. </w:t>
      </w:r>
      <w:r w:rsidR="00CB7A32" w:rsidRPr="00CB7A32">
        <w:rPr>
          <w:rFonts w:ascii="Arial" w:eastAsia="Times New Roman" w:hAnsi="Arial" w:cs="Arial"/>
          <w:color w:val="EE0000"/>
          <w:kern w:val="0"/>
          <w:sz w:val="22"/>
          <w:szCs w:val="22"/>
          <w:highlight w:val="yellow"/>
          <w14:ligatures w14:val="none"/>
        </w:rPr>
        <w:t>I think this is something to write about in the discussion.</w:t>
      </w:r>
    </w:p>
    <w:p w14:paraId="784140C3" w14:textId="1A60AF20" w:rsidR="0092242D" w:rsidRPr="00CB7A32" w:rsidRDefault="0092242D" w:rsidP="0092242D">
      <w:pPr>
        <w:spacing w:after="0" w:line="240" w:lineRule="auto"/>
        <w:rPr>
          <w:rFonts w:ascii="Arial" w:eastAsia="Times New Roman" w:hAnsi="Arial" w:cs="Arial"/>
          <w:color w:val="212121"/>
          <w:kern w:val="0"/>
          <w:sz w:val="22"/>
          <w:szCs w:val="22"/>
          <w14:ligatures w14:val="none"/>
        </w:rPr>
      </w:pP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6. Finally, the authors should expand the discussion of limitations inherent to the TMA-based spatial approach, particularly with respect to intratumoral heterogeneity. While clinical outcomes are described, additional integration of transcriptomic findings with clinical endpoints (e.g., metastasis or recurrence), even in an exploratory framework, would further strengthen the manuscript's clinical relevance.</w:t>
      </w:r>
      <w:r w:rsidRPr="0092242D">
        <w:rPr>
          <w:rFonts w:ascii="Arial" w:eastAsia="Times New Roman" w:hAnsi="Arial" w:cs="Arial"/>
          <w:color w:val="212121"/>
          <w:kern w:val="0"/>
          <w:sz w:val="22"/>
          <w:szCs w:val="22"/>
          <w14:ligatures w14:val="none"/>
        </w:rPr>
        <w:br/>
      </w:r>
      <w:r w:rsidRPr="0092242D">
        <w:rPr>
          <w:rFonts w:ascii="Arial" w:eastAsia="Times New Roman" w:hAnsi="Arial" w:cs="Arial"/>
          <w:color w:val="212121"/>
          <w:kern w:val="0"/>
          <w:sz w:val="22"/>
          <w:szCs w:val="22"/>
          <w14:ligatures w14:val="none"/>
        </w:rPr>
        <w:br/>
        <w:t>In summary, this is a well-executed and conceptually important study with strong methodology and the potential for high impact. </w:t>
      </w:r>
    </w:p>
    <w:p w14:paraId="70A953A7" w14:textId="77777777" w:rsidR="00164EFA" w:rsidRDefault="00164EFA"/>
    <w:sectPr w:rsidR="0016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2D"/>
    <w:rsid w:val="00164EFA"/>
    <w:rsid w:val="0031518D"/>
    <w:rsid w:val="00320AA2"/>
    <w:rsid w:val="00541592"/>
    <w:rsid w:val="005931AA"/>
    <w:rsid w:val="006F417C"/>
    <w:rsid w:val="0092242D"/>
    <w:rsid w:val="00CB7A32"/>
    <w:rsid w:val="00FC2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E77553"/>
  <w15:chartTrackingRefBased/>
  <w15:docId w15:val="{06E7CABC-3858-AB40-8950-7FA6FD42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4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4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4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4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4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4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2D"/>
    <w:rPr>
      <w:rFonts w:eastAsiaTheme="majorEastAsia" w:cstheme="majorBidi"/>
      <w:color w:val="272727" w:themeColor="text1" w:themeTint="D8"/>
    </w:rPr>
  </w:style>
  <w:style w:type="paragraph" w:styleId="Title">
    <w:name w:val="Title"/>
    <w:basedOn w:val="Normal"/>
    <w:next w:val="Normal"/>
    <w:link w:val="TitleChar"/>
    <w:uiPriority w:val="10"/>
    <w:qFormat/>
    <w:rsid w:val="00922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2D"/>
    <w:pPr>
      <w:spacing w:before="160"/>
      <w:jc w:val="center"/>
    </w:pPr>
    <w:rPr>
      <w:i/>
      <w:iCs/>
      <w:color w:val="404040" w:themeColor="text1" w:themeTint="BF"/>
    </w:rPr>
  </w:style>
  <w:style w:type="character" w:customStyle="1" w:styleId="QuoteChar">
    <w:name w:val="Quote Char"/>
    <w:basedOn w:val="DefaultParagraphFont"/>
    <w:link w:val="Quote"/>
    <w:uiPriority w:val="29"/>
    <w:rsid w:val="0092242D"/>
    <w:rPr>
      <w:i/>
      <w:iCs/>
      <w:color w:val="404040" w:themeColor="text1" w:themeTint="BF"/>
    </w:rPr>
  </w:style>
  <w:style w:type="paragraph" w:styleId="ListParagraph">
    <w:name w:val="List Paragraph"/>
    <w:basedOn w:val="Normal"/>
    <w:uiPriority w:val="34"/>
    <w:qFormat/>
    <w:rsid w:val="0092242D"/>
    <w:pPr>
      <w:ind w:left="720"/>
      <w:contextualSpacing/>
    </w:pPr>
  </w:style>
  <w:style w:type="character" w:styleId="IntenseEmphasis">
    <w:name w:val="Intense Emphasis"/>
    <w:basedOn w:val="DefaultParagraphFont"/>
    <w:uiPriority w:val="21"/>
    <w:qFormat/>
    <w:rsid w:val="0092242D"/>
    <w:rPr>
      <w:i/>
      <w:iCs/>
      <w:color w:val="0F4761" w:themeColor="accent1" w:themeShade="BF"/>
    </w:rPr>
  </w:style>
  <w:style w:type="paragraph" w:styleId="IntenseQuote">
    <w:name w:val="Intense Quote"/>
    <w:basedOn w:val="Normal"/>
    <w:next w:val="Normal"/>
    <w:link w:val="IntenseQuoteChar"/>
    <w:uiPriority w:val="30"/>
    <w:qFormat/>
    <w:rsid w:val="00922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42D"/>
    <w:rPr>
      <w:i/>
      <w:iCs/>
      <w:color w:val="0F4761" w:themeColor="accent1" w:themeShade="BF"/>
    </w:rPr>
  </w:style>
  <w:style w:type="character" w:styleId="IntenseReference">
    <w:name w:val="Intense Reference"/>
    <w:basedOn w:val="DefaultParagraphFont"/>
    <w:uiPriority w:val="32"/>
    <w:qFormat/>
    <w:rsid w:val="0092242D"/>
    <w:rPr>
      <w:b/>
      <w:bCs/>
      <w:smallCaps/>
      <w:color w:val="0F4761" w:themeColor="accent1" w:themeShade="BF"/>
      <w:spacing w:val="5"/>
    </w:rPr>
  </w:style>
  <w:style w:type="character" w:customStyle="1" w:styleId="apple-converted-space">
    <w:name w:val="apple-converted-space"/>
    <w:basedOn w:val="DefaultParagraphFont"/>
    <w:rsid w:val="0092242D"/>
  </w:style>
  <w:style w:type="character" w:styleId="Hyperlink">
    <w:name w:val="Hyperlink"/>
    <w:basedOn w:val="DefaultParagraphFont"/>
    <w:uiPriority w:val="99"/>
    <w:semiHidden/>
    <w:unhideWhenUsed/>
    <w:rsid w:val="009224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ecure-web.cisco.com/1b-1XAXIbemfahmQHFHzLSorTmyGy-ZbBw7tCuICaxuDZKYerfJmkalFhC29HWDpCKXOp8G4MNs8AHC0ZgxhyBAcmyrbsGZQTpsDOrMWmTqTaK6jMJVdrIdVWgE_Znu-ipk77lrXuiFRnnzg2ShZHvUzIANMYd37mMq3w01DrgDI41WBWIv9gGYlu7qrwATLbCkUORYF392kIxeQvtMto0URoEuDLLFoZ_etWznuLOWMbQ1kUWu0QyTmtyZOTH8Td6dEUgRokD3g2QLq39NXrqCyFuna3L3jRcIkSQE9DIu3-EmNB3rPc__PGSxkIDT_K/https%3A%2F%2Fpubmed.ncbi.nlm.nih.gov%2F33999555%2F" TargetMode="External"/><Relationship Id="rId4" Type="http://schemas.openxmlformats.org/officeDocument/2006/relationships/hyperlink" Target="https://secure-web.cisco.com/1DdFCfgJB3Nzb2CXxnqFIR1YjtFIIUchz7FNVjj-NqqpgJ4sSBeQ8jSzx5uuCftb8-fUl8kvFIyxYYut6pr073774WXOpiF3YV9T5XrcdqHNh4pdFtdfE9-b1iGu72kuNUp1DnaDsVkG6Nd6_dVEtKKEEQv0H0G6cphuXSAbUMRfPw4t0WBYOTUZfFKcumOkWeuYIBYkj-zfqLLEkjx8Cwanys9hv1Y4iGO5YHTVtl9iW-WqNHc8LtK0UvSAPOXWmnWBk49gMhd92DaH9joBmKHVlTwF_j---MxaAYPFI72kzAGbRUadibK6RfGB7OQU7/https%3A%2F%2Fpubmed.ncbi.nlm.nih.gov%2F32847702%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Nawrocki, Cole Charles (ccn7wn)</dc:creator>
  <cp:keywords/>
  <dc:description/>
  <cp:lastModifiedBy>Nawrocki, Cole Charles (ccn7wn)</cp:lastModifiedBy>
  <cp:revision>4</cp:revision>
  <dcterms:created xsi:type="dcterms:W3CDTF">2026-06-23T22:14:00Z</dcterms:created>
  <dcterms:modified xsi:type="dcterms:W3CDTF">2026-06-25T18:24:00Z</dcterms:modified>
</cp:coreProperties>
</file>