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r w:rsidRPr="00AE0556">
        <w:t>{{</w:t>
      </w:r>
      <w:r w:rsidR="003846C3" w:rsidRPr="00AE0556">
        <w:t xml:space="preserve"> </w:t>
      </w:r>
      <w:proofErr w:type="spellStart"/>
      <w:r w:rsidR="0092595F" w:rsidRPr="00AE0556">
        <w:t>project.building.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 xml:space="preserve">{{ </w:t>
            </w:r>
            <w:proofErr w:type="spellStart"/>
            <w:r w:rsidRPr="00AE0556">
              <w:rPr>
                <w:rStyle w:val="IntenseEmphasis"/>
                <w:i w:val="0"/>
                <w:iCs w:val="0"/>
                <w:sz w:val="22"/>
              </w:rPr>
              <w:t>energy_production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777CA3"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 </w:t>
            </w:r>
            <w:proofErr w:type="spellStart"/>
            <w:r w:rsidRPr="00A94F55">
              <w:rPr>
                <w:lang w:val="en-US"/>
              </w:rPr>
              <w:t>project.building.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000000">
          <w:pPr>
            <w:pStyle w:val="TOC1"/>
            <w:tabs>
              <w:tab w:val="right" w:leader="dot" w:pos="9350"/>
            </w:tabs>
            <w:rPr>
              <w:rFonts w:eastAsiaTheme="minorEastAsia" w:cstheme="minorBidi"/>
              <w:b w:val="0"/>
              <w:bCs w:val="0"/>
              <w:noProof/>
              <w:sz w:val="24"/>
              <w:szCs w:val="24"/>
              <w:lang w:eastAsia="es-CL"/>
            </w:rPr>
          </w:pPr>
          <w:hyperlink w:anchor="_Toc165841866" w:history="1">
            <w:r w:rsidR="003C432A" w:rsidRPr="00F736CE">
              <w:rPr>
                <w:rStyle w:val="Hyperlink"/>
                <w:noProof/>
              </w:rPr>
              <w:t>Contenido</w:t>
            </w:r>
            <w:r w:rsidR="003C432A">
              <w:rPr>
                <w:noProof/>
                <w:webHidden/>
              </w:rPr>
              <w:tab/>
            </w:r>
            <w:r w:rsidR="003C432A">
              <w:rPr>
                <w:noProof/>
                <w:webHidden/>
              </w:rPr>
              <w:fldChar w:fldCharType="begin"/>
            </w:r>
            <w:r w:rsidR="003C432A">
              <w:rPr>
                <w:noProof/>
                <w:webHidden/>
              </w:rPr>
              <w:instrText xml:space="preserve"> PAGEREF _Toc165841866 \h </w:instrText>
            </w:r>
            <w:r w:rsidR="003C432A">
              <w:rPr>
                <w:noProof/>
                <w:webHidden/>
              </w:rPr>
            </w:r>
            <w:r w:rsidR="003C432A">
              <w:rPr>
                <w:noProof/>
                <w:webHidden/>
              </w:rPr>
              <w:fldChar w:fldCharType="separate"/>
            </w:r>
            <w:r w:rsidR="003C432A">
              <w:rPr>
                <w:noProof/>
                <w:webHidden/>
              </w:rPr>
              <w:t>2</w:t>
            </w:r>
            <w:r w:rsidR="003C432A">
              <w:rPr>
                <w:noProof/>
                <w:webHidden/>
              </w:rPr>
              <w:fldChar w:fldCharType="end"/>
            </w:r>
          </w:hyperlink>
        </w:p>
        <w:p w14:paraId="758A322E" w14:textId="4622E76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7" w:history="1">
            <w:r w:rsidR="003C432A" w:rsidRPr="00F736CE">
              <w:rPr>
                <w:rStyle w:val="Hyperlink"/>
                <w:noProof/>
              </w:rPr>
              <w:t>Ubicación</w:t>
            </w:r>
            <w:r w:rsidR="003C432A">
              <w:rPr>
                <w:noProof/>
                <w:webHidden/>
              </w:rPr>
              <w:tab/>
            </w:r>
            <w:r w:rsidR="003C432A">
              <w:rPr>
                <w:noProof/>
                <w:webHidden/>
              </w:rPr>
              <w:fldChar w:fldCharType="begin"/>
            </w:r>
            <w:r w:rsidR="003C432A">
              <w:rPr>
                <w:noProof/>
                <w:webHidden/>
              </w:rPr>
              <w:instrText xml:space="preserve"> PAGEREF _Toc165841867 \h </w:instrText>
            </w:r>
            <w:r w:rsidR="003C432A">
              <w:rPr>
                <w:noProof/>
                <w:webHidden/>
              </w:rPr>
            </w:r>
            <w:r w:rsidR="003C432A">
              <w:rPr>
                <w:noProof/>
                <w:webHidden/>
              </w:rPr>
              <w:fldChar w:fldCharType="separate"/>
            </w:r>
            <w:r w:rsidR="003C432A">
              <w:rPr>
                <w:noProof/>
                <w:webHidden/>
              </w:rPr>
              <w:t>3</w:t>
            </w:r>
            <w:r w:rsidR="003C432A">
              <w:rPr>
                <w:noProof/>
                <w:webHidden/>
              </w:rPr>
              <w:fldChar w:fldCharType="end"/>
            </w:r>
          </w:hyperlink>
        </w:p>
        <w:p w14:paraId="51B3F3B7" w14:textId="619CD89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8" w:history="1">
            <w:r w:rsidR="003C432A" w:rsidRPr="00F736CE">
              <w:rPr>
                <w:rStyle w:val="Hyperlink"/>
                <w:noProof/>
              </w:rPr>
              <w:t>Consumos</w:t>
            </w:r>
            <w:r w:rsidR="003C432A">
              <w:rPr>
                <w:noProof/>
                <w:webHidden/>
              </w:rPr>
              <w:tab/>
            </w:r>
            <w:r w:rsidR="003C432A">
              <w:rPr>
                <w:noProof/>
                <w:webHidden/>
              </w:rPr>
              <w:fldChar w:fldCharType="begin"/>
            </w:r>
            <w:r w:rsidR="003C432A">
              <w:rPr>
                <w:noProof/>
                <w:webHidden/>
              </w:rPr>
              <w:instrText xml:space="preserve"> PAGEREF _Toc165841868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7F99879F" w14:textId="1038A49B" w:rsidR="003C432A" w:rsidRDefault="00000000">
          <w:pPr>
            <w:pStyle w:val="TOC2"/>
            <w:tabs>
              <w:tab w:val="right" w:leader="dot" w:pos="9350"/>
            </w:tabs>
            <w:rPr>
              <w:rFonts w:eastAsiaTheme="minorEastAsia" w:cstheme="minorBidi"/>
              <w:i w:val="0"/>
              <w:iCs w:val="0"/>
              <w:noProof/>
              <w:sz w:val="24"/>
              <w:szCs w:val="24"/>
              <w:lang w:eastAsia="es-CL"/>
            </w:rPr>
          </w:pPr>
          <w:hyperlink w:anchor="_Toc165841869" w:history="1">
            <w:r w:rsidR="003C432A" w:rsidRPr="00F736CE">
              <w:rPr>
                <w:rStyle w:val="Hyperlink"/>
                <w:noProof/>
              </w:rPr>
              <w:t>Antecedentes</w:t>
            </w:r>
            <w:r w:rsidR="003C432A">
              <w:rPr>
                <w:noProof/>
                <w:webHidden/>
              </w:rPr>
              <w:tab/>
            </w:r>
            <w:r w:rsidR="003C432A">
              <w:rPr>
                <w:noProof/>
                <w:webHidden/>
              </w:rPr>
              <w:fldChar w:fldCharType="begin"/>
            </w:r>
            <w:r w:rsidR="003C432A">
              <w:rPr>
                <w:noProof/>
                <w:webHidden/>
              </w:rPr>
              <w:instrText xml:space="preserve"> PAGEREF _Toc165841869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3FF4DE4A" w14:textId="623D04E8" w:rsidR="003C432A" w:rsidRDefault="00000000">
          <w:pPr>
            <w:pStyle w:val="TOC2"/>
            <w:tabs>
              <w:tab w:val="right" w:leader="dot" w:pos="9350"/>
            </w:tabs>
            <w:rPr>
              <w:rFonts w:eastAsiaTheme="minorEastAsia" w:cstheme="minorBidi"/>
              <w:i w:val="0"/>
              <w:iCs w:val="0"/>
              <w:noProof/>
              <w:sz w:val="24"/>
              <w:szCs w:val="24"/>
              <w:lang w:eastAsia="es-CL"/>
            </w:rPr>
          </w:pPr>
          <w:hyperlink w:anchor="_Toc165841870" w:history="1">
            <w:r w:rsidR="003C432A" w:rsidRPr="00F736CE">
              <w:rPr>
                <w:rStyle w:val="Hyperlink"/>
                <w:noProof/>
              </w:rPr>
              <w:t>Proyectados</w:t>
            </w:r>
            <w:r w:rsidR="003C432A">
              <w:rPr>
                <w:noProof/>
                <w:webHidden/>
              </w:rPr>
              <w:tab/>
            </w:r>
            <w:r w:rsidR="003C432A">
              <w:rPr>
                <w:noProof/>
                <w:webHidden/>
              </w:rPr>
              <w:fldChar w:fldCharType="begin"/>
            </w:r>
            <w:r w:rsidR="003C432A">
              <w:rPr>
                <w:noProof/>
                <w:webHidden/>
              </w:rPr>
              <w:instrText xml:space="preserve"> PAGEREF _Toc165841870 \h </w:instrText>
            </w:r>
            <w:r w:rsidR="003C432A">
              <w:rPr>
                <w:noProof/>
                <w:webHidden/>
              </w:rPr>
            </w:r>
            <w:r w:rsidR="003C432A">
              <w:rPr>
                <w:noProof/>
                <w:webHidden/>
              </w:rPr>
              <w:fldChar w:fldCharType="separate"/>
            </w:r>
            <w:r w:rsidR="003C432A">
              <w:rPr>
                <w:noProof/>
                <w:webHidden/>
              </w:rPr>
              <w:t>5</w:t>
            </w:r>
            <w:r w:rsidR="003C432A">
              <w:rPr>
                <w:noProof/>
                <w:webHidden/>
              </w:rPr>
              <w:fldChar w:fldCharType="end"/>
            </w:r>
          </w:hyperlink>
        </w:p>
        <w:p w14:paraId="30009CB8" w14:textId="45D83246" w:rsidR="003C432A" w:rsidRDefault="00000000">
          <w:pPr>
            <w:pStyle w:val="TOC1"/>
            <w:tabs>
              <w:tab w:val="right" w:leader="dot" w:pos="9350"/>
            </w:tabs>
            <w:rPr>
              <w:rFonts w:eastAsiaTheme="minorEastAsia" w:cstheme="minorBidi"/>
              <w:b w:val="0"/>
              <w:bCs w:val="0"/>
              <w:noProof/>
              <w:sz w:val="24"/>
              <w:szCs w:val="24"/>
              <w:lang w:eastAsia="es-CL"/>
            </w:rPr>
          </w:pPr>
          <w:hyperlink w:anchor="_Toc165841871" w:history="1">
            <w:r w:rsidR="003C432A" w:rsidRPr="00F736CE">
              <w:rPr>
                <w:rStyle w:val="Hyperlink"/>
                <w:noProof/>
              </w:rPr>
              <w:t>Clima</w:t>
            </w:r>
            <w:r w:rsidR="003C432A">
              <w:rPr>
                <w:noProof/>
                <w:webHidden/>
              </w:rPr>
              <w:tab/>
            </w:r>
            <w:r w:rsidR="003C432A">
              <w:rPr>
                <w:noProof/>
                <w:webHidden/>
              </w:rPr>
              <w:fldChar w:fldCharType="begin"/>
            </w:r>
            <w:r w:rsidR="003C432A">
              <w:rPr>
                <w:noProof/>
                <w:webHidden/>
              </w:rPr>
              <w:instrText xml:space="preserve"> PAGEREF _Toc165841871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2288FE89" w14:textId="3A74303D" w:rsidR="003C432A" w:rsidRDefault="00000000">
          <w:pPr>
            <w:pStyle w:val="TOC3"/>
            <w:tabs>
              <w:tab w:val="right" w:leader="dot" w:pos="9350"/>
            </w:tabs>
            <w:rPr>
              <w:rFonts w:eastAsiaTheme="minorEastAsia" w:cstheme="minorBidi"/>
              <w:noProof/>
              <w:sz w:val="24"/>
              <w:szCs w:val="24"/>
              <w:lang w:eastAsia="es-CL"/>
            </w:rPr>
          </w:pPr>
          <w:hyperlink w:anchor="_Toc165841872" w:history="1">
            <w:r w:rsidR="003C432A" w:rsidRPr="00F736CE">
              <w:rPr>
                <w:rStyle w:val="Hyperlink"/>
                <w:noProof/>
              </w:rPr>
              <w:t>Irradiación</w:t>
            </w:r>
            <w:r w:rsidR="003C432A">
              <w:rPr>
                <w:noProof/>
                <w:webHidden/>
              </w:rPr>
              <w:tab/>
            </w:r>
            <w:r w:rsidR="003C432A">
              <w:rPr>
                <w:noProof/>
                <w:webHidden/>
              </w:rPr>
              <w:fldChar w:fldCharType="begin"/>
            </w:r>
            <w:r w:rsidR="003C432A">
              <w:rPr>
                <w:noProof/>
                <w:webHidden/>
              </w:rPr>
              <w:instrText xml:space="preserve"> PAGEREF _Toc165841872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7C999061" w14:textId="5244CD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73" w:history="1">
            <w:r w:rsidR="003C432A" w:rsidRPr="00F736CE">
              <w:rPr>
                <w:rStyle w:val="Hyperlink"/>
                <w:noProof/>
              </w:rPr>
              <w:t>Generación y rendimientos</w:t>
            </w:r>
            <w:r w:rsidR="003C432A">
              <w:rPr>
                <w:noProof/>
                <w:webHidden/>
              </w:rPr>
              <w:tab/>
            </w:r>
            <w:r w:rsidR="003C432A">
              <w:rPr>
                <w:noProof/>
                <w:webHidden/>
              </w:rPr>
              <w:fldChar w:fldCharType="begin"/>
            </w:r>
            <w:r w:rsidR="003C432A">
              <w:rPr>
                <w:noProof/>
                <w:webHidden/>
              </w:rPr>
              <w:instrText xml:space="preserve"> PAGEREF _Toc165841873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A44C570" w14:textId="298FC7ED" w:rsidR="003C432A" w:rsidRDefault="00000000">
          <w:pPr>
            <w:pStyle w:val="TOC2"/>
            <w:tabs>
              <w:tab w:val="right" w:leader="dot" w:pos="9350"/>
            </w:tabs>
            <w:rPr>
              <w:rFonts w:eastAsiaTheme="minorEastAsia" w:cstheme="minorBidi"/>
              <w:i w:val="0"/>
              <w:iCs w:val="0"/>
              <w:noProof/>
              <w:sz w:val="24"/>
              <w:szCs w:val="24"/>
              <w:lang w:eastAsia="es-CL"/>
            </w:rPr>
          </w:pPr>
          <w:hyperlink w:anchor="_Toc165841874" w:history="1">
            <w:r w:rsidR="003C432A" w:rsidRPr="00F736CE">
              <w:rPr>
                <w:rStyle w:val="Hyperlink"/>
                <w:noProof/>
              </w:rPr>
              <w:t>Equipamiento</w:t>
            </w:r>
            <w:r w:rsidR="003C432A">
              <w:rPr>
                <w:noProof/>
                <w:webHidden/>
              </w:rPr>
              <w:tab/>
            </w:r>
            <w:r w:rsidR="003C432A">
              <w:rPr>
                <w:noProof/>
                <w:webHidden/>
              </w:rPr>
              <w:fldChar w:fldCharType="begin"/>
            </w:r>
            <w:r w:rsidR="003C432A">
              <w:rPr>
                <w:noProof/>
                <w:webHidden/>
              </w:rPr>
              <w:instrText xml:space="preserve"> PAGEREF _Toc165841874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B571841" w14:textId="1A014B49" w:rsidR="003C432A" w:rsidRDefault="00000000">
          <w:pPr>
            <w:pStyle w:val="TOC2"/>
            <w:tabs>
              <w:tab w:val="right" w:leader="dot" w:pos="9350"/>
            </w:tabs>
            <w:rPr>
              <w:rFonts w:eastAsiaTheme="minorEastAsia" w:cstheme="minorBidi"/>
              <w:i w:val="0"/>
              <w:iCs w:val="0"/>
              <w:noProof/>
              <w:sz w:val="24"/>
              <w:szCs w:val="24"/>
              <w:lang w:eastAsia="es-CL"/>
            </w:rPr>
          </w:pPr>
          <w:hyperlink w:anchor="_Toc165841875" w:history="1">
            <w:r w:rsidR="003C432A" w:rsidRPr="00F736CE">
              <w:rPr>
                <w:rStyle w:val="Hyperlink"/>
                <w:noProof/>
              </w:rPr>
              <w:t>Generación de energía</w:t>
            </w:r>
            <w:r w:rsidR="003C432A">
              <w:rPr>
                <w:noProof/>
                <w:webHidden/>
              </w:rPr>
              <w:tab/>
            </w:r>
            <w:r w:rsidR="003C432A">
              <w:rPr>
                <w:noProof/>
                <w:webHidden/>
              </w:rPr>
              <w:fldChar w:fldCharType="begin"/>
            </w:r>
            <w:r w:rsidR="003C432A">
              <w:rPr>
                <w:noProof/>
                <w:webHidden/>
              </w:rPr>
              <w:instrText xml:space="preserve"> PAGEREF _Toc165841875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474A42CA" w14:textId="0F8D9EFA" w:rsidR="003C432A" w:rsidRDefault="00000000">
          <w:pPr>
            <w:pStyle w:val="TOC3"/>
            <w:tabs>
              <w:tab w:val="right" w:leader="dot" w:pos="9350"/>
            </w:tabs>
            <w:rPr>
              <w:rFonts w:eastAsiaTheme="minorEastAsia" w:cstheme="minorBidi"/>
              <w:noProof/>
              <w:sz w:val="24"/>
              <w:szCs w:val="24"/>
              <w:lang w:eastAsia="es-CL"/>
            </w:rPr>
          </w:pPr>
          <w:hyperlink w:anchor="_Toc165841876" w:history="1">
            <w:r w:rsidR="003C432A" w:rsidRPr="00F736CE">
              <w:rPr>
                <w:rStyle w:val="Hyperlink"/>
                <w:noProof/>
              </w:rPr>
              <w:t>Resumen</w:t>
            </w:r>
            <w:r w:rsidR="003C432A">
              <w:rPr>
                <w:noProof/>
                <w:webHidden/>
              </w:rPr>
              <w:tab/>
            </w:r>
            <w:r w:rsidR="003C432A">
              <w:rPr>
                <w:noProof/>
                <w:webHidden/>
              </w:rPr>
              <w:fldChar w:fldCharType="begin"/>
            </w:r>
            <w:r w:rsidR="003C432A">
              <w:rPr>
                <w:noProof/>
                <w:webHidden/>
              </w:rPr>
              <w:instrText xml:space="preserve"> PAGEREF _Toc165841876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06F11CAC" w14:textId="36212FE1" w:rsidR="003C432A" w:rsidRDefault="00000000">
          <w:pPr>
            <w:pStyle w:val="TOC3"/>
            <w:tabs>
              <w:tab w:val="right" w:leader="dot" w:pos="9350"/>
            </w:tabs>
            <w:rPr>
              <w:rFonts w:eastAsiaTheme="minorEastAsia" w:cstheme="minorBidi"/>
              <w:noProof/>
              <w:sz w:val="24"/>
              <w:szCs w:val="24"/>
              <w:lang w:eastAsia="es-CL"/>
            </w:rPr>
          </w:pPr>
          <w:hyperlink w:anchor="_Toc165841877" w:history="1">
            <w:r w:rsidR="003C432A" w:rsidRPr="00F736CE">
              <w:rPr>
                <w:rStyle w:val="Hyperlink"/>
                <w:noProof/>
              </w:rPr>
              <w:t>Producción Energética</w:t>
            </w:r>
            <w:r w:rsidR="003C432A">
              <w:rPr>
                <w:noProof/>
                <w:webHidden/>
              </w:rPr>
              <w:tab/>
            </w:r>
            <w:r w:rsidR="003C432A">
              <w:rPr>
                <w:noProof/>
                <w:webHidden/>
              </w:rPr>
              <w:fldChar w:fldCharType="begin"/>
            </w:r>
            <w:r w:rsidR="003C432A">
              <w:rPr>
                <w:noProof/>
                <w:webHidden/>
              </w:rPr>
              <w:instrText xml:space="preserve"> PAGEREF _Toc165841877 \h </w:instrText>
            </w:r>
            <w:r w:rsidR="003C432A">
              <w:rPr>
                <w:noProof/>
                <w:webHidden/>
              </w:rPr>
            </w:r>
            <w:r w:rsidR="003C432A">
              <w:rPr>
                <w:noProof/>
                <w:webHidden/>
              </w:rPr>
              <w:fldChar w:fldCharType="separate"/>
            </w:r>
            <w:r w:rsidR="003C432A">
              <w:rPr>
                <w:noProof/>
                <w:webHidden/>
              </w:rPr>
              <w:t>9</w:t>
            </w:r>
            <w:r w:rsidR="003C432A">
              <w:rPr>
                <w:noProof/>
                <w:webHidden/>
              </w:rPr>
              <w:fldChar w:fldCharType="end"/>
            </w:r>
          </w:hyperlink>
        </w:p>
        <w:p w14:paraId="6AE5AB6D" w14:textId="59174CA8" w:rsidR="003C432A" w:rsidRDefault="00000000">
          <w:pPr>
            <w:pStyle w:val="TOC3"/>
            <w:tabs>
              <w:tab w:val="right" w:leader="dot" w:pos="9350"/>
            </w:tabs>
            <w:rPr>
              <w:rFonts w:eastAsiaTheme="minorEastAsia" w:cstheme="minorBidi"/>
              <w:noProof/>
              <w:sz w:val="24"/>
              <w:szCs w:val="24"/>
              <w:lang w:eastAsia="es-CL"/>
            </w:rPr>
          </w:pPr>
          <w:hyperlink w:anchor="_Toc165841878" w:history="1">
            <w:r w:rsidR="003C432A" w:rsidRPr="00F736CE">
              <w:rPr>
                <w:rStyle w:val="Hyperlink"/>
                <w:noProof/>
              </w:rPr>
              <w:t>Rendimientos Globales</w:t>
            </w:r>
            <w:r w:rsidR="003C432A">
              <w:rPr>
                <w:noProof/>
                <w:webHidden/>
              </w:rPr>
              <w:tab/>
            </w:r>
            <w:r w:rsidR="003C432A">
              <w:rPr>
                <w:noProof/>
                <w:webHidden/>
              </w:rPr>
              <w:fldChar w:fldCharType="begin"/>
            </w:r>
            <w:r w:rsidR="003C432A">
              <w:rPr>
                <w:noProof/>
                <w:webHidden/>
              </w:rPr>
              <w:instrText xml:space="preserve"> PAGEREF _Toc165841878 \h </w:instrText>
            </w:r>
            <w:r w:rsidR="003C432A">
              <w:rPr>
                <w:noProof/>
                <w:webHidden/>
              </w:rPr>
            </w:r>
            <w:r w:rsidR="003C432A">
              <w:rPr>
                <w:noProof/>
                <w:webHidden/>
              </w:rPr>
              <w:fldChar w:fldCharType="separate"/>
            </w:r>
            <w:r w:rsidR="003C432A">
              <w:rPr>
                <w:noProof/>
                <w:webHidden/>
              </w:rPr>
              <w:t>11</w:t>
            </w:r>
            <w:r w:rsidR="003C432A">
              <w:rPr>
                <w:noProof/>
                <w:webHidden/>
              </w:rPr>
              <w:fldChar w:fldCharType="end"/>
            </w:r>
          </w:hyperlink>
        </w:p>
        <w:p w14:paraId="07EE769A" w14:textId="7912CFED" w:rsidR="003C432A" w:rsidRDefault="00000000">
          <w:pPr>
            <w:pStyle w:val="TOC3"/>
            <w:tabs>
              <w:tab w:val="right" w:leader="dot" w:pos="9350"/>
            </w:tabs>
            <w:rPr>
              <w:rFonts w:eastAsiaTheme="minorEastAsia" w:cstheme="minorBidi"/>
              <w:noProof/>
              <w:sz w:val="24"/>
              <w:szCs w:val="24"/>
              <w:lang w:eastAsia="es-CL"/>
            </w:rPr>
          </w:pPr>
          <w:hyperlink w:anchor="_Toc165841879" w:history="1">
            <w:r w:rsidR="003C432A" w:rsidRPr="00F736CE">
              <w:rPr>
                <w:rStyle w:val="Hyperlink"/>
                <w:noProof/>
              </w:rPr>
              <w:t>Reducción de Emisiones</w:t>
            </w:r>
            <w:r w:rsidR="003C432A">
              <w:rPr>
                <w:noProof/>
                <w:webHidden/>
              </w:rPr>
              <w:tab/>
            </w:r>
            <w:r w:rsidR="003C432A">
              <w:rPr>
                <w:noProof/>
                <w:webHidden/>
              </w:rPr>
              <w:fldChar w:fldCharType="begin"/>
            </w:r>
            <w:r w:rsidR="003C432A">
              <w:rPr>
                <w:noProof/>
                <w:webHidden/>
              </w:rPr>
              <w:instrText xml:space="preserve"> PAGEREF _Toc165841879 \h </w:instrText>
            </w:r>
            <w:r w:rsidR="003C432A">
              <w:rPr>
                <w:noProof/>
                <w:webHidden/>
              </w:rPr>
            </w:r>
            <w:r w:rsidR="003C432A">
              <w:rPr>
                <w:noProof/>
                <w:webHidden/>
              </w:rPr>
              <w:fldChar w:fldCharType="separate"/>
            </w:r>
            <w:r w:rsidR="003C432A">
              <w:rPr>
                <w:noProof/>
                <w:webHidden/>
              </w:rPr>
              <w:t>13</w:t>
            </w:r>
            <w:r w:rsidR="003C432A">
              <w:rPr>
                <w:noProof/>
                <w:webHidden/>
              </w:rPr>
              <w:fldChar w:fldCharType="end"/>
            </w:r>
          </w:hyperlink>
        </w:p>
        <w:p w14:paraId="6248AB1D" w14:textId="0AA45F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80" w:history="1">
            <w:r w:rsidR="003C432A" w:rsidRPr="00F736CE">
              <w:rPr>
                <w:rStyle w:val="Hyperlink"/>
                <w:noProof/>
              </w:rPr>
              <w:t>Rentabilidad</w:t>
            </w:r>
            <w:r w:rsidR="003C432A">
              <w:rPr>
                <w:noProof/>
                <w:webHidden/>
              </w:rPr>
              <w:tab/>
            </w:r>
            <w:r w:rsidR="003C432A">
              <w:rPr>
                <w:noProof/>
                <w:webHidden/>
              </w:rPr>
              <w:fldChar w:fldCharType="begin"/>
            </w:r>
            <w:r w:rsidR="003C432A">
              <w:rPr>
                <w:noProof/>
                <w:webHidden/>
              </w:rPr>
              <w:instrText xml:space="preserve"> PAGEREF _Toc165841880 \h </w:instrText>
            </w:r>
            <w:r w:rsidR="003C432A">
              <w:rPr>
                <w:noProof/>
                <w:webHidden/>
              </w:rPr>
            </w:r>
            <w:r w:rsidR="003C432A">
              <w:rPr>
                <w:noProof/>
                <w:webHidden/>
              </w:rPr>
              <w:fldChar w:fldCharType="separate"/>
            </w:r>
            <w:r w:rsidR="003C432A">
              <w:rPr>
                <w:noProof/>
                <w:webHidden/>
              </w:rPr>
              <w:t>14</w:t>
            </w:r>
            <w:r w:rsidR="003C432A">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 </w:t>
      </w:r>
      <w:proofErr w:type="spellStart"/>
      <w:r w:rsidR="001F0031" w:rsidRPr="00AE0556">
        <w:t>project.building.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r w:rsidRPr="00AE0556">
              <w:rPr>
                <w:b w:val="0"/>
                <w:bCs w:val="0"/>
              </w:rPr>
              <w:t xml:space="preserve">{{ </w:t>
            </w:r>
            <w:r w:rsidR="001E7EBF" w:rsidRPr="00AE0556">
              <w:rPr>
                <w:b w:val="0"/>
                <w:bCs w:val="0"/>
              </w:rPr>
              <w:t>project.building.name</w:t>
            </w:r>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001E7EBF" w:rsidRPr="00AE0556">
              <w:t>project.building.address</w:t>
            </w:r>
            <w:proofErr w:type="spellEnd"/>
            <w:r w:rsidRPr="00AE0556">
              <w:t xml:space="preserve"> }}</w:t>
            </w:r>
          </w:p>
        </w:tc>
      </w:tr>
      <w:tr w:rsidR="008E192E" w:rsidRPr="00777CA3"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r w:rsidRPr="00AE0556">
                    <w:rPr>
                      <w:sz w:val="18"/>
                      <w:szCs w:val="18"/>
                    </w:rPr>
                    <w:t xml:space="preserve">{{ </w:t>
                  </w:r>
                  <w:proofErr w:type="spellStart"/>
                  <w:r w:rsidRPr="00AE0556">
                    <w:rPr>
                      <w:sz w:val="18"/>
                      <w:szCs w:val="18"/>
                    </w:rPr>
                    <w:t>project.building.geolocation.latitude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r w:rsidRPr="00AE0556">
                    <w:rPr>
                      <w:sz w:val="18"/>
                      <w:szCs w:val="18"/>
                    </w:rPr>
                    <w:t xml:space="preserve">{{ </w:t>
                  </w:r>
                  <w:proofErr w:type="spellStart"/>
                  <w:r w:rsidRPr="00AE0556">
                    <w:rPr>
                      <w:sz w:val="18"/>
                      <w:szCs w:val="18"/>
                    </w:rPr>
                    <w:t>project.building.geolocation.longitude</w:t>
                  </w:r>
                  <w:proofErr w:type="spellEnd"/>
                  <w:r w:rsidRPr="00AE0556">
                    <w:rPr>
                      <w:sz w:val="18"/>
                      <w:szCs w:val="18"/>
                    </w:rPr>
                    <w:t xml:space="preserve"> }}</w:t>
                  </w:r>
                </w:p>
              </w:tc>
            </w:tr>
            <w:tr w:rsidR="001F0031" w:rsidRPr="00777CA3"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r w:rsidRPr="00730D8F">
                    <w:rPr>
                      <w:sz w:val="18"/>
                      <w:szCs w:val="18"/>
                      <w:lang w:val="en-US"/>
                    </w:rPr>
                    <w:t xml:space="preserve">{{ </w:t>
                  </w:r>
                  <w:proofErr w:type="spellStart"/>
                  <w:r w:rsidRPr="00730D8F">
                    <w:rPr>
                      <w:sz w:val="18"/>
                      <w:szCs w:val="18"/>
                      <w:lang w:val="en-US"/>
                    </w:rPr>
                    <w:t>project.building.geolocation.altitude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r w:rsidRPr="00AE0556">
        <w:t xml:space="preserve">{{ </w:t>
      </w:r>
      <w:proofErr w:type="spellStart"/>
      <w:r w:rsidR="008E192E" w:rsidRPr="00AE0556">
        <w:t>geolocation_map</w:t>
      </w:r>
      <w:proofErr w:type="spellEnd"/>
      <w:r w:rsidRPr="00AE0556">
        <w:t xml:space="preserve"> }}</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r w:rsidR="00E76ACB">
        <w:rPr>
          <w:rStyle w:val="SubtleReference"/>
          <w:smallCaps w:val="0"/>
          <w:color w:val="auto"/>
        </w:rPr>
        <w:t>gmaps</w:t>
      </w:r>
      <w:proofErr w:type="spellEnd"/>
      <w:r w:rsidR="00E76ACB">
        <w:rPr>
          <w:rStyle w:val="SubtleReference"/>
          <w:smallCaps w:val="0"/>
          <w:color w:val="auto"/>
        </w:rPr>
        <w:t xml:space="preserve"> }}</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r w:rsidR="00566222" w:rsidRPr="00AE0556">
        <w:rPr>
          <w:rStyle w:val="Strong"/>
        </w:rPr>
        <w:t xml:space="preserve">{{ </w:t>
      </w:r>
      <w:proofErr w:type="spellStart"/>
      <w:r w:rsidR="00C04208" w:rsidRPr="00AE0556">
        <w:rPr>
          <w:rStyle w:val="Strong"/>
        </w:rPr>
        <w:t>project.area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r w:rsidRPr="00AE0556">
        <w:rPr>
          <w:rStyle w:val="Strong"/>
        </w:rPr>
        <w:t xml:space="preserve">{{ </w:t>
      </w:r>
      <w:r w:rsidR="001E7EBF" w:rsidRPr="00AE0556">
        <w:rPr>
          <w:rStyle w:val="Strong"/>
        </w:rPr>
        <w:t>project.building.</w:t>
      </w:r>
      <w:r w:rsidRPr="00AE0556">
        <w:rPr>
          <w:rStyle w:val="Strong"/>
        </w:rPr>
        <w:t>name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r w:rsidRPr="00AE0556">
        <w:t xml:space="preserve">{{ </w:t>
      </w:r>
      <w:proofErr w:type="spellStart"/>
      <w:r w:rsidRPr="00AE0556">
        <w:t>table_base_consumptions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B6880CD"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r w:rsidRPr="00AE0556">
        <w:rPr>
          <w:rStyle w:val="SubtleReference"/>
          <w:vertAlign w:val="subscript"/>
        </w:rPr>
        <w:t>inferior</w:t>
      </w:r>
      <w:r w:rsidRPr="00AE0556">
        <w:rPr>
          <w:rStyle w:val="SubtleReference"/>
        </w:rPr>
        <w:t>}</w:t>
      </w:r>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r w:rsidR="00566222" w:rsidRPr="00AE0556">
        <w:rPr>
          <w:rStyle w:val="Strong"/>
        </w:rPr>
        <w:t xml:space="preserve">{{ </w:t>
      </w:r>
      <w:proofErr w:type="spellStart"/>
      <w:r w:rsidR="00566222" w:rsidRPr="00AE0556">
        <w:rPr>
          <w:rStyle w:val="Strong"/>
        </w:rPr>
        <w:t>forecast_consumption</w:t>
      </w:r>
      <w:proofErr w:type="spellEnd"/>
      <w:r w:rsidR="00566222" w:rsidRPr="00AE0556">
        <w:rPr>
          <w:rStyle w:val="Strong"/>
        </w:rPr>
        <w:t xml:space="preserve"> }}</w:t>
      </w:r>
      <w:r w:rsidR="00566222" w:rsidRPr="00AE0556">
        <w:t xml:space="preserve">, </w:t>
      </w:r>
      <w:r>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r w:rsidRPr="00D9767C">
        <w:t xml:space="preserve">{{ </w:t>
      </w:r>
      <w:proofErr w:type="spellStart"/>
      <w:r w:rsidRPr="00D9767C">
        <w:t>table_forecast_consumptions</w:t>
      </w:r>
      <w:proofErr w:type="spellEnd"/>
      <w:r w:rsidRPr="00D9767C">
        <w:t xml:space="preserve">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r w:rsidRPr="00AE0556">
        <w:rPr>
          <w:rStyle w:val="Strong"/>
        </w:rPr>
        <w:t xml:space="preserve">{{ </w:t>
      </w:r>
      <w:proofErr w:type="spellStart"/>
      <w:r w:rsidR="00EB77CF" w:rsidRPr="00AE0556">
        <w:rPr>
          <w:rStyle w:val="Strong"/>
        </w:rPr>
        <w:t>project.building.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r w:rsidR="00346B1D" w:rsidRPr="00AE0556">
        <w:rPr>
          <w:rStyle w:val="Strong"/>
        </w:rPr>
        <w:t xml:space="preserve">{{ </w:t>
      </w:r>
      <w:proofErr w:type="spellStart"/>
      <w:r w:rsidR="00346B1D" w:rsidRPr="00AE0556">
        <w:rPr>
          <w:rStyle w:val="Strong"/>
        </w:rPr>
        <w:t>project_type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r w:rsidRPr="00AE0556">
        <w:rPr>
          <w:rStyle w:val="Strong"/>
        </w:rPr>
        <w:t xml:space="preserve">{{ </w:t>
      </w:r>
      <w:proofErr w:type="spellStart"/>
      <w:r w:rsidRPr="00AE0556">
        <w:rPr>
          <w:rStyle w:val="Strong"/>
        </w:rPr>
        <w:t>project_size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r w:rsidRPr="00AE0556">
        <w:t xml:space="preserve">{{ </w:t>
      </w:r>
      <w:proofErr w:type="spellStart"/>
      <w:r w:rsidRPr="00AE0556">
        <w:t>table_components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52EEF35E">
            <wp:extent cx="6217920" cy="4319905"/>
            <wp:effectExtent l="0" t="0" r="0" b="4445"/>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062" cy="4320004"/>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 </w:t>
      </w:r>
      <w:proofErr w:type="spellStart"/>
      <w:r w:rsidRPr="00AE0556">
        <w:t>forecast_consumption</w:t>
      </w:r>
      <w:proofErr w:type="spellEnd"/>
      <w:r w:rsidRPr="00AE0556">
        <w:t xml:space="preserve"> }}. De esta producción {{ </w:t>
      </w:r>
      <w:proofErr w:type="spellStart"/>
      <w:r w:rsidRPr="00AE0556">
        <w:t>energy_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730C538E" w:rsidR="00107D22" w:rsidRPr="00AE0556" w:rsidRDefault="00E967E2" w:rsidP="00D82198">
      <w:r w:rsidRPr="00AE0556">
        <w:t>M</w:t>
      </w:r>
      <w:r w:rsidR="00107D22" w:rsidRPr="00AE0556">
        <w:t xml:space="preserve">ientras </w:t>
      </w:r>
      <w:r w:rsidRPr="00AE0556">
        <w:t xml:space="preserve">por otro </w:t>
      </w:r>
      <w:r w:rsidR="00F901AB" w:rsidRPr="00AE0556">
        <w:t>lado, {</w:t>
      </w:r>
      <w:r w:rsidR="00107D22" w:rsidRPr="00AE0556">
        <w:t xml:space="preserve">{ </w:t>
      </w:r>
      <w:proofErr w:type="spellStart"/>
      <w:r w:rsidR="00107D22" w:rsidRPr="00AE0556">
        <w:t>energy_netbilling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Pr="00AE0556">
              <w:t>forecast_consumptio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xml:space="preserve">{{ </w:t>
            </w:r>
            <w:proofErr w:type="spellStart"/>
            <w:r w:rsidRPr="00AE0556">
              <w:t>energy_production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Pr="00AE0556">
              <w:t>energy_netbilling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r w:rsidRPr="00AE0556">
              <w:t>auto-consumo</w:t>
            </w:r>
            <w:proofErr w:type="spell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xml:space="preserve">{{ </w:t>
            </w:r>
            <w:proofErr w:type="spellStart"/>
            <w:r w:rsidRPr="00AE0556">
              <w:t>energy_savings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 </w:t>
      </w:r>
      <w:proofErr w:type="spellStart"/>
      <w:r w:rsidRPr="00AE0556">
        <w:t>proyect_type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r w:rsidRPr="00AE0556">
        <w:t xml:space="preserve">{{ </w:t>
      </w:r>
      <w:proofErr w:type="spellStart"/>
      <w:r w:rsidRPr="00AE0556">
        <w:t>table_energy_components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norte )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66FD9A0F"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r w:rsidR="00F901AB">
        <w:t>horario y</w:t>
      </w:r>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r>
        <w:t xml:space="preserve">{{ </w:t>
      </w:r>
      <w:proofErr w:type="spellStart"/>
      <w:r w:rsidR="00285BBB">
        <w:t>table_production_array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 </w:t>
      </w:r>
      <w:proofErr w:type="spellStart"/>
      <w:r>
        <w:t>energy_production</w:t>
      </w:r>
      <w:proofErr w:type="spellEnd"/>
      <w:r>
        <w:t xml:space="preserve"> }}. En extensión de la misma, junto con la demanda futura estimada de {{ </w:t>
      </w:r>
      <w:proofErr w:type="spellStart"/>
      <w:r>
        <w:t>forecast_consumption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 </w:t>
      </w:r>
      <w:proofErr w:type="spellStart"/>
      <w:r>
        <w:t>energy_netbilling</w:t>
      </w:r>
      <w:proofErr w:type="spellEnd"/>
      <w:r>
        <w:t xml:space="preserve">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r>
        <w:t>{{</w:t>
      </w:r>
      <w:r w:rsidR="00A67B57">
        <w:t xml:space="preserve"> </w:t>
      </w:r>
      <w:proofErr w:type="spellStart"/>
      <w:r w:rsidR="00C66D73" w:rsidRPr="00C66D73">
        <w:t>table_production_performance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 </w:t>
      </w:r>
      <w:proofErr w:type="spellStart"/>
      <w:r>
        <w:t>pro</w:t>
      </w:r>
      <w:r w:rsidR="00E513D8">
        <w:t>j</w:t>
      </w:r>
      <w:r>
        <w:t>ect_size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 </w:t>
      </w:r>
      <w:proofErr w:type="spellStart"/>
      <w:r>
        <w:t>energy_production</w:t>
      </w:r>
      <w:proofErr w:type="spellEnd"/>
      <w:r>
        <w:t xml:space="preserve"> }} a una demanda proyectada de {{ </w:t>
      </w:r>
      <w:proofErr w:type="spellStart"/>
      <w:r>
        <w:t>forecast_consumption</w:t>
      </w:r>
      <w:proofErr w:type="spellEnd"/>
      <w:r>
        <w:t xml:space="preserve">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w:t>
      </w:r>
      <w:proofErr w:type="spellStart"/>
      <w:r>
        <w:t>if</w:t>
      </w:r>
      <w:proofErr w:type="spellEnd"/>
      <w:r>
        <w:t xml:space="preserve"> </w:t>
      </w:r>
      <w:proofErr w:type="spellStart"/>
      <w:r>
        <w:t>storage_existance</w:t>
      </w:r>
      <w:proofErr w:type="spellEnd"/>
      <w:r>
        <w:t xml:space="preserve">  </w:t>
      </w:r>
      <w:r w:rsidR="00D85578">
        <w:t>-</w:t>
      </w:r>
      <w:r>
        <w:t>%}</w:t>
      </w:r>
    </w:p>
    <w:p w14:paraId="55FAFF76" w14:textId="230DD49B"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r w:rsidRPr="00FF0265">
        <w:rPr>
          <w:b/>
          <w:bCs/>
        </w:rPr>
        <w:t xml:space="preserve">{{ </w:t>
      </w:r>
      <w:proofErr w:type="spellStart"/>
      <w:r w:rsidRPr="00FF0265">
        <w:rPr>
          <w:b/>
          <w:bCs/>
        </w:rPr>
        <w:t>storage_capacity.hours_autonomy</w:t>
      </w:r>
      <w:proofErr w:type="spellEnd"/>
      <w:r w:rsidRPr="00FF0265">
        <w:rPr>
          <w:b/>
          <w:bCs/>
        </w:rPr>
        <w:t xml:space="preserve"> }}</w:t>
      </w:r>
      <w:r>
        <w:t xml:space="preserve"> horas de autonomía, con la cual se busca satisface</w:t>
      </w:r>
      <w:r w:rsidR="00B750F6">
        <w:t>r</w:t>
      </w:r>
      <w:r>
        <w:t xml:space="preserve"> necesidades básicas de operación y comunicación en dicho establecimiento</w:t>
      </w:r>
      <w:r w:rsidR="00B750F6">
        <w:t xml:space="preserve">. </w:t>
      </w:r>
      <w:r>
        <w:t>Para los cuales se requiere 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storage</w:t>
            </w:r>
            <w:proofErr w:type="gramEnd"/>
            <w:r>
              <w:t>_capacity.specification</w:t>
            </w:r>
            <w:proofErr w:type="spellEnd"/>
            <w:r>
              <w:t xml:space="preserve"> }}</w:t>
            </w:r>
          </w:p>
        </w:tc>
      </w:tr>
      <w:tr w:rsidR="00FF0265" w:rsidRPr="00777CA3"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sidRPr="004270F6">
              <w:rPr>
                <w:lang w:val="en-US"/>
              </w:rPr>
              <w:t xml:space="preserve">{{ </w:t>
            </w:r>
            <w:proofErr w:type="spellStart"/>
            <w:r w:rsidRPr="004270F6">
              <w:rPr>
                <w:lang w:val="en-US"/>
              </w:rPr>
              <w:t>storage</w:t>
            </w:r>
            <w:proofErr w:type="gramEnd"/>
            <w:r w:rsidRPr="004270F6">
              <w:rPr>
                <w:lang w:val="en-US"/>
              </w:rPr>
              <w:t>_capacity.energy_storage_kwh</w:t>
            </w:r>
            <w:proofErr w:type="spellEnd"/>
            <w:r w:rsidRPr="004270F6">
              <w:rPr>
                <w:lang w:val="en-US"/>
              </w:rPr>
              <w:t xml:space="preserve"> }} kWh</w:t>
            </w:r>
          </w:p>
        </w:tc>
      </w:tr>
      <w:tr w:rsidR="00FF0265" w:rsidRPr="00777CA3"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 xml:space="preserve">Horas de </w:t>
            </w:r>
            <w:proofErr w:type="spellStart"/>
            <w:r>
              <w:rPr>
                <w:lang w:val="en-US"/>
              </w:rPr>
              <w:t>autonomía</w:t>
            </w:r>
            <w:proofErr w:type="spellEnd"/>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_capacity.hours_autonomy</w:t>
            </w:r>
            <w:proofErr w:type="spellEnd"/>
            <w:r>
              <w:rPr>
                <w:lang w:val="en-US"/>
              </w:rPr>
              <w:t xml:space="preserve"> }} </w:t>
            </w:r>
            <w:proofErr w:type="spellStart"/>
            <w:r>
              <w:rPr>
                <w:lang w:val="en-US"/>
              </w:rPr>
              <w:t>Hrs</w:t>
            </w:r>
            <w:proofErr w:type="spellEnd"/>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proofErr w:type="spellStart"/>
            <w:r>
              <w:rPr>
                <w:lang w:val="en-US"/>
              </w:rPr>
              <w:t>Cantidad</w:t>
            </w:r>
            <w:proofErr w:type="spellEnd"/>
            <w:r>
              <w:rPr>
                <w:lang w:val="en-US"/>
              </w:rPr>
              <w:t xml:space="preserve"> de </w:t>
            </w:r>
            <w:proofErr w:type="spellStart"/>
            <w:r w:rsidR="002E34B9">
              <w:rPr>
                <w:lang w:val="en-US"/>
              </w:rPr>
              <w:t>m</w:t>
            </w:r>
            <w:r>
              <w:rPr>
                <w:lang w:val="en-US"/>
              </w:rPr>
              <w:t>ódulos</w:t>
            </w:r>
            <w:proofErr w:type="spellEnd"/>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_capacity.units</w:t>
            </w:r>
            <w:proofErr w:type="spellEnd"/>
            <w:r>
              <w:rPr>
                <w:lang w:val="en-US"/>
              </w:rPr>
              <w:t xml:space="preserve"> }}</w:t>
            </w:r>
          </w:p>
        </w:tc>
      </w:tr>
    </w:tbl>
    <w:p w14:paraId="18EE092F" w14:textId="4E0317E4" w:rsidR="00513EAA" w:rsidRDefault="00513EAA" w:rsidP="00F81D11">
      <w:pPr>
        <w:rPr>
          <w:lang w:val="en-US"/>
        </w:rPr>
      </w:pPr>
    </w:p>
    <w:p w14:paraId="35F8E458" w14:textId="273CA730" w:rsidR="00B750F6" w:rsidRPr="00B750F6" w:rsidRDefault="00B750F6" w:rsidP="00F81D11">
      <w:r>
        <w:t xml:space="preserve">El servicio de almacenamiento se conforma de un sistema MIXTO de suministro energético, donde </w:t>
      </w:r>
      <w:r w:rsidR="00A210B6">
        <w:t>se</w:t>
      </w:r>
      <w:r>
        <w:t xml:space="preserve"> complementan baterías con “generación distribuida” o net-</w:t>
      </w:r>
      <w:proofErr w:type="spellStart"/>
      <w:r>
        <w:t>billing</w:t>
      </w:r>
      <w:proofErr w:type="spellEnd"/>
      <w:r>
        <w:t xml:space="preserve">. Dicha configuración requiere el </w:t>
      </w:r>
      <w:r>
        <w:lastRenderedPageBreak/>
        <w:t xml:space="preserve">equipamiento adecuado como Inversores MIXTOS capaces de administrar dichos flujos de forma constante y segura. El sistema de baterías NO es para operación permanente y queda </w:t>
      </w:r>
      <w:r w:rsidRPr="00B750F6">
        <w:rPr>
          <w:b/>
          <w:bCs/>
        </w:rPr>
        <w:t>exclusivamente para situaciones excepcionales como emergencias de catástrofes</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w:t>
      </w:r>
      <w:proofErr w:type="spellStart"/>
      <w:r w:rsidRPr="00B750F6">
        <w:t>else</w:t>
      </w:r>
      <w:proofErr w:type="spellEnd"/>
      <w:r w:rsidRPr="00B750F6">
        <w:t xml:space="preserv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w:t>
      </w:r>
      <w:proofErr w:type="spellStart"/>
      <w:r>
        <w:t>endif</w:t>
      </w:r>
      <w:proofErr w:type="spellEnd"/>
      <w:r>
        <w:t xml:space="preserve"> %}</w:t>
      </w:r>
      <w:bookmarkStart w:id="14" w:name="_Toc165841879"/>
    </w:p>
    <w:p w14:paraId="0B388C7B" w14:textId="419577E2" w:rsidR="005F6EBD" w:rsidRPr="00513EAA" w:rsidRDefault="005F6EBD" w:rsidP="00513EAA">
      <w:pPr>
        <w:pStyle w:val="Heading3"/>
      </w:pPr>
      <w:r>
        <w:t>Reducción de Emisiones</w:t>
      </w:r>
      <w:bookmarkEnd w:id="14"/>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.rate</w:t>
            </w:r>
            <w:proofErr w:type="spellEnd"/>
            <w:r>
              <w:t xml:space="preserv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w:t>
      </w:r>
      <w:proofErr w:type="gramStart"/>
      <w:r>
        <w:t xml:space="preserve">{{ </w:t>
      </w:r>
      <w:proofErr w:type="spellStart"/>
      <w:r>
        <w:t>eco</w:t>
      </w:r>
      <w:proofErr w:type="gramEnd"/>
      <w:r>
        <w:t>.years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proofErr w:type="spellStart"/>
            <w:r w:rsidRPr="00954284">
              <w:t>Nom</w:t>
            </w:r>
            <w:proofErr w:type="spellEnd"/>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eco.irr</w:t>
            </w:r>
            <w:proofErr w:type="spellEnd"/>
            <w:proofErr w:type="gram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954284">
              <w:t xml:space="preserve">{{ </w:t>
            </w:r>
            <w:proofErr w:type="spellStart"/>
            <w:r w:rsidRPr="00954284">
              <w:t>eco.npv</w:t>
            </w:r>
            <w:proofErr w:type="spellEnd"/>
            <w:proofErr w:type="gram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w:t>
            </w:r>
            <w:proofErr w:type="gramEnd"/>
            <w:r w:rsidRPr="00954284">
              <w:t>.return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w:t>
      </w:r>
      <w:proofErr w:type="gramStart"/>
      <w:r>
        <w:t xml:space="preserve">{{ </w:t>
      </w:r>
      <w:proofErr w:type="spellStart"/>
      <w:r>
        <w:t>eco.npv</w:t>
      </w:r>
      <w:proofErr w:type="spellEnd"/>
      <w:proofErr w:type="gramEnd"/>
      <w:r>
        <w:t xml:space="preserve"> }}, podemos inferir que es un proyecto </w:t>
      </w:r>
    </w:p>
    <w:p w14:paraId="6BE4786D" w14:textId="77777777" w:rsidR="00B76CC4" w:rsidRPr="00B76CC4" w:rsidRDefault="00F706B3" w:rsidP="0006483F">
      <w:pPr>
        <w:rPr>
          <w:lang w:val="en-US"/>
        </w:rPr>
      </w:pPr>
      <w:r w:rsidRPr="00B76CC4">
        <w:rPr>
          <w:lang w:val="en-US"/>
        </w:rPr>
        <w:t>{%</w:t>
      </w:r>
      <w:r w:rsidR="00724834" w:rsidRPr="00B76CC4">
        <w:rPr>
          <w:lang w:val="en-US"/>
        </w:rPr>
        <w:t>-</w:t>
      </w:r>
      <w:r w:rsidRPr="00B76CC4">
        <w:rPr>
          <w:lang w:val="en-US"/>
        </w:rPr>
        <w:t xml:space="preserve"> if </w:t>
      </w:r>
      <w:proofErr w:type="spellStart"/>
      <w:r w:rsidR="00724834" w:rsidRPr="00B76CC4">
        <w:rPr>
          <w:lang w:val="en-US"/>
        </w:rPr>
        <w:t>eco_num.npv_bool</w:t>
      </w:r>
      <w:proofErr w:type="spellEnd"/>
      <w:r w:rsidRPr="00B76CC4">
        <w:rPr>
          <w:lang w:val="en-US"/>
        </w:rPr>
        <w:t xml:space="preserve"> </w:t>
      </w:r>
      <w:r w:rsidR="00724834" w:rsidRPr="00B76CC4">
        <w:rPr>
          <w:lang w:val="en-US"/>
        </w:rPr>
        <w:t>-</w:t>
      </w:r>
      <w:r w:rsidRPr="00B76CC4">
        <w:rPr>
          <w:lang w:val="en-US"/>
        </w:rPr>
        <w:t xml:space="preserve">%} </w:t>
      </w:r>
    </w:p>
    <w:p w14:paraId="2B6AE56D" w14:textId="7EADC827" w:rsidR="00724834" w:rsidRPr="00CA57E7" w:rsidRDefault="00CA57E7" w:rsidP="0006483F">
      <w:r w:rsidRPr="00CA57E7">
        <w:t>con un flujo de caja que permite ren</w:t>
      </w:r>
      <w:r>
        <w:t>tabilidad positiva para invertir.</w:t>
      </w:r>
      <w:r w:rsidR="00F706B3" w:rsidRPr="00CA57E7">
        <w:t xml:space="preserve"> </w:t>
      </w:r>
    </w:p>
    <w:p w14:paraId="37BF8200" w14:textId="77777777" w:rsidR="00B76CC4" w:rsidRDefault="00F706B3" w:rsidP="0006483F">
      <w:r>
        <w:t>{%</w:t>
      </w:r>
      <w:r w:rsidR="00724834">
        <w:t>-</w:t>
      </w:r>
      <w:r>
        <w:t xml:space="preserve"> </w:t>
      </w:r>
      <w:proofErr w:type="spellStart"/>
      <w:r>
        <w:t>else</w:t>
      </w:r>
      <w:proofErr w:type="spellEnd"/>
      <w:r>
        <w:t xml:space="preserve"> </w:t>
      </w:r>
      <w:r w:rsidR="00724834">
        <w:t>-</w:t>
      </w:r>
      <w:r>
        <w:t xml:space="preserve">%} </w:t>
      </w:r>
    </w:p>
    <w:p w14:paraId="2B7192F0" w14:textId="36ECDBF8" w:rsidR="00724834" w:rsidRDefault="00F706B3" w:rsidP="0006483F">
      <w:r>
        <w:lastRenderedPageBreak/>
        <w:t>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t xml:space="preserve"> Con respecto a la tasa interna de retorno de </w:t>
      </w:r>
      <w:proofErr w:type="gramStart"/>
      <w:r>
        <w:t xml:space="preserve">{{ </w:t>
      </w:r>
      <w:proofErr w:type="spellStart"/>
      <w:r>
        <w:t>eco.irr</w:t>
      </w:r>
      <w:proofErr w:type="spellEnd"/>
      <w:proofErr w:type="gramEnd"/>
      <w:r>
        <w:t xml:space="preserve"> }}</w:t>
      </w:r>
      <w:r w:rsidR="0003306C">
        <w:t xml:space="preserve">, podemos concluir que </w:t>
      </w:r>
    </w:p>
    <w:p w14:paraId="7BE0E23C" w14:textId="7D540471" w:rsidR="00B76CC4" w:rsidRPr="00B76CC4" w:rsidRDefault="0003306C" w:rsidP="0006483F">
      <w:pPr>
        <w:rPr>
          <w:lang w:val="en-US"/>
        </w:rPr>
      </w:pPr>
      <w:r w:rsidRPr="00B76CC4">
        <w:rPr>
          <w:lang w:val="en-US"/>
        </w:rPr>
        <w:t>{%</w:t>
      </w:r>
      <w:r w:rsidR="00724834" w:rsidRPr="00B76CC4">
        <w:rPr>
          <w:lang w:val="en-US"/>
        </w:rPr>
        <w:t>-</w:t>
      </w:r>
      <w:r w:rsidRPr="00B76CC4">
        <w:rPr>
          <w:lang w:val="en-US"/>
        </w:rPr>
        <w:t xml:space="preserve"> </w:t>
      </w:r>
      <w:r w:rsidR="00724834" w:rsidRPr="00B76CC4">
        <w:rPr>
          <w:lang w:val="en-US"/>
        </w:rPr>
        <w:t>if eco_num.irr_bool</w:t>
      </w:r>
      <w:r w:rsidRPr="00B76CC4">
        <w:rPr>
          <w:lang w:val="en-US"/>
        </w:rPr>
        <w:t xml:space="preserve"> </w:t>
      </w:r>
      <w:r w:rsidR="00B76CC4" w:rsidRPr="00B76CC4">
        <w:rPr>
          <w:lang w:val="en-US"/>
        </w:rPr>
        <w:t>-</w:t>
      </w:r>
      <w:r w:rsidRPr="00B76CC4">
        <w:rPr>
          <w:lang w:val="en-US"/>
        </w:rPr>
        <w:t>%}</w:t>
      </w:r>
    </w:p>
    <w:p w14:paraId="3897DC8B" w14:textId="48EB09B9" w:rsidR="00724834" w:rsidRDefault="0003306C" w:rsidP="0006483F">
      <w:r>
        <w:t>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 xml:space="preserve">Capacidad sistema en </w:t>
      </w:r>
      <w:proofErr w:type="spellStart"/>
      <w:r>
        <w:t>kw</w:t>
      </w:r>
      <w:proofErr w:type="spellEnd"/>
      <w:r>
        <w:t>.</w:t>
      </w:r>
    </w:p>
    <w:p w14:paraId="46C2AD53" w14:textId="3A609A00" w:rsidR="009F5541" w:rsidRDefault="009F5541" w:rsidP="009F5541">
      <w:pPr>
        <w:pStyle w:val="ListParagraph"/>
        <w:numPr>
          <w:ilvl w:val="1"/>
          <w:numId w:val="3"/>
        </w:numPr>
        <w:jc w:val="left"/>
      </w:pPr>
      <w:r>
        <w:t>Clima</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proofErr w:type="spellStart"/>
      <w:r>
        <w:t>Netbilling</w:t>
      </w:r>
      <w:proofErr w:type="spellEnd"/>
      <w:r>
        <w:t>.</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64A42796" w14:textId="67804636" w:rsidR="009F5541" w:rsidRDefault="009F5541" w:rsidP="009F5541">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Pr="00642506" w:rsidRDefault="009F5541" w:rsidP="009F5541">
      <w:pPr>
        <w:pStyle w:val="ListParagraph"/>
        <w:numPr>
          <w:ilvl w:val="0"/>
          <w:numId w:val="3"/>
        </w:numPr>
        <w:jc w:val="left"/>
      </w:pPr>
      <w:r>
        <w:t>Bases técnicas.</w:t>
      </w:r>
    </w:p>
    <w:sectPr w:rsidR="009F5541" w:rsidRPr="0064250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27DDE" w14:textId="77777777" w:rsidR="005630C7" w:rsidRPr="00AE0556" w:rsidRDefault="005630C7" w:rsidP="00FD75CE">
      <w:pPr>
        <w:spacing w:after="0" w:line="240" w:lineRule="auto"/>
      </w:pPr>
      <w:r w:rsidRPr="00AE0556">
        <w:separator/>
      </w:r>
    </w:p>
  </w:endnote>
  <w:endnote w:type="continuationSeparator" w:id="0">
    <w:p w14:paraId="30D0210C" w14:textId="77777777" w:rsidR="005630C7" w:rsidRPr="00AE0556" w:rsidRDefault="005630C7"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73149" w14:textId="77777777" w:rsidR="005630C7" w:rsidRPr="00AE0556" w:rsidRDefault="005630C7" w:rsidP="00FD75CE">
      <w:pPr>
        <w:spacing w:after="0" w:line="240" w:lineRule="auto"/>
      </w:pPr>
      <w:r w:rsidRPr="00AE0556">
        <w:separator/>
      </w:r>
    </w:p>
  </w:footnote>
  <w:footnote w:type="continuationSeparator" w:id="0">
    <w:p w14:paraId="035A9A7B" w14:textId="77777777" w:rsidR="005630C7" w:rsidRPr="00AE0556" w:rsidRDefault="005630C7"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23DAB"/>
    <w:rsid w:val="0003306C"/>
    <w:rsid w:val="00060BA9"/>
    <w:rsid w:val="0006483F"/>
    <w:rsid w:val="0008278C"/>
    <w:rsid w:val="000A01DE"/>
    <w:rsid w:val="000C010F"/>
    <w:rsid w:val="000E2168"/>
    <w:rsid w:val="001070AC"/>
    <w:rsid w:val="00107D22"/>
    <w:rsid w:val="001237DA"/>
    <w:rsid w:val="0015284A"/>
    <w:rsid w:val="001644EC"/>
    <w:rsid w:val="0017688E"/>
    <w:rsid w:val="0017782C"/>
    <w:rsid w:val="00182808"/>
    <w:rsid w:val="001840C7"/>
    <w:rsid w:val="001C1B85"/>
    <w:rsid w:val="001D2EEB"/>
    <w:rsid w:val="001E7EBF"/>
    <w:rsid w:val="001F0031"/>
    <w:rsid w:val="00202014"/>
    <w:rsid w:val="00263839"/>
    <w:rsid w:val="00266EFE"/>
    <w:rsid w:val="00285BBB"/>
    <w:rsid w:val="002865FE"/>
    <w:rsid w:val="0028743C"/>
    <w:rsid w:val="00296D08"/>
    <w:rsid w:val="002C3B0F"/>
    <w:rsid w:val="002C6863"/>
    <w:rsid w:val="002E34B9"/>
    <w:rsid w:val="002F2559"/>
    <w:rsid w:val="002F6690"/>
    <w:rsid w:val="0031268C"/>
    <w:rsid w:val="003304C4"/>
    <w:rsid w:val="003357AC"/>
    <w:rsid w:val="00346B1D"/>
    <w:rsid w:val="003846C3"/>
    <w:rsid w:val="00387A57"/>
    <w:rsid w:val="00394E6E"/>
    <w:rsid w:val="00397652"/>
    <w:rsid w:val="003C377A"/>
    <w:rsid w:val="003C432A"/>
    <w:rsid w:val="003D5084"/>
    <w:rsid w:val="00405E65"/>
    <w:rsid w:val="0042024C"/>
    <w:rsid w:val="0042228C"/>
    <w:rsid w:val="00424162"/>
    <w:rsid w:val="00424641"/>
    <w:rsid w:val="004270F6"/>
    <w:rsid w:val="00462CB0"/>
    <w:rsid w:val="0047101F"/>
    <w:rsid w:val="0047234A"/>
    <w:rsid w:val="00476D0E"/>
    <w:rsid w:val="0048509E"/>
    <w:rsid w:val="004A0C66"/>
    <w:rsid w:val="004B179C"/>
    <w:rsid w:val="004D5A0E"/>
    <w:rsid w:val="004F4C4F"/>
    <w:rsid w:val="004F6FB7"/>
    <w:rsid w:val="00502941"/>
    <w:rsid w:val="0050347E"/>
    <w:rsid w:val="00504C10"/>
    <w:rsid w:val="005062A6"/>
    <w:rsid w:val="00513EAA"/>
    <w:rsid w:val="00515387"/>
    <w:rsid w:val="00522AB0"/>
    <w:rsid w:val="00525631"/>
    <w:rsid w:val="00527520"/>
    <w:rsid w:val="005429D5"/>
    <w:rsid w:val="00545596"/>
    <w:rsid w:val="00555B99"/>
    <w:rsid w:val="005561DB"/>
    <w:rsid w:val="005630C7"/>
    <w:rsid w:val="005647DF"/>
    <w:rsid w:val="00566222"/>
    <w:rsid w:val="00575DBD"/>
    <w:rsid w:val="00584B41"/>
    <w:rsid w:val="00585560"/>
    <w:rsid w:val="00594619"/>
    <w:rsid w:val="005A5C1E"/>
    <w:rsid w:val="005D2311"/>
    <w:rsid w:val="005E3F36"/>
    <w:rsid w:val="005E52E6"/>
    <w:rsid w:val="005F5E34"/>
    <w:rsid w:val="005F6EBD"/>
    <w:rsid w:val="006004A9"/>
    <w:rsid w:val="00600B46"/>
    <w:rsid w:val="006240F9"/>
    <w:rsid w:val="00630D47"/>
    <w:rsid w:val="00631099"/>
    <w:rsid w:val="006310F7"/>
    <w:rsid w:val="00635F79"/>
    <w:rsid w:val="00642506"/>
    <w:rsid w:val="0065352E"/>
    <w:rsid w:val="00661198"/>
    <w:rsid w:val="00663154"/>
    <w:rsid w:val="00670A2A"/>
    <w:rsid w:val="00672776"/>
    <w:rsid w:val="00675480"/>
    <w:rsid w:val="006A5828"/>
    <w:rsid w:val="006F0E24"/>
    <w:rsid w:val="006F1178"/>
    <w:rsid w:val="007156D5"/>
    <w:rsid w:val="00720CF7"/>
    <w:rsid w:val="00724834"/>
    <w:rsid w:val="00730D8F"/>
    <w:rsid w:val="00731561"/>
    <w:rsid w:val="007371BC"/>
    <w:rsid w:val="00777CA3"/>
    <w:rsid w:val="007805CC"/>
    <w:rsid w:val="007839F6"/>
    <w:rsid w:val="007918F7"/>
    <w:rsid w:val="007957B8"/>
    <w:rsid w:val="007B6974"/>
    <w:rsid w:val="007C4386"/>
    <w:rsid w:val="007E34A4"/>
    <w:rsid w:val="00803241"/>
    <w:rsid w:val="008259C5"/>
    <w:rsid w:val="00846096"/>
    <w:rsid w:val="00876FA6"/>
    <w:rsid w:val="00881FB2"/>
    <w:rsid w:val="008A237D"/>
    <w:rsid w:val="008B7B34"/>
    <w:rsid w:val="008C4D10"/>
    <w:rsid w:val="008D4C8A"/>
    <w:rsid w:val="008E15BB"/>
    <w:rsid w:val="008E192E"/>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BE7"/>
    <w:rsid w:val="009F5541"/>
    <w:rsid w:val="00A10706"/>
    <w:rsid w:val="00A205DB"/>
    <w:rsid w:val="00A210B6"/>
    <w:rsid w:val="00A30913"/>
    <w:rsid w:val="00A34F0A"/>
    <w:rsid w:val="00A47F1D"/>
    <w:rsid w:val="00A556A4"/>
    <w:rsid w:val="00A67B57"/>
    <w:rsid w:val="00A77806"/>
    <w:rsid w:val="00A94F55"/>
    <w:rsid w:val="00AE0556"/>
    <w:rsid w:val="00AE4444"/>
    <w:rsid w:val="00AF6BFE"/>
    <w:rsid w:val="00B009E6"/>
    <w:rsid w:val="00B247BD"/>
    <w:rsid w:val="00B36263"/>
    <w:rsid w:val="00B515F6"/>
    <w:rsid w:val="00B66C9B"/>
    <w:rsid w:val="00B750F6"/>
    <w:rsid w:val="00B76CC4"/>
    <w:rsid w:val="00B94C47"/>
    <w:rsid w:val="00BB4D77"/>
    <w:rsid w:val="00BC18ED"/>
    <w:rsid w:val="00BE60D2"/>
    <w:rsid w:val="00BE77CC"/>
    <w:rsid w:val="00BF7D0A"/>
    <w:rsid w:val="00BF7D32"/>
    <w:rsid w:val="00C04208"/>
    <w:rsid w:val="00C1218B"/>
    <w:rsid w:val="00C13B77"/>
    <w:rsid w:val="00C14A4B"/>
    <w:rsid w:val="00C42350"/>
    <w:rsid w:val="00C65F72"/>
    <w:rsid w:val="00C66D73"/>
    <w:rsid w:val="00C6769C"/>
    <w:rsid w:val="00C85074"/>
    <w:rsid w:val="00CA57E7"/>
    <w:rsid w:val="00D1348E"/>
    <w:rsid w:val="00D15BF5"/>
    <w:rsid w:val="00D21CD7"/>
    <w:rsid w:val="00D26E03"/>
    <w:rsid w:val="00D43F7B"/>
    <w:rsid w:val="00D50EA4"/>
    <w:rsid w:val="00D5188A"/>
    <w:rsid w:val="00D82198"/>
    <w:rsid w:val="00D85578"/>
    <w:rsid w:val="00D9767C"/>
    <w:rsid w:val="00DC6C10"/>
    <w:rsid w:val="00DF02ED"/>
    <w:rsid w:val="00E06ADF"/>
    <w:rsid w:val="00E23362"/>
    <w:rsid w:val="00E33BA4"/>
    <w:rsid w:val="00E40DE5"/>
    <w:rsid w:val="00E5022F"/>
    <w:rsid w:val="00E513D8"/>
    <w:rsid w:val="00E66AC7"/>
    <w:rsid w:val="00E76ACB"/>
    <w:rsid w:val="00E9352E"/>
    <w:rsid w:val="00E967E2"/>
    <w:rsid w:val="00EB3990"/>
    <w:rsid w:val="00EB77CF"/>
    <w:rsid w:val="00EB7E9D"/>
    <w:rsid w:val="00EF4987"/>
    <w:rsid w:val="00F1607E"/>
    <w:rsid w:val="00F17A33"/>
    <w:rsid w:val="00F239AD"/>
    <w:rsid w:val="00F34200"/>
    <w:rsid w:val="00F36404"/>
    <w:rsid w:val="00F422EE"/>
    <w:rsid w:val="00F502C8"/>
    <w:rsid w:val="00F636C9"/>
    <w:rsid w:val="00F706B3"/>
    <w:rsid w:val="00F81D11"/>
    <w:rsid w:val="00F820BE"/>
    <w:rsid w:val="00F8216B"/>
    <w:rsid w:val="00F901AB"/>
    <w:rsid w:val="00F95309"/>
    <w:rsid w:val="00FA0707"/>
    <w:rsid w:val="00FB3C68"/>
    <w:rsid w:val="00FD75CE"/>
    <w:rsid w:val="00FE151F"/>
    <w:rsid w:val="00FF02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16</Pages>
  <Words>2145</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158</cp:revision>
  <dcterms:created xsi:type="dcterms:W3CDTF">2023-12-01T18:45:00Z</dcterms:created>
  <dcterms:modified xsi:type="dcterms:W3CDTF">2024-07-17T15:53:00Z</dcterms:modified>
</cp:coreProperties>
</file>