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124BA" w14:textId="2B1AC77E" w:rsidR="00232496" w:rsidRPr="0078700B" w:rsidRDefault="00232496" w:rsidP="00232496">
      <w:pPr>
        <w:jc w:val="center"/>
        <w:rPr>
          <w:b/>
          <w:bCs/>
          <w:lang w:val="en-US"/>
        </w:rPr>
      </w:pPr>
      <w:r w:rsidRPr="0078700B">
        <w:rPr>
          <w:b/>
          <w:bCs/>
          <w:lang w:val="en-US"/>
        </w:rPr>
        <w:t>Laboratory work №8</w:t>
      </w:r>
    </w:p>
    <w:p w14:paraId="0F83390A" w14:textId="268EDE41" w:rsidR="0008278B" w:rsidRPr="0078700B" w:rsidRDefault="00232496" w:rsidP="00232496">
      <w:pPr>
        <w:jc w:val="center"/>
        <w:rPr>
          <w:lang w:val="en-US"/>
        </w:rPr>
      </w:pPr>
      <w:r w:rsidRPr="0078700B">
        <w:rPr>
          <w:lang w:val="en-US"/>
        </w:rPr>
        <w:t>Nonlinear Dimension Reduction</w:t>
      </w:r>
    </w:p>
    <w:p w14:paraId="3E22ABF4" w14:textId="77777777" w:rsidR="00232496" w:rsidRPr="0078700B" w:rsidRDefault="00232496" w:rsidP="00232496">
      <w:pPr>
        <w:ind w:firstLine="0"/>
        <w:rPr>
          <w:lang w:val="en-US"/>
        </w:rPr>
      </w:pPr>
    </w:p>
    <w:p w14:paraId="18B1BC26" w14:textId="504E5263" w:rsidR="00232496" w:rsidRPr="0078700B" w:rsidRDefault="00232496" w:rsidP="00232496">
      <w:pPr>
        <w:ind w:firstLine="0"/>
        <w:jc w:val="center"/>
        <w:rPr>
          <w:b/>
          <w:bCs/>
          <w:lang w:val="en-US"/>
        </w:rPr>
      </w:pPr>
      <w:r w:rsidRPr="0078700B">
        <w:rPr>
          <w:b/>
          <w:bCs/>
          <w:lang w:val="en-US"/>
        </w:rPr>
        <w:t>Task</w:t>
      </w:r>
    </w:p>
    <w:p w14:paraId="796E2D83" w14:textId="77777777" w:rsidR="00232496" w:rsidRPr="0078700B" w:rsidRDefault="00232496" w:rsidP="00232496">
      <w:pPr>
        <w:rPr>
          <w:lang w:val="en-US"/>
        </w:rPr>
      </w:pPr>
      <w:r w:rsidRPr="0078700B">
        <w:rPr>
          <w:lang w:val="en-US"/>
        </w:rPr>
        <w:t xml:space="preserve">Perform dimension reduction using </w:t>
      </w:r>
      <w:proofErr w:type="spellStart"/>
      <w:r w:rsidRPr="0078700B">
        <w:rPr>
          <w:lang w:val="en-US"/>
        </w:rPr>
        <w:t>Isomap</w:t>
      </w:r>
      <w:proofErr w:type="spellEnd"/>
      <w:r w:rsidRPr="0078700B">
        <w:rPr>
          <w:lang w:val="en-US"/>
        </w:rPr>
        <w:t xml:space="preserve">, Locally Linear Embedding, Multi-dimensional Scaling (MDS), t-distributed Stochastic Neighbor Embedding (t-SNE) onto 2D and 3D space. </w:t>
      </w:r>
    </w:p>
    <w:p w14:paraId="47D8CA45" w14:textId="22F6CBB2" w:rsidR="00232496" w:rsidRPr="0078700B" w:rsidRDefault="00232496" w:rsidP="00232496">
      <w:pPr>
        <w:rPr>
          <w:lang w:val="en-US"/>
        </w:rPr>
      </w:pPr>
      <w:r w:rsidRPr="0078700B">
        <w:rPr>
          <w:lang w:val="en-US"/>
        </w:rPr>
        <w:t>Analyze results. Find, which methods gives best results for Wholesale customers data.csv dataset</w:t>
      </w:r>
    </w:p>
    <w:p w14:paraId="5E038224" w14:textId="77777777" w:rsidR="0078700B" w:rsidRPr="0078700B" w:rsidRDefault="0078700B" w:rsidP="0078700B">
      <w:pPr>
        <w:ind w:firstLine="0"/>
        <w:rPr>
          <w:lang w:val="en-US"/>
        </w:rPr>
      </w:pPr>
    </w:p>
    <w:p w14:paraId="6B5D3A8E" w14:textId="25C20BAF" w:rsidR="0078700B" w:rsidRPr="0078700B" w:rsidRDefault="0078700B" w:rsidP="0078700B">
      <w:pPr>
        <w:rPr>
          <w:lang w:val="en-US"/>
        </w:rPr>
      </w:pPr>
      <w:r w:rsidRPr="0078700B">
        <w:rPr>
          <w:lang w:val="en-US"/>
        </w:rPr>
        <w:t xml:space="preserve">The script implements four dimensionality reduction methods – </w:t>
      </w:r>
      <w:proofErr w:type="spellStart"/>
      <w:r w:rsidRPr="0078700B">
        <w:rPr>
          <w:lang w:val="en-US"/>
        </w:rPr>
        <w:t>Isomap</w:t>
      </w:r>
      <w:proofErr w:type="spellEnd"/>
      <w:r w:rsidRPr="0078700B">
        <w:rPr>
          <w:lang w:val="en-US"/>
        </w:rPr>
        <w:t xml:space="preserve">, Standard Locally Linear Embedding (LLE), Multidimensional Scaling (MDS), and t-SNE each configured to project the data into a 2D space. These methods are applied with specific parameters, such as </w:t>
      </w:r>
      <w:proofErr w:type="spellStart"/>
      <w:r w:rsidRPr="0078700B">
        <w:rPr>
          <w:lang w:val="en-US"/>
        </w:rPr>
        <w:t>n_neighbors</w:t>
      </w:r>
      <w:proofErr w:type="spellEnd"/>
      <w:r w:rsidRPr="0078700B">
        <w:rPr>
          <w:lang w:val="en-US"/>
        </w:rPr>
        <w:t xml:space="preserve">=10 for </w:t>
      </w:r>
      <w:proofErr w:type="spellStart"/>
      <w:r w:rsidRPr="0078700B">
        <w:rPr>
          <w:lang w:val="en-US"/>
        </w:rPr>
        <w:t>Isomap</w:t>
      </w:r>
      <w:proofErr w:type="spellEnd"/>
      <w:r w:rsidRPr="0078700B">
        <w:rPr>
          <w:lang w:val="en-US"/>
        </w:rPr>
        <w:t xml:space="preserve"> and LLE to define local neighborhoods, and </w:t>
      </w:r>
      <w:proofErr w:type="spellStart"/>
      <w:r w:rsidRPr="0078700B">
        <w:rPr>
          <w:lang w:val="en-US"/>
        </w:rPr>
        <w:t>n_init</w:t>
      </w:r>
      <w:proofErr w:type="spellEnd"/>
      <w:r w:rsidRPr="0078700B">
        <w:rPr>
          <w:lang w:val="en-US"/>
        </w:rPr>
        <w:t>=4 for MDS to control the number of initializations for stability. The 2D embeddings are visualized using matplotlib, with each method's results displayed in a subplot grid, allowing for a comparative view of how the data is structured in reduced dimensions.</w:t>
      </w:r>
    </w:p>
    <w:p w14:paraId="699A1077" w14:textId="6D3DF45D" w:rsidR="0078700B" w:rsidRPr="0078700B" w:rsidRDefault="00C823D5" w:rsidP="0078700B">
      <w:pPr>
        <w:jc w:val="center"/>
        <w:rPr>
          <w:lang w:val="en-US"/>
        </w:rPr>
      </w:pPr>
      <w:r w:rsidRPr="00C823D5">
        <w:rPr>
          <w:lang w:val="en-US"/>
        </w:rPr>
        <w:lastRenderedPageBreak/>
        <w:drawing>
          <wp:inline distT="0" distB="0" distL="0" distR="0" wp14:anchorId="7CD493AF" wp14:editId="1845D974">
            <wp:extent cx="5053965" cy="4211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7341" cy="421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75B3" w14:textId="780AFFCF" w:rsidR="0078700B" w:rsidRPr="00C823D5" w:rsidRDefault="0078700B" w:rsidP="0078700B">
      <w:pPr>
        <w:jc w:val="center"/>
      </w:pPr>
      <w:r w:rsidRPr="0078700B">
        <w:rPr>
          <w:lang w:val="en-US"/>
        </w:rPr>
        <w:t>Figure 1 – 2D</w:t>
      </w:r>
      <w:r w:rsidR="00C823D5">
        <w:t xml:space="preserve"> </w:t>
      </w:r>
      <w:r w:rsidR="00C823D5" w:rsidRPr="0078700B">
        <w:rPr>
          <w:lang w:val="en-US"/>
        </w:rPr>
        <w:t>visualization</w:t>
      </w:r>
    </w:p>
    <w:p w14:paraId="7408AEE3" w14:textId="77777777" w:rsidR="00C823D5" w:rsidRPr="00C823D5" w:rsidRDefault="00C823D5" w:rsidP="0078700B">
      <w:pPr>
        <w:jc w:val="center"/>
      </w:pPr>
    </w:p>
    <w:p w14:paraId="0885F582" w14:textId="77777777" w:rsidR="00C823D5" w:rsidRPr="00C823D5" w:rsidRDefault="00C823D5" w:rsidP="00C823D5">
      <w:pPr>
        <w:rPr>
          <w:lang w:val="en-US"/>
        </w:rPr>
      </w:pPr>
      <w:r w:rsidRPr="00C823D5">
        <w:rPr>
          <w:lang w:val="en-US"/>
        </w:rPr>
        <w:t xml:space="preserve">The 3D embeddings are presented in an identical 2×2 grid using 3D scatter plots, maintaining the same visual parameters (s=30, alpha=0.7) and labeling axes as Component 1, 2, and 3. </w:t>
      </w:r>
      <w:proofErr w:type="spellStart"/>
      <w:r w:rsidRPr="00C823D5">
        <w:rPr>
          <w:lang w:val="en-US"/>
        </w:rPr>
        <w:t>Isomap</w:t>
      </w:r>
      <w:proofErr w:type="spellEnd"/>
      <w:r w:rsidRPr="00C823D5">
        <w:rPr>
          <w:lang w:val="en-US"/>
        </w:rPr>
        <w:t xml:space="preserve"> in 3D reveals a smooth, folded manifold with clear intrinsic curvature, suggesting the data lies on a low-dimensional nonlinear surface. MDS maintains balanced global spread, LLE forms dense local chains, and t-SNE produces well-separated, spherical clusters — enhancing visibility of potential customer segments. </w:t>
      </w:r>
    </w:p>
    <w:p w14:paraId="56D639F5" w14:textId="16283AB8" w:rsidR="0078700B" w:rsidRPr="0078700B" w:rsidRDefault="00C823D5" w:rsidP="00C823D5">
      <w:pPr>
        <w:rPr>
          <w:lang w:val="en-US"/>
        </w:rPr>
      </w:pPr>
      <w:r w:rsidRPr="00C823D5">
        <w:rPr>
          <w:lang w:val="en-US"/>
        </w:rPr>
        <w:t xml:space="preserve">In 2D, t-SNE reveals the clearest cluster separation, ideal for identifying distinct customer types based on spending patterns. </w:t>
      </w:r>
      <w:proofErr w:type="spellStart"/>
      <w:r w:rsidRPr="00C823D5">
        <w:rPr>
          <w:lang w:val="en-US"/>
        </w:rPr>
        <w:t>Isomap</w:t>
      </w:r>
      <w:proofErr w:type="spellEnd"/>
      <w:r w:rsidRPr="00C823D5">
        <w:rPr>
          <w:lang w:val="en-US"/>
        </w:rPr>
        <w:t xml:space="preserve"> and MDS preserve global structure but mix groups. In 3D, t-SNE maintains excellent cluster clarity with improved spatial separation, while </w:t>
      </w:r>
      <w:proofErr w:type="spellStart"/>
      <w:r w:rsidRPr="00C823D5">
        <w:rPr>
          <w:lang w:val="en-US"/>
        </w:rPr>
        <w:t>Isomap</w:t>
      </w:r>
      <w:proofErr w:type="spellEnd"/>
      <w:r w:rsidRPr="00C823D5">
        <w:rPr>
          <w:lang w:val="en-US"/>
        </w:rPr>
        <w:t xml:space="preserve"> uncovers the underlying smooth manifold — indicating the data’s intrinsic geometry is better captured in higher dimensions. LLE struggles with global coherence in both cases. Overall, t-SNE in 3D provides the best results for customer segmentation, and </w:t>
      </w:r>
      <w:proofErr w:type="spellStart"/>
      <w:r w:rsidRPr="00C823D5">
        <w:rPr>
          <w:lang w:val="en-US"/>
        </w:rPr>
        <w:t>Isomap</w:t>
      </w:r>
      <w:proofErr w:type="spellEnd"/>
      <w:r w:rsidRPr="00C823D5">
        <w:rPr>
          <w:lang w:val="en-US"/>
        </w:rPr>
        <w:t xml:space="preserve"> in 3D is superior for understanding the data manifold.</w:t>
      </w:r>
    </w:p>
    <w:p w14:paraId="6D4D195C" w14:textId="29D58451" w:rsidR="00232496" w:rsidRPr="0078700B" w:rsidRDefault="00C823D5" w:rsidP="0078700B">
      <w:pPr>
        <w:ind w:firstLine="0"/>
        <w:jc w:val="center"/>
        <w:rPr>
          <w:lang w:val="en-US"/>
        </w:rPr>
      </w:pPr>
      <w:r w:rsidRPr="00C823D5">
        <w:rPr>
          <w:lang w:val="en-US"/>
        </w:rPr>
        <w:lastRenderedPageBreak/>
        <w:drawing>
          <wp:inline distT="0" distB="0" distL="0" distR="0" wp14:anchorId="7F41F30F" wp14:editId="335DA7DA">
            <wp:extent cx="6120765" cy="51009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3085" w14:textId="5EE31603" w:rsidR="0078700B" w:rsidRPr="0078700B" w:rsidRDefault="0078700B" w:rsidP="0078700B">
      <w:pPr>
        <w:ind w:firstLine="0"/>
        <w:jc w:val="center"/>
        <w:rPr>
          <w:lang w:val="en-US"/>
        </w:rPr>
      </w:pPr>
      <w:r w:rsidRPr="0078700B">
        <w:rPr>
          <w:lang w:val="en-US"/>
        </w:rPr>
        <w:t>Figure 2 – 3D visualization</w:t>
      </w:r>
    </w:p>
    <w:p w14:paraId="4FCAC7DB" w14:textId="77777777" w:rsidR="00232496" w:rsidRPr="0078700B" w:rsidRDefault="00232496" w:rsidP="00232496">
      <w:pPr>
        <w:rPr>
          <w:lang w:val="en-US"/>
        </w:rPr>
      </w:pPr>
    </w:p>
    <w:sectPr w:rsidR="00232496" w:rsidRPr="0078700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496"/>
    <w:rsid w:val="0008278B"/>
    <w:rsid w:val="00232496"/>
    <w:rsid w:val="004B7422"/>
    <w:rsid w:val="004F7EAC"/>
    <w:rsid w:val="00681AEA"/>
    <w:rsid w:val="0078700B"/>
    <w:rsid w:val="00A0219C"/>
    <w:rsid w:val="00BB16A4"/>
    <w:rsid w:val="00C8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AC40E"/>
  <w15:chartTrackingRefBased/>
  <w15:docId w15:val="{11746794-6186-4BAC-9975-529A1DCF4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278B"/>
    <w:pPr>
      <w:spacing w:after="0" w:line="360" w:lineRule="auto"/>
      <w:ind w:firstLine="709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4F7EAC"/>
    <w:pPr>
      <w:keepNext/>
      <w:keepLines/>
      <w:ind w:firstLine="0"/>
      <w:jc w:val="center"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78B"/>
    <w:pPr>
      <w:keepNext/>
      <w:keepLines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24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24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24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249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249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249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249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7EAC"/>
    <w:rPr>
      <w:rFonts w:ascii="Times New Roman" w:eastAsiaTheme="majorEastAsia" w:hAnsi="Times New Roman" w:cstheme="majorBidi"/>
      <w:sz w:val="28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08278B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2496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232496"/>
    <w:rPr>
      <w:rFonts w:eastAsiaTheme="majorEastAsia" w:cstheme="majorBidi"/>
      <w:i/>
      <w:iCs/>
      <w:color w:val="0F4761" w:themeColor="accent1" w:themeShade="BF"/>
      <w:sz w:val="28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232496"/>
    <w:rPr>
      <w:rFonts w:eastAsiaTheme="majorEastAsia" w:cstheme="majorBidi"/>
      <w:color w:val="0F4761" w:themeColor="accent1" w:themeShade="BF"/>
      <w:sz w:val="28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232496"/>
    <w:rPr>
      <w:rFonts w:eastAsiaTheme="majorEastAsia" w:cstheme="majorBidi"/>
      <w:i/>
      <w:iCs/>
      <w:color w:val="595959" w:themeColor="text1" w:themeTint="A6"/>
      <w:sz w:val="28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232496"/>
    <w:rPr>
      <w:rFonts w:eastAsiaTheme="majorEastAsia" w:cstheme="majorBidi"/>
      <w:color w:val="595959" w:themeColor="text1" w:themeTint="A6"/>
      <w:sz w:val="28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232496"/>
    <w:rPr>
      <w:rFonts w:eastAsiaTheme="majorEastAsia" w:cstheme="majorBidi"/>
      <w:i/>
      <w:iCs/>
      <w:color w:val="272727" w:themeColor="text1" w:themeTint="D8"/>
      <w:sz w:val="2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232496"/>
    <w:rPr>
      <w:rFonts w:eastAsiaTheme="majorEastAsia" w:cstheme="majorBidi"/>
      <w:color w:val="272727" w:themeColor="text1" w:themeTint="D8"/>
      <w:sz w:val="2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232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32496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23249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32496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2324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32496"/>
    <w:rPr>
      <w:rFonts w:ascii="Times New Roman" w:hAnsi="Times New Roman"/>
      <w:i/>
      <w:iCs/>
      <w:color w:val="404040" w:themeColor="text1" w:themeTint="BF"/>
      <w:sz w:val="28"/>
      <w:lang w:val="uk-UA"/>
    </w:rPr>
  </w:style>
  <w:style w:type="paragraph" w:styleId="a9">
    <w:name w:val="List Paragraph"/>
    <w:basedOn w:val="a"/>
    <w:uiPriority w:val="34"/>
    <w:qFormat/>
    <w:rsid w:val="002324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24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2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32496"/>
    <w:rPr>
      <w:rFonts w:ascii="Times New Roman" w:hAnsi="Times New Roman"/>
      <w:i/>
      <w:iCs/>
      <w:color w:val="0F4761" w:themeColor="accent1" w:themeShade="BF"/>
      <w:sz w:val="28"/>
      <w:lang w:val="uk-UA"/>
    </w:rPr>
  </w:style>
  <w:style w:type="character" w:styleId="ad">
    <w:name w:val="Intense Reference"/>
    <w:basedOn w:val="a0"/>
    <w:uiPriority w:val="32"/>
    <w:qFormat/>
    <w:rsid w:val="00232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Dariia Rossokha</dc:creator>
  <cp:keywords/>
  <dc:description/>
  <cp:lastModifiedBy>Dariia Rossokha</cp:lastModifiedBy>
  <cp:revision>2</cp:revision>
  <dcterms:created xsi:type="dcterms:W3CDTF">2025-10-02T08:06:00Z</dcterms:created>
  <dcterms:modified xsi:type="dcterms:W3CDTF">2025-11-14T10:02:00Z</dcterms:modified>
</cp:coreProperties>
</file>