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65B" w:rsidRDefault="00E1257F">
      <w:pPr>
        <w:pStyle w:val="Heading1"/>
        <w:rPr>
          <w:rFonts w:ascii="Calibri" w:eastAsia="Calibri" w:hAnsi="Calibri" w:cs="Calibri"/>
        </w:rPr>
      </w:pPr>
      <w:r>
        <w:rPr>
          <w:rFonts w:ascii="Calibri" w:eastAsia="Calibri" w:hAnsi="Calibri" w:cs="Calibri"/>
        </w:rPr>
        <w:t>Technical Notes for COVID-19 infection in Toronto: Ethno-racial identity and income (</w:t>
      </w:r>
      <w:r w:rsidR="00FD1D9F">
        <w:rPr>
          <w:rFonts w:ascii="Calibri" w:eastAsia="Calibri" w:hAnsi="Calibri" w:cs="Calibri"/>
        </w:rPr>
        <w:t>September 30</w:t>
      </w:r>
      <w:r>
        <w:rPr>
          <w:rFonts w:ascii="Calibri" w:eastAsia="Calibri" w:hAnsi="Calibri" w:cs="Calibri"/>
        </w:rPr>
        <w:t>, 2020)</w:t>
      </w:r>
    </w:p>
    <w:p w:rsidR="00AB765B" w:rsidRDefault="00AB765B"/>
    <w:p w:rsidR="00AB765B" w:rsidRDefault="00E1257F">
      <w:pPr>
        <w:pStyle w:val="Heading2"/>
        <w:rPr>
          <w:rFonts w:ascii="Calibri" w:eastAsia="Calibri" w:hAnsi="Calibri" w:cs="Calibri"/>
        </w:rPr>
      </w:pPr>
      <w:r>
        <w:rPr>
          <w:rFonts w:ascii="Calibri" w:eastAsia="Calibri" w:hAnsi="Calibri" w:cs="Calibri"/>
        </w:rPr>
        <w:t>Socio-demographic Questions:</w:t>
      </w:r>
    </w:p>
    <w:p w:rsidR="00AB765B" w:rsidRDefault="00AB765B"/>
    <w:p w:rsidR="00AB765B" w:rsidRDefault="00E1257F">
      <w:pPr>
        <w:rPr>
          <w:sz w:val="24"/>
          <w:szCs w:val="24"/>
        </w:rPr>
      </w:pPr>
      <w:r>
        <w:rPr>
          <w:sz w:val="24"/>
          <w:szCs w:val="24"/>
        </w:rPr>
        <w:t>Toronto Public Health (TPH) is asking questions on priority socio-demographic characteristics to people who have a probable or confirmed diagnosis of COVID-19. These questions were added to our case and contact investigation process on May 20, 2020. Socio-demographic data is entered into CORES (The Coronavirus Rapid Entry System) along with other case and contact information. The case and contact investigators who are asking these questions are trained on how to collect the information in a sensitive way, including answering questions on why the data are being collected and how they will be used.</w:t>
      </w:r>
    </w:p>
    <w:p w:rsidR="00AB765B" w:rsidRDefault="00AB765B">
      <w:pPr>
        <w:rPr>
          <w:sz w:val="24"/>
          <w:szCs w:val="24"/>
        </w:rPr>
      </w:pPr>
    </w:p>
    <w:p w:rsidR="00AB765B" w:rsidRDefault="00E1257F">
      <w:pPr>
        <w:spacing w:after="120"/>
        <w:rPr>
          <w:sz w:val="24"/>
          <w:szCs w:val="24"/>
        </w:rPr>
      </w:pPr>
      <w:r>
        <w:rPr>
          <w:sz w:val="24"/>
          <w:szCs w:val="24"/>
        </w:rPr>
        <w:t xml:space="preserve">The selected questions were developed by the City of Toronto's Data for Equity initiative. This initiative built on the work of early leaders in this field in Canada, including the 'We Ask </w:t>
      </w:r>
      <w:proofErr w:type="gramStart"/>
      <w:r>
        <w:rPr>
          <w:sz w:val="24"/>
          <w:szCs w:val="24"/>
        </w:rPr>
        <w:t>Because</w:t>
      </w:r>
      <w:proofErr w:type="gramEnd"/>
      <w:r>
        <w:rPr>
          <w:sz w:val="24"/>
          <w:szCs w:val="24"/>
        </w:rPr>
        <w:t xml:space="preserve"> we Care' initiative, which focused on Toronto area hospitals and Community Health Centres. Additional engagement with experts from the Ontario Anti-Racism Directorate (ARD), the Toronto District School Board, provincial child welfare, youth justice and social assistance programs, and other researchers and community consultations allowed the Data for Equity questions to be refined from earlier iterations to their current format, below.</w:t>
      </w:r>
    </w:p>
    <w:p w:rsidR="00AB765B" w:rsidRDefault="00AB765B"/>
    <w:p w:rsidR="00AB765B" w:rsidRDefault="00E1257F">
      <w:pPr>
        <w:spacing w:after="160"/>
        <w:rPr>
          <w:sz w:val="24"/>
          <w:szCs w:val="24"/>
        </w:rPr>
      </w:pPr>
      <w:r>
        <w:rPr>
          <w:sz w:val="24"/>
          <w:szCs w:val="24"/>
        </w:rPr>
        <w:t>1. People often describe themselves by their race or racial background. For example, some people consider themselves "Black", "White" or "East Asian".</w:t>
      </w:r>
    </w:p>
    <w:p w:rsidR="00AB765B" w:rsidRDefault="00E1257F">
      <w:pPr>
        <w:spacing w:after="160"/>
        <w:rPr>
          <w:sz w:val="24"/>
          <w:szCs w:val="24"/>
        </w:rPr>
      </w:pPr>
      <w:r>
        <w:rPr>
          <w:sz w:val="24"/>
          <w:szCs w:val="24"/>
        </w:rPr>
        <w:t xml:space="preserve">Which race category best describes you? Please select </w:t>
      </w:r>
      <w:r>
        <w:rPr>
          <w:sz w:val="24"/>
          <w:szCs w:val="24"/>
          <w:u w:val="single"/>
        </w:rPr>
        <w:t>one</w:t>
      </w:r>
      <w:r>
        <w:rPr>
          <w:sz w:val="24"/>
          <w:szCs w:val="24"/>
        </w:rPr>
        <w:t xml:space="preserve"> only.</w:t>
      </w:r>
    </w:p>
    <w:p w:rsidR="00AB765B" w:rsidRDefault="00E1257F">
      <w:pPr>
        <w:numPr>
          <w:ilvl w:val="0"/>
          <w:numId w:val="8"/>
        </w:numPr>
        <w:rPr>
          <w:sz w:val="24"/>
          <w:szCs w:val="24"/>
        </w:rPr>
      </w:pPr>
      <w:r>
        <w:rPr>
          <w:sz w:val="24"/>
          <w:szCs w:val="24"/>
        </w:rPr>
        <w:t>Arab, Middle Eastern or West Asian (examples: Afghan, Armenian, Iranian, Lebanese, Persian, Turkish)</w:t>
      </w:r>
    </w:p>
    <w:p w:rsidR="00AB765B" w:rsidRDefault="00E1257F">
      <w:pPr>
        <w:numPr>
          <w:ilvl w:val="0"/>
          <w:numId w:val="8"/>
        </w:numPr>
        <w:rPr>
          <w:sz w:val="24"/>
          <w:szCs w:val="24"/>
        </w:rPr>
      </w:pPr>
      <w:r>
        <w:rPr>
          <w:sz w:val="24"/>
          <w:szCs w:val="24"/>
        </w:rPr>
        <w:t>Black (examples: African, African-Canadian, Afro-Caribbean)</w:t>
      </w:r>
    </w:p>
    <w:p w:rsidR="00AB765B" w:rsidRDefault="00E1257F">
      <w:pPr>
        <w:numPr>
          <w:ilvl w:val="0"/>
          <w:numId w:val="8"/>
        </w:numPr>
        <w:rPr>
          <w:sz w:val="24"/>
          <w:szCs w:val="24"/>
        </w:rPr>
      </w:pPr>
      <w:r>
        <w:rPr>
          <w:sz w:val="24"/>
          <w:szCs w:val="24"/>
        </w:rPr>
        <w:t>East Asian (examples: Chinese, Japanese, Korean)</w:t>
      </w:r>
    </w:p>
    <w:p w:rsidR="00AB765B" w:rsidRDefault="00E1257F">
      <w:pPr>
        <w:numPr>
          <w:ilvl w:val="0"/>
          <w:numId w:val="8"/>
        </w:numPr>
        <w:rPr>
          <w:sz w:val="24"/>
          <w:szCs w:val="24"/>
        </w:rPr>
      </w:pPr>
      <w:r>
        <w:rPr>
          <w:sz w:val="24"/>
          <w:szCs w:val="24"/>
        </w:rPr>
        <w:t>First Nations (status, non-status, treaty or non-treaty), Inuit or Métis</w:t>
      </w:r>
    </w:p>
    <w:p w:rsidR="00AB765B" w:rsidRDefault="00E1257F">
      <w:pPr>
        <w:numPr>
          <w:ilvl w:val="0"/>
          <w:numId w:val="8"/>
        </w:numPr>
        <w:rPr>
          <w:sz w:val="24"/>
          <w:szCs w:val="24"/>
        </w:rPr>
      </w:pPr>
      <w:r>
        <w:rPr>
          <w:sz w:val="24"/>
          <w:szCs w:val="24"/>
        </w:rPr>
        <w:t>Latin American (examples: Brazilian, Colombian, Cuban, Mexican, Peruvian)</w:t>
      </w:r>
    </w:p>
    <w:p w:rsidR="00AB765B" w:rsidRDefault="00E1257F">
      <w:pPr>
        <w:numPr>
          <w:ilvl w:val="0"/>
          <w:numId w:val="8"/>
        </w:numPr>
        <w:rPr>
          <w:sz w:val="24"/>
          <w:szCs w:val="24"/>
        </w:rPr>
      </w:pPr>
      <w:r>
        <w:rPr>
          <w:sz w:val="24"/>
          <w:szCs w:val="24"/>
        </w:rPr>
        <w:t>South Asian or Indo-Caribbean (examples: Indian, Indo-Guyanese, Indo-Trinidadian, Pakistani, Sri Lankan)</w:t>
      </w:r>
    </w:p>
    <w:p w:rsidR="00AB765B" w:rsidRDefault="00E1257F">
      <w:pPr>
        <w:numPr>
          <w:ilvl w:val="0"/>
          <w:numId w:val="8"/>
        </w:numPr>
        <w:rPr>
          <w:sz w:val="24"/>
          <w:szCs w:val="24"/>
        </w:rPr>
      </w:pPr>
      <w:r>
        <w:rPr>
          <w:sz w:val="24"/>
          <w:szCs w:val="24"/>
        </w:rPr>
        <w:t>Southeast Asian (examples: Filipino, Malaysian, Singaporean, Thai, Vietnamese)</w:t>
      </w:r>
    </w:p>
    <w:p w:rsidR="00AB765B" w:rsidRDefault="00E1257F">
      <w:pPr>
        <w:numPr>
          <w:ilvl w:val="0"/>
          <w:numId w:val="8"/>
        </w:numPr>
        <w:rPr>
          <w:sz w:val="24"/>
          <w:szCs w:val="24"/>
        </w:rPr>
      </w:pPr>
      <w:r>
        <w:rPr>
          <w:sz w:val="24"/>
          <w:szCs w:val="24"/>
        </w:rPr>
        <w:t>White (examples: English, Greek, Italian, Portuguese, Russian, Slovakian)</w:t>
      </w:r>
    </w:p>
    <w:p w:rsidR="00AB765B" w:rsidRDefault="00E1257F">
      <w:pPr>
        <w:numPr>
          <w:ilvl w:val="0"/>
          <w:numId w:val="9"/>
        </w:numPr>
        <w:rPr>
          <w:sz w:val="24"/>
          <w:szCs w:val="24"/>
        </w:rPr>
      </w:pPr>
      <w:r>
        <w:rPr>
          <w:sz w:val="24"/>
          <w:szCs w:val="24"/>
        </w:rPr>
        <w:t xml:space="preserve">More than one race category or mixed race, please select </w:t>
      </w:r>
      <w:r>
        <w:rPr>
          <w:sz w:val="24"/>
          <w:szCs w:val="24"/>
          <w:u w:val="single"/>
        </w:rPr>
        <w:t>all</w:t>
      </w:r>
      <w:r>
        <w:rPr>
          <w:sz w:val="24"/>
          <w:szCs w:val="24"/>
        </w:rPr>
        <w:t xml:space="preserve"> that apply:</w:t>
      </w:r>
    </w:p>
    <w:p w:rsidR="00AB765B" w:rsidRDefault="00E1257F">
      <w:pPr>
        <w:numPr>
          <w:ilvl w:val="1"/>
          <w:numId w:val="1"/>
        </w:numPr>
        <w:rPr>
          <w:sz w:val="24"/>
          <w:szCs w:val="24"/>
        </w:rPr>
      </w:pPr>
      <w:r>
        <w:rPr>
          <w:sz w:val="24"/>
          <w:szCs w:val="24"/>
        </w:rPr>
        <w:t>Arab, Middle Eastern or West Asian</w:t>
      </w:r>
    </w:p>
    <w:p w:rsidR="00AB765B" w:rsidRDefault="00E1257F">
      <w:pPr>
        <w:numPr>
          <w:ilvl w:val="1"/>
          <w:numId w:val="1"/>
        </w:numPr>
        <w:rPr>
          <w:sz w:val="24"/>
          <w:szCs w:val="24"/>
        </w:rPr>
      </w:pPr>
      <w:r>
        <w:rPr>
          <w:sz w:val="24"/>
          <w:szCs w:val="24"/>
        </w:rPr>
        <w:t>Black</w:t>
      </w:r>
    </w:p>
    <w:p w:rsidR="00AB765B" w:rsidRDefault="00E1257F">
      <w:pPr>
        <w:numPr>
          <w:ilvl w:val="1"/>
          <w:numId w:val="1"/>
        </w:numPr>
        <w:rPr>
          <w:sz w:val="24"/>
          <w:szCs w:val="24"/>
        </w:rPr>
      </w:pPr>
      <w:r>
        <w:rPr>
          <w:sz w:val="24"/>
          <w:szCs w:val="24"/>
        </w:rPr>
        <w:t>East Asian</w:t>
      </w:r>
    </w:p>
    <w:p w:rsidR="00AB765B" w:rsidRDefault="00E1257F">
      <w:pPr>
        <w:numPr>
          <w:ilvl w:val="1"/>
          <w:numId w:val="1"/>
        </w:numPr>
        <w:rPr>
          <w:sz w:val="24"/>
          <w:szCs w:val="24"/>
        </w:rPr>
      </w:pPr>
      <w:r>
        <w:rPr>
          <w:sz w:val="24"/>
          <w:szCs w:val="24"/>
        </w:rPr>
        <w:t>First Nations, Inuit or Métis</w:t>
      </w:r>
    </w:p>
    <w:p w:rsidR="00AB765B" w:rsidRDefault="00E1257F">
      <w:pPr>
        <w:numPr>
          <w:ilvl w:val="1"/>
          <w:numId w:val="1"/>
        </w:numPr>
        <w:rPr>
          <w:sz w:val="24"/>
          <w:szCs w:val="24"/>
        </w:rPr>
      </w:pPr>
      <w:r>
        <w:rPr>
          <w:sz w:val="24"/>
          <w:szCs w:val="24"/>
        </w:rPr>
        <w:t>Latin American</w:t>
      </w:r>
    </w:p>
    <w:p w:rsidR="00AB765B" w:rsidRDefault="00E1257F">
      <w:pPr>
        <w:numPr>
          <w:ilvl w:val="1"/>
          <w:numId w:val="1"/>
        </w:numPr>
        <w:rPr>
          <w:sz w:val="24"/>
          <w:szCs w:val="24"/>
        </w:rPr>
      </w:pPr>
      <w:r>
        <w:rPr>
          <w:sz w:val="24"/>
          <w:szCs w:val="24"/>
        </w:rPr>
        <w:t>South Asian or Indo-Caribbean</w:t>
      </w:r>
    </w:p>
    <w:p w:rsidR="00AB765B" w:rsidRDefault="00E1257F">
      <w:pPr>
        <w:numPr>
          <w:ilvl w:val="1"/>
          <w:numId w:val="1"/>
        </w:numPr>
        <w:rPr>
          <w:sz w:val="24"/>
          <w:szCs w:val="24"/>
        </w:rPr>
      </w:pPr>
      <w:r>
        <w:rPr>
          <w:sz w:val="24"/>
          <w:szCs w:val="24"/>
        </w:rPr>
        <w:t>Southeast Asian</w:t>
      </w:r>
    </w:p>
    <w:p w:rsidR="00AB765B" w:rsidRDefault="00E1257F">
      <w:pPr>
        <w:numPr>
          <w:ilvl w:val="1"/>
          <w:numId w:val="1"/>
        </w:numPr>
        <w:rPr>
          <w:sz w:val="24"/>
          <w:szCs w:val="24"/>
        </w:rPr>
      </w:pPr>
      <w:r>
        <w:rPr>
          <w:sz w:val="24"/>
          <w:szCs w:val="24"/>
        </w:rPr>
        <w:t xml:space="preserve">White </w:t>
      </w:r>
    </w:p>
    <w:p w:rsidR="00AB765B" w:rsidRDefault="00E1257F">
      <w:pPr>
        <w:numPr>
          <w:ilvl w:val="1"/>
          <w:numId w:val="1"/>
        </w:numPr>
        <w:rPr>
          <w:sz w:val="24"/>
          <w:szCs w:val="24"/>
        </w:rPr>
      </w:pPr>
      <w:r>
        <w:rPr>
          <w:sz w:val="24"/>
          <w:szCs w:val="24"/>
        </w:rPr>
        <w:lastRenderedPageBreak/>
        <w:t>Not listed, please describe: ______</w:t>
      </w:r>
    </w:p>
    <w:p w:rsidR="00AB765B" w:rsidRDefault="00E1257F">
      <w:pPr>
        <w:numPr>
          <w:ilvl w:val="0"/>
          <w:numId w:val="8"/>
        </w:numPr>
        <w:rPr>
          <w:sz w:val="24"/>
          <w:szCs w:val="24"/>
        </w:rPr>
      </w:pPr>
      <w:r>
        <w:rPr>
          <w:sz w:val="24"/>
          <w:szCs w:val="24"/>
        </w:rPr>
        <w:t>Not listed, please describe: ____________</w:t>
      </w:r>
    </w:p>
    <w:p w:rsidR="00AB765B" w:rsidRDefault="00E1257F">
      <w:pPr>
        <w:numPr>
          <w:ilvl w:val="0"/>
          <w:numId w:val="8"/>
        </w:numPr>
        <w:rPr>
          <w:sz w:val="24"/>
          <w:szCs w:val="24"/>
        </w:rPr>
      </w:pPr>
      <w:r>
        <w:rPr>
          <w:sz w:val="24"/>
          <w:szCs w:val="24"/>
        </w:rPr>
        <w:t xml:space="preserve">Prefer not to answer </w:t>
      </w:r>
    </w:p>
    <w:p w:rsidR="00AB765B" w:rsidRDefault="00AB765B"/>
    <w:p w:rsidR="00AB765B" w:rsidRDefault="00E1257F">
      <w:pPr>
        <w:keepNext/>
        <w:spacing w:after="160"/>
        <w:rPr>
          <w:sz w:val="24"/>
          <w:szCs w:val="24"/>
        </w:rPr>
      </w:pPr>
      <w:r>
        <w:rPr>
          <w:sz w:val="24"/>
          <w:szCs w:val="24"/>
        </w:rPr>
        <w:t xml:space="preserve">2. What was your total household income before taxes last year? Your best estimate is fine. Please select </w:t>
      </w:r>
      <w:r>
        <w:rPr>
          <w:sz w:val="24"/>
          <w:szCs w:val="24"/>
          <w:u w:val="single"/>
        </w:rPr>
        <w:t>one</w:t>
      </w:r>
      <w:r>
        <w:rPr>
          <w:sz w:val="24"/>
          <w:szCs w:val="24"/>
        </w:rPr>
        <w:t xml:space="preserve"> only.</w:t>
      </w:r>
    </w:p>
    <w:p w:rsidR="00AB765B" w:rsidRDefault="00E1257F">
      <w:pPr>
        <w:numPr>
          <w:ilvl w:val="0"/>
          <w:numId w:val="2"/>
        </w:numPr>
        <w:rPr>
          <w:sz w:val="24"/>
          <w:szCs w:val="24"/>
        </w:rPr>
      </w:pPr>
      <w:r>
        <w:rPr>
          <w:sz w:val="24"/>
          <w:szCs w:val="24"/>
        </w:rPr>
        <w:t>0 - $29,999</w:t>
      </w:r>
    </w:p>
    <w:p w:rsidR="00AB765B" w:rsidRDefault="00E1257F">
      <w:pPr>
        <w:numPr>
          <w:ilvl w:val="0"/>
          <w:numId w:val="2"/>
        </w:numPr>
        <w:rPr>
          <w:sz w:val="24"/>
          <w:szCs w:val="24"/>
        </w:rPr>
      </w:pPr>
      <w:r>
        <w:rPr>
          <w:sz w:val="24"/>
          <w:szCs w:val="24"/>
        </w:rPr>
        <w:t>$30,000-$49,999</w:t>
      </w:r>
    </w:p>
    <w:p w:rsidR="00AB765B" w:rsidRDefault="00E1257F">
      <w:pPr>
        <w:numPr>
          <w:ilvl w:val="0"/>
          <w:numId w:val="2"/>
        </w:numPr>
        <w:rPr>
          <w:sz w:val="24"/>
          <w:szCs w:val="24"/>
        </w:rPr>
      </w:pPr>
      <w:r>
        <w:rPr>
          <w:sz w:val="24"/>
          <w:szCs w:val="24"/>
        </w:rPr>
        <w:t>$50,000-$69,999</w:t>
      </w:r>
    </w:p>
    <w:p w:rsidR="00AB765B" w:rsidRDefault="00E1257F">
      <w:pPr>
        <w:numPr>
          <w:ilvl w:val="0"/>
          <w:numId w:val="2"/>
        </w:numPr>
        <w:rPr>
          <w:sz w:val="24"/>
          <w:szCs w:val="24"/>
        </w:rPr>
      </w:pPr>
      <w:r>
        <w:rPr>
          <w:sz w:val="24"/>
          <w:szCs w:val="24"/>
        </w:rPr>
        <w:t>$70,000-$99,999</w:t>
      </w:r>
    </w:p>
    <w:p w:rsidR="00AB765B" w:rsidRDefault="00E1257F">
      <w:pPr>
        <w:numPr>
          <w:ilvl w:val="0"/>
          <w:numId w:val="2"/>
        </w:numPr>
        <w:rPr>
          <w:sz w:val="24"/>
          <w:szCs w:val="24"/>
        </w:rPr>
      </w:pPr>
      <w:r>
        <w:rPr>
          <w:sz w:val="24"/>
          <w:szCs w:val="24"/>
        </w:rPr>
        <w:t xml:space="preserve">$100,000-149,999  </w:t>
      </w:r>
      <w:r>
        <w:rPr>
          <w:sz w:val="24"/>
          <w:szCs w:val="24"/>
        </w:rPr>
        <w:tab/>
      </w:r>
      <w:r>
        <w:rPr>
          <w:sz w:val="24"/>
          <w:szCs w:val="24"/>
        </w:rPr>
        <w:tab/>
      </w:r>
    </w:p>
    <w:p w:rsidR="00AB765B" w:rsidRDefault="00E1257F">
      <w:pPr>
        <w:numPr>
          <w:ilvl w:val="0"/>
          <w:numId w:val="2"/>
        </w:numPr>
        <w:rPr>
          <w:sz w:val="24"/>
          <w:szCs w:val="24"/>
        </w:rPr>
      </w:pPr>
      <w:r>
        <w:rPr>
          <w:sz w:val="24"/>
          <w:szCs w:val="24"/>
        </w:rPr>
        <w:t xml:space="preserve">$150,000 or more      </w:t>
      </w:r>
      <w:r>
        <w:rPr>
          <w:sz w:val="24"/>
          <w:szCs w:val="24"/>
        </w:rPr>
        <w:tab/>
      </w:r>
      <w:r>
        <w:rPr>
          <w:sz w:val="24"/>
          <w:szCs w:val="24"/>
        </w:rPr>
        <w:tab/>
      </w:r>
      <w:r>
        <w:rPr>
          <w:sz w:val="24"/>
          <w:szCs w:val="24"/>
        </w:rPr>
        <w:tab/>
      </w:r>
    </w:p>
    <w:p w:rsidR="00AB765B" w:rsidRDefault="00E1257F">
      <w:pPr>
        <w:numPr>
          <w:ilvl w:val="0"/>
          <w:numId w:val="2"/>
        </w:numPr>
        <w:rPr>
          <w:sz w:val="24"/>
          <w:szCs w:val="24"/>
        </w:rPr>
      </w:pPr>
      <w:r>
        <w:rPr>
          <w:sz w:val="24"/>
          <w:szCs w:val="24"/>
        </w:rPr>
        <w:t>Don't know</w:t>
      </w:r>
    </w:p>
    <w:p w:rsidR="00AB765B" w:rsidRDefault="00E1257F">
      <w:pPr>
        <w:numPr>
          <w:ilvl w:val="0"/>
          <w:numId w:val="2"/>
        </w:numPr>
        <w:rPr>
          <w:sz w:val="24"/>
          <w:szCs w:val="24"/>
        </w:rPr>
      </w:pPr>
      <w:r>
        <w:rPr>
          <w:sz w:val="24"/>
          <w:szCs w:val="24"/>
        </w:rPr>
        <w:t>Prefer not to answer</w:t>
      </w:r>
    </w:p>
    <w:p w:rsidR="00AB765B" w:rsidRDefault="00AB765B">
      <w:pPr>
        <w:ind w:left="720"/>
        <w:rPr>
          <w:sz w:val="24"/>
          <w:szCs w:val="24"/>
        </w:rPr>
      </w:pPr>
    </w:p>
    <w:p w:rsidR="00AB765B" w:rsidRDefault="00E1257F">
      <w:pPr>
        <w:spacing w:after="160"/>
        <w:rPr>
          <w:sz w:val="24"/>
          <w:szCs w:val="24"/>
        </w:rPr>
      </w:pPr>
      <w:r>
        <w:rPr>
          <w:sz w:val="24"/>
          <w:szCs w:val="24"/>
        </w:rPr>
        <w:t xml:space="preserve">3. Including yourself, how many people live in your household on a regular basis? Please select </w:t>
      </w:r>
      <w:r>
        <w:rPr>
          <w:sz w:val="24"/>
          <w:szCs w:val="24"/>
          <w:u w:val="single"/>
        </w:rPr>
        <w:t>one</w:t>
      </w:r>
      <w:r>
        <w:rPr>
          <w:sz w:val="24"/>
          <w:szCs w:val="24"/>
        </w:rPr>
        <w:t xml:space="preserve"> only.</w:t>
      </w:r>
    </w:p>
    <w:p w:rsidR="00AB765B" w:rsidRDefault="00E1257F">
      <w:pPr>
        <w:numPr>
          <w:ilvl w:val="0"/>
          <w:numId w:val="3"/>
        </w:numPr>
        <w:rPr>
          <w:sz w:val="24"/>
          <w:szCs w:val="24"/>
        </w:rPr>
      </w:pPr>
      <w:r>
        <w:rPr>
          <w:sz w:val="24"/>
          <w:szCs w:val="24"/>
        </w:rPr>
        <w:t>1</w:t>
      </w:r>
    </w:p>
    <w:p w:rsidR="00AB765B" w:rsidRDefault="00E1257F">
      <w:pPr>
        <w:numPr>
          <w:ilvl w:val="0"/>
          <w:numId w:val="3"/>
        </w:numPr>
        <w:rPr>
          <w:sz w:val="24"/>
          <w:szCs w:val="24"/>
        </w:rPr>
      </w:pPr>
      <w:r>
        <w:rPr>
          <w:sz w:val="24"/>
          <w:szCs w:val="24"/>
        </w:rPr>
        <w:t>2</w:t>
      </w:r>
    </w:p>
    <w:p w:rsidR="00AB765B" w:rsidRDefault="00E1257F">
      <w:pPr>
        <w:numPr>
          <w:ilvl w:val="0"/>
          <w:numId w:val="3"/>
        </w:numPr>
        <w:rPr>
          <w:sz w:val="24"/>
          <w:szCs w:val="24"/>
        </w:rPr>
      </w:pPr>
      <w:r>
        <w:rPr>
          <w:sz w:val="24"/>
          <w:szCs w:val="24"/>
        </w:rPr>
        <w:t>3</w:t>
      </w:r>
    </w:p>
    <w:p w:rsidR="00AB765B" w:rsidRDefault="00E1257F">
      <w:pPr>
        <w:numPr>
          <w:ilvl w:val="0"/>
          <w:numId w:val="3"/>
        </w:numPr>
        <w:rPr>
          <w:sz w:val="24"/>
          <w:szCs w:val="24"/>
        </w:rPr>
      </w:pPr>
      <w:r>
        <w:rPr>
          <w:sz w:val="24"/>
          <w:szCs w:val="24"/>
        </w:rPr>
        <w:t>4</w:t>
      </w:r>
    </w:p>
    <w:p w:rsidR="00AB765B" w:rsidRDefault="00E1257F">
      <w:pPr>
        <w:numPr>
          <w:ilvl w:val="0"/>
          <w:numId w:val="3"/>
        </w:numPr>
        <w:rPr>
          <w:sz w:val="24"/>
          <w:szCs w:val="24"/>
        </w:rPr>
      </w:pPr>
      <w:r>
        <w:rPr>
          <w:sz w:val="24"/>
          <w:szCs w:val="24"/>
        </w:rPr>
        <w:t>5</w:t>
      </w:r>
    </w:p>
    <w:p w:rsidR="00AB765B" w:rsidRDefault="00E1257F">
      <w:pPr>
        <w:numPr>
          <w:ilvl w:val="0"/>
          <w:numId w:val="3"/>
        </w:numPr>
        <w:rPr>
          <w:sz w:val="24"/>
          <w:szCs w:val="24"/>
        </w:rPr>
      </w:pPr>
      <w:r>
        <w:rPr>
          <w:sz w:val="24"/>
          <w:szCs w:val="24"/>
        </w:rPr>
        <w:t>More than 5, please specify: ______</w:t>
      </w:r>
    </w:p>
    <w:p w:rsidR="00AB765B" w:rsidRDefault="00E1257F">
      <w:pPr>
        <w:numPr>
          <w:ilvl w:val="0"/>
          <w:numId w:val="3"/>
        </w:numPr>
        <w:rPr>
          <w:sz w:val="24"/>
          <w:szCs w:val="24"/>
        </w:rPr>
      </w:pPr>
      <w:r>
        <w:rPr>
          <w:sz w:val="24"/>
          <w:szCs w:val="24"/>
        </w:rPr>
        <w:t>Prefer not to answer</w:t>
      </w:r>
    </w:p>
    <w:p w:rsidR="00AB765B" w:rsidRDefault="00AB765B">
      <w:pPr>
        <w:rPr>
          <w:sz w:val="24"/>
          <w:szCs w:val="24"/>
        </w:rPr>
      </w:pPr>
    </w:p>
    <w:p w:rsidR="00AB765B" w:rsidRDefault="00E1257F">
      <w:pPr>
        <w:pStyle w:val="Heading2"/>
        <w:rPr>
          <w:rFonts w:ascii="Calibri" w:eastAsia="Calibri" w:hAnsi="Calibri" w:cs="Calibri"/>
        </w:rPr>
      </w:pPr>
      <w:r>
        <w:rPr>
          <w:rFonts w:ascii="Calibri" w:eastAsia="Calibri" w:hAnsi="Calibri" w:cs="Calibri"/>
        </w:rPr>
        <w:t>Assessing Low Income</w:t>
      </w:r>
    </w:p>
    <w:p w:rsidR="00AB765B" w:rsidRDefault="00E1257F">
      <w:pPr>
        <w:spacing w:after="160"/>
        <w:rPr>
          <w:sz w:val="24"/>
          <w:szCs w:val="24"/>
        </w:rPr>
      </w:pPr>
      <w:r>
        <w:rPr>
          <w:sz w:val="24"/>
          <w:szCs w:val="24"/>
        </w:rPr>
        <w:t xml:space="preserve">The table below provides rough estimates to identify people living in low income households based on their reported household income and household size. For example, if a person reports their income as $30,000-$49,999 and their household size as 3, they are categorized as low income. If a person reports their income as $70,000-$99,999 and their household size as 3, they are not categorized as low income.  Any case with a reported income of $0 - $29,999 was categorized as low income regardless of household size. Similarly, any case with a reported income in the ranges of $100,000-149,999 or $150,000 or more was categorized as not low income regardless of household size. </w:t>
      </w:r>
    </w:p>
    <w:p w:rsidR="00AB765B" w:rsidRDefault="00AB765B">
      <w:pPr>
        <w:spacing w:after="160"/>
        <w:rPr>
          <w:sz w:val="24"/>
          <w:szCs w:val="24"/>
        </w:rPr>
      </w:pPr>
    </w:p>
    <w:tbl>
      <w:tblPr>
        <w:tblStyle w:val="a"/>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7200"/>
      </w:tblGrid>
      <w:tr w:rsidR="00AB765B">
        <w:tc>
          <w:tcPr>
            <w:tcW w:w="2245" w:type="dxa"/>
            <w:tcMar>
              <w:top w:w="0" w:type="dxa"/>
              <w:left w:w="108" w:type="dxa"/>
              <w:bottom w:w="0" w:type="dxa"/>
              <w:right w:w="108" w:type="dxa"/>
            </w:tcMar>
          </w:tcPr>
          <w:p w:rsidR="00AB765B" w:rsidRDefault="00E1257F">
            <w:pPr>
              <w:spacing w:after="160"/>
              <w:rPr>
                <w:b/>
                <w:sz w:val="24"/>
                <w:szCs w:val="24"/>
              </w:rPr>
            </w:pPr>
            <w:r>
              <w:rPr>
                <w:b/>
                <w:sz w:val="24"/>
                <w:szCs w:val="24"/>
              </w:rPr>
              <w:t>Income range</w:t>
            </w:r>
          </w:p>
        </w:tc>
        <w:tc>
          <w:tcPr>
            <w:tcW w:w="7200" w:type="dxa"/>
            <w:tcMar>
              <w:top w:w="0" w:type="dxa"/>
              <w:left w:w="108" w:type="dxa"/>
              <w:bottom w:w="0" w:type="dxa"/>
              <w:right w:w="108" w:type="dxa"/>
            </w:tcMar>
          </w:tcPr>
          <w:p w:rsidR="00AB765B" w:rsidRDefault="00E1257F">
            <w:pPr>
              <w:spacing w:after="160"/>
              <w:rPr>
                <w:b/>
                <w:sz w:val="24"/>
                <w:szCs w:val="24"/>
              </w:rPr>
            </w:pPr>
            <w:r>
              <w:rPr>
                <w:b/>
                <w:sz w:val="24"/>
                <w:szCs w:val="24"/>
              </w:rPr>
              <w:t>Notes</w:t>
            </w:r>
          </w:p>
        </w:tc>
      </w:tr>
      <w:tr w:rsidR="00AB765B">
        <w:tc>
          <w:tcPr>
            <w:tcW w:w="2245" w:type="dxa"/>
            <w:tcMar>
              <w:top w:w="0" w:type="dxa"/>
              <w:left w:w="108" w:type="dxa"/>
              <w:bottom w:w="0" w:type="dxa"/>
              <w:right w:w="108" w:type="dxa"/>
            </w:tcMar>
          </w:tcPr>
          <w:p w:rsidR="00AB765B" w:rsidRDefault="00E1257F">
            <w:pPr>
              <w:spacing w:after="160"/>
              <w:rPr>
                <w:sz w:val="24"/>
                <w:szCs w:val="24"/>
              </w:rPr>
            </w:pPr>
            <w:r>
              <w:rPr>
                <w:sz w:val="24"/>
                <w:szCs w:val="24"/>
              </w:rPr>
              <w:t xml:space="preserve">0 - $29,999 </w:t>
            </w:r>
          </w:p>
          <w:p w:rsidR="00AB765B" w:rsidRDefault="00AB765B">
            <w:pPr>
              <w:spacing w:after="160"/>
              <w:rPr>
                <w:sz w:val="24"/>
                <w:szCs w:val="24"/>
              </w:rPr>
            </w:pPr>
          </w:p>
        </w:tc>
        <w:tc>
          <w:tcPr>
            <w:tcW w:w="7200" w:type="dxa"/>
            <w:tcMar>
              <w:top w:w="0" w:type="dxa"/>
              <w:left w:w="108" w:type="dxa"/>
              <w:bottom w:w="0" w:type="dxa"/>
              <w:right w:w="108" w:type="dxa"/>
            </w:tcMar>
          </w:tcPr>
          <w:p w:rsidR="00AB765B" w:rsidRDefault="00E1257F">
            <w:pPr>
              <w:rPr>
                <w:sz w:val="24"/>
                <w:szCs w:val="24"/>
              </w:rPr>
            </w:pPr>
            <w:r>
              <w:rPr>
                <w:sz w:val="24"/>
                <w:szCs w:val="24"/>
              </w:rPr>
              <w:t>Roughly aligns with:</w:t>
            </w:r>
          </w:p>
          <w:p w:rsidR="00AB765B" w:rsidRDefault="00E1257F">
            <w:pPr>
              <w:numPr>
                <w:ilvl w:val="0"/>
                <w:numId w:val="4"/>
              </w:numPr>
              <w:rPr>
                <w:sz w:val="24"/>
                <w:szCs w:val="24"/>
              </w:rPr>
            </w:pPr>
            <w:r>
              <w:rPr>
                <w:sz w:val="24"/>
                <w:szCs w:val="24"/>
              </w:rPr>
              <w:t xml:space="preserve">Low Income Measures (LIMs) for </w:t>
            </w:r>
            <w:r>
              <w:rPr>
                <w:b/>
                <w:sz w:val="24"/>
                <w:szCs w:val="24"/>
              </w:rPr>
              <w:t>one person households</w:t>
            </w:r>
          </w:p>
          <w:p w:rsidR="00AB765B" w:rsidRDefault="00E1257F">
            <w:pPr>
              <w:numPr>
                <w:ilvl w:val="0"/>
                <w:numId w:val="4"/>
              </w:numPr>
              <w:spacing w:after="160"/>
              <w:rPr>
                <w:sz w:val="24"/>
                <w:szCs w:val="24"/>
              </w:rPr>
            </w:pPr>
            <w:r>
              <w:rPr>
                <w:sz w:val="24"/>
                <w:szCs w:val="24"/>
              </w:rPr>
              <w:t>Annual salary of a person working full-time for minimum wage</w:t>
            </w:r>
          </w:p>
        </w:tc>
      </w:tr>
      <w:tr w:rsidR="00AB765B">
        <w:tc>
          <w:tcPr>
            <w:tcW w:w="2245" w:type="dxa"/>
            <w:tcMar>
              <w:top w:w="0" w:type="dxa"/>
              <w:left w:w="108" w:type="dxa"/>
              <w:bottom w:w="0" w:type="dxa"/>
              <w:right w:w="108" w:type="dxa"/>
            </w:tcMar>
          </w:tcPr>
          <w:p w:rsidR="00AB765B" w:rsidRDefault="00E1257F">
            <w:pPr>
              <w:spacing w:after="160"/>
              <w:rPr>
                <w:sz w:val="24"/>
                <w:szCs w:val="24"/>
              </w:rPr>
            </w:pPr>
            <w:r>
              <w:rPr>
                <w:sz w:val="24"/>
                <w:szCs w:val="24"/>
              </w:rPr>
              <w:t>$30,000-$49,999</w:t>
            </w:r>
          </w:p>
        </w:tc>
        <w:tc>
          <w:tcPr>
            <w:tcW w:w="7200" w:type="dxa"/>
            <w:tcMar>
              <w:top w:w="0" w:type="dxa"/>
              <w:left w:w="108" w:type="dxa"/>
              <w:bottom w:w="0" w:type="dxa"/>
              <w:right w:w="108" w:type="dxa"/>
            </w:tcMar>
          </w:tcPr>
          <w:p w:rsidR="00AB765B" w:rsidRDefault="00E1257F">
            <w:pPr>
              <w:spacing w:after="160"/>
              <w:rPr>
                <w:sz w:val="24"/>
                <w:szCs w:val="24"/>
              </w:rPr>
            </w:pPr>
            <w:r>
              <w:rPr>
                <w:sz w:val="24"/>
                <w:szCs w:val="24"/>
              </w:rPr>
              <w:t xml:space="preserve">Roughly aligns with Low Income Measures (LIMs) for </w:t>
            </w:r>
            <w:r>
              <w:rPr>
                <w:b/>
                <w:sz w:val="24"/>
                <w:szCs w:val="24"/>
              </w:rPr>
              <w:t>2, 3, and 4 person households</w:t>
            </w:r>
          </w:p>
        </w:tc>
      </w:tr>
      <w:tr w:rsidR="00AB765B">
        <w:tc>
          <w:tcPr>
            <w:tcW w:w="2245" w:type="dxa"/>
            <w:tcMar>
              <w:top w:w="0" w:type="dxa"/>
              <w:left w:w="108" w:type="dxa"/>
              <w:bottom w:w="0" w:type="dxa"/>
              <w:right w:w="108" w:type="dxa"/>
            </w:tcMar>
          </w:tcPr>
          <w:p w:rsidR="00AB765B" w:rsidRDefault="00E1257F">
            <w:pPr>
              <w:spacing w:after="160"/>
              <w:rPr>
                <w:sz w:val="24"/>
                <w:szCs w:val="24"/>
              </w:rPr>
            </w:pPr>
            <w:r>
              <w:rPr>
                <w:sz w:val="24"/>
                <w:szCs w:val="24"/>
              </w:rPr>
              <w:lastRenderedPageBreak/>
              <w:t>$50,000-$69,999</w:t>
            </w:r>
          </w:p>
        </w:tc>
        <w:tc>
          <w:tcPr>
            <w:tcW w:w="7200" w:type="dxa"/>
            <w:tcMar>
              <w:top w:w="0" w:type="dxa"/>
              <w:left w:w="108" w:type="dxa"/>
              <w:bottom w:w="0" w:type="dxa"/>
              <w:right w:w="108" w:type="dxa"/>
            </w:tcMar>
          </w:tcPr>
          <w:p w:rsidR="00AB765B" w:rsidRDefault="00E1257F">
            <w:pPr>
              <w:spacing w:after="160"/>
              <w:rPr>
                <w:sz w:val="24"/>
                <w:szCs w:val="24"/>
              </w:rPr>
            </w:pPr>
            <w:r>
              <w:rPr>
                <w:sz w:val="24"/>
                <w:szCs w:val="24"/>
              </w:rPr>
              <w:t xml:space="preserve">Roughly aligns with Low Income Measures (LIMs) for </w:t>
            </w:r>
            <w:r>
              <w:rPr>
                <w:b/>
                <w:sz w:val="24"/>
                <w:szCs w:val="24"/>
              </w:rPr>
              <w:t>5, 6, 7, 8 and 9 person households</w:t>
            </w:r>
          </w:p>
        </w:tc>
      </w:tr>
      <w:tr w:rsidR="00AB765B">
        <w:tc>
          <w:tcPr>
            <w:tcW w:w="2245" w:type="dxa"/>
            <w:tcMar>
              <w:top w:w="0" w:type="dxa"/>
              <w:left w:w="108" w:type="dxa"/>
              <w:bottom w:w="0" w:type="dxa"/>
              <w:right w:w="108" w:type="dxa"/>
            </w:tcMar>
          </w:tcPr>
          <w:p w:rsidR="00AB765B" w:rsidRDefault="00E1257F">
            <w:pPr>
              <w:spacing w:after="160"/>
              <w:rPr>
                <w:sz w:val="24"/>
                <w:szCs w:val="24"/>
              </w:rPr>
            </w:pPr>
            <w:r>
              <w:rPr>
                <w:sz w:val="24"/>
                <w:szCs w:val="24"/>
              </w:rPr>
              <w:t>$70,000-$99,999</w:t>
            </w:r>
          </w:p>
        </w:tc>
        <w:tc>
          <w:tcPr>
            <w:tcW w:w="7200" w:type="dxa"/>
            <w:tcMar>
              <w:top w:w="0" w:type="dxa"/>
              <w:left w:w="108" w:type="dxa"/>
              <w:bottom w:w="0" w:type="dxa"/>
              <w:right w:w="108" w:type="dxa"/>
            </w:tcMar>
          </w:tcPr>
          <w:p w:rsidR="00AB765B" w:rsidRDefault="00E1257F">
            <w:pPr>
              <w:spacing w:after="160"/>
              <w:rPr>
                <w:sz w:val="24"/>
                <w:szCs w:val="24"/>
              </w:rPr>
            </w:pPr>
            <w:r>
              <w:rPr>
                <w:sz w:val="24"/>
                <w:szCs w:val="24"/>
              </w:rPr>
              <w:t xml:space="preserve">Roughly aligns with Low Income Measures (LIMs) for </w:t>
            </w:r>
            <w:r>
              <w:rPr>
                <w:b/>
                <w:sz w:val="24"/>
                <w:szCs w:val="24"/>
              </w:rPr>
              <w:t>10 person households</w:t>
            </w:r>
          </w:p>
        </w:tc>
      </w:tr>
      <w:tr w:rsidR="00AB765B">
        <w:tc>
          <w:tcPr>
            <w:tcW w:w="2245" w:type="dxa"/>
            <w:tcMar>
              <w:top w:w="0" w:type="dxa"/>
              <w:left w:w="108" w:type="dxa"/>
              <w:bottom w:w="0" w:type="dxa"/>
              <w:right w:w="108" w:type="dxa"/>
            </w:tcMar>
          </w:tcPr>
          <w:p w:rsidR="00AB765B" w:rsidRDefault="00E1257F">
            <w:pPr>
              <w:spacing w:after="160"/>
              <w:rPr>
                <w:sz w:val="24"/>
                <w:szCs w:val="24"/>
              </w:rPr>
            </w:pPr>
            <w:r>
              <w:rPr>
                <w:sz w:val="24"/>
                <w:szCs w:val="24"/>
              </w:rPr>
              <w:t>$100,000-149,999</w:t>
            </w:r>
          </w:p>
        </w:tc>
        <w:tc>
          <w:tcPr>
            <w:tcW w:w="7200" w:type="dxa"/>
            <w:tcMar>
              <w:top w:w="0" w:type="dxa"/>
              <w:left w:w="108" w:type="dxa"/>
              <w:bottom w:w="0" w:type="dxa"/>
              <w:right w:w="108" w:type="dxa"/>
            </w:tcMar>
          </w:tcPr>
          <w:p w:rsidR="00AB765B" w:rsidRDefault="00E1257F">
            <w:pPr>
              <w:spacing w:after="160"/>
              <w:rPr>
                <w:sz w:val="24"/>
                <w:szCs w:val="24"/>
              </w:rPr>
            </w:pPr>
            <w:r>
              <w:rPr>
                <w:sz w:val="24"/>
                <w:szCs w:val="24"/>
              </w:rPr>
              <w:t>Does not align with low-income</w:t>
            </w:r>
          </w:p>
        </w:tc>
      </w:tr>
      <w:tr w:rsidR="00AB765B">
        <w:tc>
          <w:tcPr>
            <w:tcW w:w="2245" w:type="dxa"/>
            <w:tcMar>
              <w:top w:w="0" w:type="dxa"/>
              <w:left w:w="108" w:type="dxa"/>
              <w:bottom w:w="0" w:type="dxa"/>
              <w:right w:w="108" w:type="dxa"/>
            </w:tcMar>
          </w:tcPr>
          <w:p w:rsidR="00AB765B" w:rsidRDefault="00E1257F">
            <w:pPr>
              <w:spacing w:after="160"/>
              <w:rPr>
                <w:sz w:val="24"/>
                <w:szCs w:val="24"/>
              </w:rPr>
            </w:pPr>
            <w:r>
              <w:rPr>
                <w:sz w:val="24"/>
                <w:szCs w:val="24"/>
              </w:rPr>
              <w:t>$150,000 or more</w:t>
            </w:r>
          </w:p>
        </w:tc>
        <w:tc>
          <w:tcPr>
            <w:tcW w:w="7200" w:type="dxa"/>
            <w:tcMar>
              <w:top w:w="0" w:type="dxa"/>
              <w:left w:w="108" w:type="dxa"/>
              <w:bottom w:w="0" w:type="dxa"/>
              <w:right w:w="108" w:type="dxa"/>
            </w:tcMar>
          </w:tcPr>
          <w:p w:rsidR="00AB765B" w:rsidRDefault="00E1257F">
            <w:pPr>
              <w:spacing w:after="160"/>
              <w:rPr>
                <w:sz w:val="24"/>
                <w:szCs w:val="24"/>
              </w:rPr>
            </w:pPr>
            <w:r>
              <w:rPr>
                <w:sz w:val="24"/>
                <w:szCs w:val="24"/>
              </w:rPr>
              <w:t>Does not align with low-income</w:t>
            </w:r>
          </w:p>
        </w:tc>
      </w:tr>
    </w:tbl>
    <w:p w:rsidR="00AB765B" w:rsidRDefault="00AB765B"/>
    <w:p w:rsidR="00AB765B" w:rsidRDefault="00AB765B"/>
    <w:p w:rsidR="00AB765B" w:rsidRDefault="00E1257F">
      <w:pPr>
        <w:pStyle w:val="Heading2"/>
        <w:rPr>
          <w:rFonts w:ascii="Calibri" w:eastAsia="Calibri" w:hAnsi="Calibri" w:cs="Calibri"/>
        </w:rPr>
      </w:pPr>
      <w:r>
        <w:rPr>
          <w:rFonts w:ascii="Calibri" w:eastAsia="Calibri" w:hAnsi="Calibri" w:cs="Calibri"/>
        </w:rPr>
        <w:t>Inclusion criteria</w:t>
      </w:r>
    </w:p>
    <w:p w:rsidR="00AB765B" w:rsidRDefault="00E1257F">
      <w:pPr>
        <w:rPr>
          <w:sz w:val="24"/>
          <w:szCs w:val="24"/>
        </w:rPr>
      </w:pPr>
      <w:r>
        <w:rPr>
          <w:sz w:val="24"/>
          <w:szCs w:val="24"/>
        </w:rPr>
        <w:t>The socio-demographic questions on ethno-racial identity, income and household size were added to CORES on May 20</w:t>
      </w:r>
      <w:r>
        <w:rPr>
          <w:sz w:val="24"/>
          <w:szCs w:val="24"/>
          <w:vertAlign w:val="superscript"/>
        </w:rPr>
        <w:t>th</w:t>
      </w:r>
      <w:r>
        <w:rPr>
          <w:sz w:val="24"/>
          <w:szCs w:val="24"/>
        </w:rPr>
        <w:t xml:space="preserve">, 2020. Clients of TPH with confirmed or probable COVID-19 are paired with a case and contact investigator who ask them a series of questions to help manage their COVID-19 infection and prevent transmission. Data that can inform TPH's response to the pandemic are also asked, including the socio-demographic questions on ethno-racial identity, income and household size. </w:t>
      </w:r>
    </w:p>
    <w:p w:rsidR="00AB765B" w:rsidRDefault="00AB765B">
      <w:pPr>
        <w:rPr>
          <w:sz w:val="24"/>
          <w:szCs w:val="24"/>
        </w:rPr>
      </w:pPr>
    </w:p>
    <w:p w:rsidR="00AB765B" w:rsidRDefault="00E1257F">
      <w:pPr>
        <w:rPr>
          <w:sz w:val="24"/>
          <w:szCs w:val="24"/>
        </w:rPr>
      </w:pPr>
      <w:r>
        <w:rPr>
          <w:sz w:val="24"/>
          <w:szCs w:val="24"/>
        </w:rPr>
        <w:t xml:space="preserve">These questions were not asked to people living in retirement or long-term care homes. There were two main reasons for this. Firstly, case and contact investigators do not always liaise directly with retirement home and long-term care home clients. Information is sometimes collected from a family member or a member of staff. These questions of a personal nature are not appropriate to be answered via a third party. A second reason is that the questions on income and household size do not apply well to the context of a collective dwelling. </w:t>
      </w:r>
    </w:p>
    <w:p w:rsidR="00AB765B" w:rsidRDefault="00AB765B">
      <w:pPr>
        <w:rPr>
          <w:sz w:val="24"/>
          <w:szCs w:val="24"/>
        </w:rPr>
      </w:pPr>
    </w:p>
    <w:p w:rsidR="00AB765B" w:rsidRDefault="00E1257F">
      <w:pPr>
        <w:rPr>
          <w:sz w:val="24"/>
          <w:szCs w:val="24"/>
        </w:rPr>
      </w:pPr>
      <w:r>
        <w:rPr>
          <w:sz w:val="24"/>
          <w:szCs w:val="24"/>
        </w:rPr>
        <w:t>The vast majority of the cases (N=</w:t>
      </w:r>
      <w:r w:rsidR="009416F2">
        <w:rPr>
          <w:sz w:val="24"/>
          <w:szCs w:val="24"/>
        </w:rPr>
        <w:t>7,402</w:t>
      </w:r>
      <w:r>
        <w:rPr>
          <w:sz w:val="24"/>
          <w:szCs w:val="24"/>
        </w:rPr>
        <w:t>) with valid data on ethno-racial identity, income and household size had a reported or classification date of May 20</w:t>
      </w:r>
      <w:r>
        <w:rPr>
          <w:sz w:val="24"/>
          <w:szCs w:val="24"/>
          <w:vertAlign w:val="superscript"/>
        </w:rPr>
        <w:t xml:space="preserve">th </w:t>
      </w:r>
      <w:r>
        <w:rPr>
          <w:sz w:val="24"/>
          <w:szCs w:val="24"/>
        </w:rPr>
        <w:t>o</w:t>
      </w:r>
      <w:r w:rsidR="00CE0262">
        <w:rPr>
          <w:sz w:val="24"/>
          <w:szCs w:val="24"/>
        </w:rPr>
        <w:t xml:space="preserve">r later. However, there were </w:t>
      </w:r>
      <w:r w:rsidR="00A37FED">
        <w:rPr>
          <w:sz w:val="24"/>
          <w:szCs w:val="24"/>
        </w:rPr>
        <w:t>7</w:t>
      </w:r>
      <w:r w:rsidR="009416F2">
        <w:rPr>
          <w:sz w:val="24"/>
          <w:szCs w:val="24"/>
        </w:rPr>
        <w:t>5</w:t>
      </w:r>
      <w:r w:rsidR="00EE4118">
        <w:rPr>
          <w:sz w:val="24"/>
          <w:szCs w:val="24"/>
        </w:rPr>
        <w:t>2</w:t>
      </w:r>
      <w:r>
        <w:rPr>
          <w:sz w:val="24"/>
          <w:szCs w:val="24"/>
        </w:rPr>
        <w:t xml:space="preserve"> cases reported prior to May 20</w:t>
      </w:r>
      <w:r>
        <w:rPr>
          <w:sz w:val="24"/>
          <w:szCs w:val="24"/>
          <w:vertAlign w:val="superscript"/>
        </w:rPr>
        <w:t>th</w:t>
      </w:r>
      <w:r>
        <w:rPr>
          <w:sz w:val="24"/>
          <w:szCs w:val="24"/>
        </w:rPr>
        <w:t>, 2020 who had valid socio-demographic data due to their case still being open when the questions were added to CORES. Their information was also included in the analysis.</w:t>
      </w:r>
    </w:p>
    <w:p w:rsidR="00AB765B" w:rsidRDefault="00AB765B">
      <w:pPr>
        <w:rPr>
          <w:sz w:val="24"/>
          <w:szCs w:val="24"/>
        </w:rPr>
      </w:pPr>
    </w:p>
    <w:p w:rsidR="00AB765B" w:rsidRDefault="00E1257F">
      <w:pPr>
        <w:pStyle w:val="Heading2"/>
        <w:rPr>
          <w:rFonts w:ascii="Calibri" w:eastAsia="Calibri" w:hAnsi="Calibri" w:cs="Calibri"/>
        </w:rPr>
      </w:pPr>
      <w:r>
        <w:rPr>
          <w:rFonts w:ascii="Calibri" w:eastAsia="Calibri" w:hAnsi="Calibri" w:cs="Calibri"/>
        </w:rPr>
        <w:t>Analysis Notes</w:t>
      </w:r>
    </w:p>
    <w:p w:rsidR="00AB765B" w:rsidRDefault="00E1257F">
      <w:pPr>
        <w:pStyle w:val="Heading3"/>
        <w:rPr>
          <w:rFonts w:ascii="Calibri" w:eastAsia="Calibri" w:hAnsi="Calibri" w:cs="Calibri"/>
        </w:rPr>
      </w:pPr>
      <w:r>
        <w:rPr>
          <w:rFonts w:ascii="Calibri" w:eastAsia="Calibri" w:hAnsi="Calibri" w:cs="Calibri"/>
        </w:rPr>
        <w:t>Calculating Rates and proportions</w:t>
      </w:r>
    </w:p>
    <w:p w:rsidR="00AB765B" w:rsidRDefault="00E1257F">
      <w:pPr>
        <w:rPr>
          <w:sz w:val="24"/>
          <w:szCs w:val="24"/>
        </w:rPr>
      </w:pPr>
      <w:r>
        <w:rPr>
          <w:sz w:val="24"/>
          <w:szCs w:val="24"/>
        </w:rPr>
        <w:t>Proportions (shares) were calculated using the formula below:</w:t>
      </w:r>
    </w:p>
    <w:tbl>
      <w:tblPr>
        <w:tblStyle w:val="a0"/>
        <w:tblW w:w="8100" w:type="dxa"/>
        <w:tblBorders>
          <w:top w:val="nil"/>
          <w:left w:val="nil"/>
          <w:bottom w:val="nil"/>
          <w:right w:val="nil"/>
          <w:insideH w:val="nil"/>
          <w:insideV w:val="nil"/>
        </w:tblBorders>
        <w:tblLayout w:type="fixed"/>
        <w:tblLook w:val="0400" w:firstRow="0" w:lastRow="0" w:firstColumn="0" w:lastColumn="0" w:noHBand="0" w:noVBand="1"/>
      </w:tblPr>
      <w:tblGrid>
        <w:gridCol w:w="7006"/>
        <w:gridCol w:w="1094"/>
      </w:tblGrid>
      <w:tr w:rsidR="00AB765B">
        <w:tc>
          <w:tcPr>
            <w:tcW w:w="7006" w:type="dxa"/>
          </w:tcPr>
          <w:p w:rsidR="00AB765B" w:rsidRDefault="00E1257F">
            <w:pPr>
              <w:rPr>
                <w:i/>
                <w:sz w:val="20"/>
                <w:szCs w:val="20"/>
              </w:rPr>
            </w:pPr>
            <w:r>
              <w:rPr>
                <w:sz w:val="20"/>
                <w:szCs w:val="20"/>
              </w:rPr>
              <w:t>Number of cases in a category</w:t>
            </w:r>
            <w:r>
              <w:rPr>
                <w:i/>
                <w:sz w:val="20"/>
                <w:szCs w:val="20"/>
              </w:rPr>
              <w:t xml:space="preserve"> </w:t>
            </w:r>
          </w:p>
          <w:p w:rsidR="00AB765B" w:rsidRDefault="00E1257F">
            <w:pPr>
              <w:rPr>
                <w:i/>
                <w:sz w:val="20"/>
                <w:szCs w:val="20"/>
              </w:rPr>
            </w:pPr>
            <w:r>
              <w:rPr>
                <w:i/>
                <w:sz w:val="20"/>
                <w:szCs w:val="20"/>
              </w:rPr>
              <w:t>_______________________________</w:t>
            </w:r>
          </w:p>
        </w:tc>
        <w:tc>
          <w:tcPr>
            <w:tcW w:w="1094" w:type="dxa"/>
            <w:vMerge w:val="restart"/>
          </w:tcPr>
          <w:p w:rsidR="00AB765B" w:rsidRDefault="00AB765B">
            <w:pPr>
              <w:rPr>
                <w:sz w:val="20"/>
                <w:szCs w:val="20"/>
              </w:rPr>
            </w:pPr>
          </w:p>
          <w:p w:rsidR="00AB765B" w:rsidRPr="00C5334A" w:rsidRDefault="00E1257F">
            <w:pPr>
              <w:rPr>
                <w:sz w:val="24"/>
                <w:szCs w:val="24"/>
              </w:rPr>
            </w:pPr>
            <w:r w:rsidRPr="00C5334A">
              <w:rPr>
                <w:sz w:val="24"/>
                <w:szCs w:val="24"/>
              </w:rPr>
              <w:t>x 100</w:t>
            </w:r>
          </w:p>
          <w:p w:rsidR="00AB765B" w:rsidRDefault="00AB765B">
            <w:pPr>
              <w:rPr>
                <w:sz w:val="20"/>
                <w:szCs w:val="20"/>
              </w:rPr>
            </w:pPr>
          </w:p>
          <w:p w:rsidR="00AB765B" w:rsidRDefault="00AB765B">
            <w:pPr>
              <w:rPr>
                <w:sz w:val="20"/>
                <w:szCs w:val="20"/>
              </w:rPr>
            </w:pPr>
          </w:p>
        </w:tc>
      </w:tr>
      <w:tr w:rsidR="00AB765B">
        <w:tc>
          <w:tcPr>
            <w:tcW w:w="7006" w:type="dxa"/>
          </w:tcPr>
          <w:p w:rsidR="00AB765B" w:rsidRDefault="00E1257F">
            <w:pPr>
              <w:spacing w:before="120"/>
              <w:rPr>
                <w:sz w:val="20"/>
                <w:szCs w:val="20"/>
              </w:rPr>
            </w:pPr>
            <w:r>
              <w:rPr>
                <w:sz w:val="20"/>
                <w:szCs w:val="20"/>
              </w:rPr>
              <w:t>Total number of cases</w:t>
            </w:r>
          </w:p>
        </w:tc>
        <w:tc>
          <w:tcPr>
            <w:tcW w:w="1094" w:type="dxa"/>
            <w:vMerge/>
          </w:tcPr>
          <w:p w:rsidR="00AB765B" w:rsidRDefault="00AB765B">
            <w:pPr>
              <w:widowControl w:val="0"/>
              <w:pBdr>
                <w:top w:val="nil"/>
                <w:left w:val="nil"/>
                <w:bottom w:val="nil"/>
                <w:right w:val="nil"/>
                <w:between w:val="nil"/>
              </w:pBdr>
              <w:spacing w:line="276" w:lineRule="auto"/>
              <w:rPr>
                <w:sz w:val="20"/>
                <w:szCs w:val="20"/>
              </w:rPr>
            </w:pPr>
          </w:p>
        </w:tc>
      </w:tr>
    </w:tbl>
    <w:p w:rsidR="00AB765B" w:rsidRDefault="00E1257F">
      <w:pPr>
        <w:tabs>
          <w:tab w:val="right" w:pos="9360"/>
        </w:tabs>
        <w:rPr>
          <w:sz w:val="24"/>
          <w:szCs w:val="24"/>
        </w:rPr>
      </w:pPr>
      <w:r>
        <w:rPr>
          <w:sz w:val="24"/>
          <w:szCs w:val="24"/>
        </w:rPr>
        <w:t>At the population level, proportions were calculated using the formula below:</w:t>
      </w:r>
    </w:p>
    <w:tbl>
      <w:tblPr>
        <w:tblStyle w:val="a1"/>
        <w:tblW w:w="8100" w:type="dxa"/>
        <w:tblBorders>
          <w:top w:val="nil"/>
          <w:left w:val="nil"/>
          <w:bottom w:val="nil"/>
          <w:right w:val="nil"/>
          <w:insideH w:val="nil"/>
          <w:insideV w:val="nil"/>
        </w:tblBorders>
        <w:tblLayout w:type="fixed"/>
        <w:tblLook w:val="0400" w:firstRow="0" w:lastRow="0" w:firstColumn="0" w:lastColumn="0" w:noHBand="0" w:noVBand="1"/>
      </w:tblPr>
      <w:tblGrid>
        <w:gridCol w:w="7020"/>
        <w:gridCol w:w="1080"/>
      </w:tblGrid>
      <w:tr w:rsidR="00AB765B">
        <w:tc>
          <w:tcPr>
            <w:tcW w:w="7020" w:type="dxa"/>
          </w:tcPr>
          <w:p w:rsidR="00AB765B" w:rsidRDefault="00E1257F">
            <w:pPr>
              <w:rPr>
                <w:sz w:val="20"/>
                <w:szCs w:val="20"/>
                <w:vertAlign w:val="superscript"/>
              </w:rPr>
            </w:pPr>
            <w:r>
              <w:rPr>
                <w:sz w:val="20"/>
                <w:szCs w:val="20"/>
              </w:rPr>
              <w:t>Total number of people in a socio-demographic category as per the 2016 census</w:t>
            </w:r>
            <w:r>
              <w:rPr>
                <w:sz w:val="20"/>
                <w:szCs w:val="20"/>
                <w:vertAlign w:val="superscript"/>
              </w:rPr>
              <w:footnoteReference w:id="1"/>
            </w:r>
            <w:r>
              <w:rPr>
                <w:sz w:val="20"/>
                <w:szCs w:val="20"/>
                <w:vertAlign w:val="superscript"/>
              </w:rPr>
              <w:t>,</w:t>
            </w:r>
            <w:r>
              <w:rPr>
                <w:sz w:val="20"/>
                <w:szCs w:val="20"/>
                <w:vertAlign w:val="superscript"/>
              </w:rPr>
              <w:footnoteReference w:id="2"/>
            </w:r>
          </w:p>
          <w:p w:rsidR="00AB765B" w:rsidRDefault="00E1257F">
            <w:pPr>
              <w:rPr>
                <w:sz w:val="20"/>
                <w:szCs w:val="20"/>
                <w:vertAlign w:val="superscript"/>
              </w:rPr>
            </w:pPr>
            <w:r>
              <w:rPr>
                <w:i/>
                <w:sz w:val="24"/>
                <w:szCs w:val="24"/>
              </w:rPr>
              <w:t>________________________________</w:t>
            </w:r>
          </w:p>
        </w:tc>
        <w:tc>
          <w:tcPr>
            <w:tcW w:w="1080" w:type="dxa"/>
            <w:vMerge w:val="restart"/>
          </w:tcPr>
          <w:p w:rsidR="00AB765B" w:rsidRDefault="00AB765B">
            <w:pPr>
              <w:rPr>
                <w:sz w:val="24"/>
                <w:szCs w:val="24"/>
              </w:rPr>
            </w:pPr>
          </w:p>
          <w:p w:rsidR="00AB765B" w:rsidRDefault="00E1257F">
            <w:pPr>
              <w:rPr>
                <w:sz w:val="24"/>
                <w:szCs w:val="24"/>
              </w:rPr>
            </w:pPr>
            <w:r>
              <w:rPr>
                <w:sz w:val="24"/>
                <w:szCs w:val="24"/>
              </w:rPr>
              <w:t>x 100</w:t>
            </w:r>
          </w:p>
          <w:p w:rsidR="00AB765B" w:rsidRDefault="00AB765B">
            <w:pPr>
              <w:rPr>
                <w:sz w:val="24"/>
                <w:szCs w:val="24"/>
              </w:rPr>
            </w:pPr>
          </w:p>
          <w:p w:rsidR="00AB765B" w:rsidRDefault="00AB765B">
            <w:pPr>
              <w:rPr>
                <w:sz w:val="24"/>
                <w:szCs w:val="24"/>
              </w:rPr>
            </w:pPr>
          </w:p>
        </w:tc>
      </w:tr>
      <w:tr w:rsidR="00AB765B">
        <w:tc>
          <w:tcPr>
            <w:tcW w:w="7020" w:type="dxa"/>
          </w:tcPr>
          <w:p w:rsidR="00AB765B" w:rsidRDefault="00E1257F">
            <w:pPr>
              <w:spacing w:before="120"/>
              <w:rPr>
                <w:sz w:val="20"/>
                <w:szCs w:val="20"/>
                <w:vertAlign w:val="superscript"/>
              </w:rPr>
            </w:pPr>
            <w:r>
              <w:rPr>
                <w:sz w:val="20"/>
                <w:szCs w:val="20"/>
              </w:rPr>
              <w:t>Total number of people as per the 2016 census</w:t>
            </w:r>
            <w:r>
              <w:rPr>
                <w:sz w:val="20"/>
                <w:szCs w:val="20"/>
                <w:vertAlign w:val="superscript"/>
              </w:rPr>
              <w:t>1,2,3</w:t>
            </w:r>
          </w:p>
        </w:tc>
        <w:tc>
          <w:tcPr>
            <w:tcW w:w="1080" w:type="dxa"/>
            <w:vMerge/>
          </w:tcPr>
          <w:p w:rsidR="00AB765B" w:rsidRDefault="00AB765B">
            <w:pPr>
              <w:widowControl w:val="0"/>
              <w:pBdr>
                <w:top w:val="nil"/>
                <w:left w:val="nil"/>
                <w:bottom w:val="nil"/>
                <w:right w:val="nil"/>
                <w:between w:val="nil"/>
              </w:pBdr>
              <w:spacing w:line="276" w:lineRule="auto"/>
              <w:rPr>
                <w:sz w:val="20"/>
                <w:szCs w:val="20"/>
                <w:vertAlign w:val="superscript"/>
              </w:rPr>
            </w:pPr>
          </w:p>
        </w:tc>
      </w:tr>
    </w:tbl>
    <w:p w:rsidR="00AB765B" w:rsidRDefault="00E1257F">
      <w:pPr>
        <w:rPr>
          <w:sz w:val="24"/>
          <w:szCs w:val="24"/>
        </w:rPr>
      </w:pPr>
      <w:bookmarkStart w:id="0" w:name="OLE_LINK2"/>
      <w:r>
        <w:rPr>
          <w:sz w:val="24"/>
          <w:szCs w:val="24"/>
        </w:rPr>
        <w:lastRenderedPageBreak/>
        <w:t>Rates were calculated using the formula below:</w:t>
      </w:r>
    </w:p>
    <w:tbl>
      <w:tblPr>
        <w:tblStyle w:val="a2"/>
        <w:tblW w:w="8190" w:type="dxa"/>
        <w:tblBorders>
          <w:top w:val="nil"/>
          <w:left w:val="nil"/>
          <w:bottom w:val="nil"/>
          <w:right w:val="nil"/>
          <w:insideH w:val="nil"/>
          <w:insideV w:val="nil"/>
        </w:tblBorders>
        <w:tblLayout w:type="fixed"/>
        <w:tblLook w:val="0400" w:firstRow="0" w:lastRow="0" w:firstColumn="0" w:lastColumn="0" w:noHBand="0" w:noVBand="1"/>
      </w:tblPr>
      <w:tblGrid>
        <w:gridCol w:w="7020"/>
        <w:gridCol w:w="1170"/>
      </w:tblGrid>
      <w:tr w:rsidR="00AB765B">
        <w:tc>
          <w:tcPr>
            <w:tcW w:w="7020" w:type="dxa"/>
            <w:vAlign w:val="bottom"/>
          </w:tcPr>
          <w:p w:rsidR="00AB765B" w:rsidRDefault="00E1257F">
            <w:pPr>
              <w:rPr>
                <w:sz w:val="20"/>
                <w:szCs w:val="20"/>
              </w:rPr>
            </w:pPr>
            <w:r>
              <w:rPr>
                <w:sz w:val="20"/>
                <w:szCs w:val="20"/>
              </w:rPr>
              <w:t>Number of Cases</w:t>
            </w:r>
          </w:p>
          <w:p w:rsidR="00AB765B" w:rsidRDefault="00E1257F">
            <w:pPr>
              <w:rPr>
                <w:sz w:val="24"/>
                <w:szCs w:val="24"/>
              </w:rPr>
            </w:pPr>
            <w:r>
              <w:rPr>
                <w:i/>
                <w:sz w:val="24"/>
                <w:szCs w:val="24"/>
              </w:rPr>
              <w:t>_____________________________</w:t>
            </w:r>
          </w:p>
        </w:tc>
        <w:tc>
          <w:tcPr>
            <w:tcW w:w="1170" w:type="dxa"/>
            <w:vMerge w:val="restart"/>
          </w:tcPr>
          <w:p w:rsidR="00AB765B" w:rsidRDefault="00AB765B">
            <w:pPr>
              <w:rPr>
                <w:sz w:val="24"/>
                <w:szCs w:val="24"/>
              </w:rPr>
            </w:pPr>
          </w:p>
          <w:p w:rsidR="00AB765B" w:rsidRDefault="00E1257F">
            <w:pPr>
              <w:rPr>
                <w:sz w:val="24"/>
                <w:szCs w:val="24"/>
              </w:rPr>
            </w:pPr>
            <w:r>
              <w:rPr>
                <w:sz w:val="24"/>
                <w:szCs w:val="24"/>
              </w:rPr>
              <w:t>x 100,000</w:t>
            </w:r>
          </w:p>
          <w:p w:rsidR="00AB765B" w:rsidRDefault="00AB765B">
            <w:pPr>
              <w:rPr>
                <w:sz w:val="24"/>
                <w:szCs w:val="24"/>
              </w:rPr>
            </w:pPr>
          </w:p>
          <w:p w:rsidR="00AB765B" w:rsidRDefault="00AB765B">
            <w:pPr>
              <w:rPr>
                <w:sz w:val="24"/>
                <w:szCs w:val="24"/>
              </w:rPr>
            </w:pPr>
          </w:p>
        </w:tc>
      </w:tr>
      <w:tr w:rsidR="00AB765B">
        <w:tc>
          <w:tcPr>
            <w:tcW w:w="7020" w:type="dxa"/>
          </w:tcPr>
          <w:p w:rsidR="00AB765B" w:rsidRDefault="00E1257F">
            <w:pPr>
              <w:spacing w:before="120"/>
              <w:rPr>
                <w:sz w:val="24"/>
                <w:szCs w:val="24"/>
              </w:rPr>
            </w:pPr>
            <w:r>
              <w:rPr>
                <w:sz w:val="20"/>
                <w:szCs w:val="20"/>
              </w:rPr>
              <w:t>Total number of people in that socio-demographic category as per the 2016 census</w:t>
            </w:r>
            <w:r>
              <w:rPr>
                <w:sz w:val="20"/>
                <w:szCs w:val="20"/>
                <w:vertAlign w:val="superscript"/>
              </w:rPr>
              <w:t>1,2,</w:t>
            </w:r>
            <w:r>
              <w:rPr>
                <w:sz w:val="20"/>
                <w:szCs w:val="20"/>
                <w:vertAlign w:val="superscript"/>
              </w:rPr>
              <w:footnoteReference w:id="3"/>
            </w:r>
          </w:p>
        </w:tc>
        <w:tc>
          <w:tcPr>
            <w:tcW w:w="1170" w:type="dxa"/>
            <w:vMerge/>
          </w:tcPr>
          <w:p w:rsidR="00AB765B" w:rsidRDefault="00AB765B">
            <w:pPr>
              <w:widowControl w:val="0"/>
              <w:pBdr>
                <w:top w:val="nil"/>
                <w:left w:val="nil"/>
                <w:bottom w:val="nil"/>
                <w:right w:val="nil"/>
                <w:between w:val="nil"/>
              </w:pBdr>
              <w:spacing w:line="276" w:lineRule="auto"/>
              <w:rPr>
                <w:sz w:val="24"/>
                <w:szCs w:val="24"/>
              </w:rPr>
            </w:pPr>
          </w:p>
        </w:tc>
      </w:tr>
      <w:bookmarkEnd w:id="0"/>
    </w:tbl>
    <w:p w:rsidR="00AB765B" w:rsidRDefault="00AB765B">
      <w:pPr>
        <w:rPr>
          <w:sz w:val="24"/>
          <w:szCs w:val="24"/>
          <w:vertAlign w:val="superscript"/>
        </w:rPr>
      </w:pPr>
    </w:p>
    <w:p w:rsidR="00DD7860" w:rsidRDefault="00DD7860" w:rsidP="00DD7860">
      <w:pPr>
        <w:rPr>
          <w:sz w:val="24"/>
          <w:szCs w:val="24"/>
        </w:rPr>
      </w:pPr>
      <w:r>
        <w:rPr>
          <w:sz w:val="24"/>
          <w:szCs w:val="24"/>
        </w:rPr>
        <w:t>Rate</w:t>
      </w:r>
      <w:r w:rsidR="00AA6F6B">
        <w:rPr>
          <w:sz w:val="24"/>
          <w:szCs w:val="24"/>
        </w:rPr>
        <w:t xml:space="preserve"> ratios</w:t>
      </w:r>
      <w:r>
        <w:rPr>
          <w:sz w:val="24"/>
          <w:szCs w:val="24"/>
        </w:rPr>
        <w:t xml:space="preserve"> were calculated using the formula below:</w:t>
      </w:r>
    </w:p>
    <w:tbl>
      <w:tblPr>
        <w:tblStyle w:val="a2"/>
        <w:tblW w:w="8190" w:type="dxa"/>
        <w:tblBorders>
          <w:top w:val="nil"/>
          <w:left w:val="nil"/>
          <w:bottom w:val="nil"/>
          <w:right w:val="nil"/>
          <w:insideH w:val="nil"/>
          <w:insideV w:val="nil"/>
        </w:tblBorders>
        <w:tblLayout w:type="fixed"/>
        <w:tblLook w:val="0400" w:firstRow="0" w:lastRow="0" w:firstColumn="0" w:lastColumn="0" w:noHBand="0" w:noVBand="1"/>
      </w:tblPr>
      <w:tblGrid>
        <w:gridCol w:w="7020"/>
        <w:gridCol w:w="1170"/>
      </w:tblGrid>
      <w:tr w:rsidR="00DD7860" w:rsidTr="001A5949">
        <w:tc>
          <w:tcPr>
            <w:tcW w:w="7020" w:type="dxa"/>
            <w:vAlign w:val="bottom"/>
          </w:tcPr>
          <w:p w:rsidR="00DD7860" w:rsidRDefault="00AA6F6B" w:rsidP="001A5949">
            <w:pPr>
              <w:rPr>
                <w:sz w:val="20"/>
                <w:szCs w:val="20"/>
              </w:rPr>
            </w:pPr>
            <w:r>
              <w:rPr>
                <w:sz w:val="20"/>
                <w:szCs w:val="20"/>
              </w:rPr>
              <w:t>Rate in sociodemographic category</w:t>
            </w:r>
          </w:p>
          <w:p w:rsidR="00DD7860" w:rsidRDefault="00DD7860" w:rsidP="001A5949">
            <w:pPr>
              <w:rPr>
                <w:sz w:val="24"/>
                <w:szCs w:val="24"/>
              </w:rPr>
            </w:pPr>
            <w:r>
              <w:rPr>
                <w:i/>
                <w:sz w:val="24"/>
                <w:szCs w:val="24"/>
              </w:rPr>
              <w:t>_____________________________</w:t>
            </w:r>
          </w:p>
        </w:tc>
        <w:tc>
          <w:tcPr>
            <w:tcW w:w="1170" w:type="dxa"/>
            <w:vMerge w:val="restart"/>
          </w:tcPr>
          <w:p w:rsidR="00DD7860" w:rsidRDefault="00DD7860" w:rsidP="001A5949">
            <w:pPr>
              <w:rPr>
                <w:sz w:val="24"/>
                <w:szCs w:val="24"/>
              </w:rPr>
            </w:pPr>
          </w:p>
        </w:tc>
      </w:tr>
      <w:tr w:rsidR="00DD7860" w:rsidTr="001A5949">
        <w:tc>
          <w:tcPr>
            <w:tcW w:w="7020" w:type="dxa"/>
          </w:tcPr>
          <w:p w:rsidR="00DD7860" w:rsidRDefault="00AA6F6B" w:rsidP="001A5949">
            <w:pPr>
              <w:spacing w:before="120"/>
              <w:rPr>
                <w:sz w:val="24"/>
                <w:szCs w:val="24"/>
              </w:rPr>
            </w:pPr>
            <w:r>
              <w:rPr>
                <w:sz w:val="20"/>
                <w:szCs w:val="20"/>
              </w:rPr>
              <w:t>Rate in all other groups in sociodemographic category</w:t>
            </w:r>
          </w:p>
        </w:tc>
        <w:tc>
          <w:tcPr>
            <w:tcW w:w="1170" w:type="dxa"/>
            <w:vMerge/>
          </w:tcPr>
          <w:p w:rsidR="00DD7860" w:rsidRDefault="00DD7860" w:rsidP="001A5949">
            <w:pPr>
              <w:widowControl w:val="0"/>
              <w:pBdr>
                <w:top w:val="nil"/>
                <w:left w:val="nil"/>
                <w:bottom w:val="nil"/>
                <w:right w:val="nil"/>
                <w:between w:val="nil"/>
              </w:pBdr>
              <w:spacing w:line="276" w:lineRule="auto"/>
              <w:rPr>
                <w:sz w:val="24"/>
                <w:szCs w:val="24"/>
              </w:rPr>
            </w:pPr>
          </w:p>
        </w:tc>
      </w:tr>
    </w:tbl>
    <w:p w:rsidR="00DD7860" w:rsidRDefault="00DD7860">
      <w:pPr>
        <w:rPr>
          <w:sz w:val="24"/>
          <w:szCs w:val="24"/>
          <w:vertAlign w:val="superscript"/>
        </w:rPr>
      </w:pPr>
    </w:p>
    <w:p w:rsidR="00DD7860" w:rsidRDefault="00DD7860">
      <w:pPr>
        <w:rPr>
          <w:sz w:val="24"/>
          <w:szCs w:val="24"/>
          <w:vertAlign w:val="superscript"/>
        </w:rPr>
      </w:pPr>
    </w:p>
    <w:p w:rsidR="00AB765B" w:rsidRDefault="00E1257F">
      <w:pPr>
        <w:numPr>
          <w:ilvl w:val="0"/>
          <w:numId w:val="6"/>
        </w:numPr>
        <w:pBdr>
          <w:top w:val="nil"/>
          <w:left w:val="nil"/>
          <w:bottom w:val="nil"/>
          <w:right w:val="nil"/>
          <w:between w:val="nil"/>
        </w:pBdr>
        <w:rPr>
          <w:color w:val="000000"/>
          <w:sz w:val="24"/>
          <w:szCs w:val="24"/>
        </w:rPr>
      </w:pPr>
      <w:r>
        <w:rPr>
          <w:color w:val="000000"/>
          <w:sz w:val="24"/>
          <w:szCs w:val="24"/>
        </w:rPr>
        <w:t>For proportions, those who identified as mixed race or of another race were included in the analysis but not displayed on the dashboards.</w:t>
      </w:r>
    </w:p>
    <w:p w:rsidR="00AB765B" w:rsidRDefault="00E1257F">
      <w:pPr>
        <w:numPr>
          <w:ilvl w:val="0"/>
          <w:numId w:val="6"/>
        </w:numPr>
        <w:pBdr>
          <w:top w:val="nil"/>
          <w:left w:val="nil"/>
          <w:bottom w:val="nil"/>
          <w:right w:val="nil"/>
          <w:between w:val="nil"/>
        </w:pBdr>
        <w:rPr>
          <w:color w:val="000000"/>
          <w:sz w:val="24"/>
          <w:szCs w:val="24"/>
        </w:rPr>
      </w:pPr>
      <w:r>
        <w:rPr>
          <w:color w:val="000000"/>
          <w:sz w:val="24"/>
          <w:szCs w:val="24"/>
        </w:rPr>
        <w:t xml:space="preserve">For the purpose of calculating the rates and proportions all cases with invalid data (i.e. with answers such "Not asked", "Prefer not to answer" or "Don't know") were removed from the analysis.  </w:t>
      </w:r>
    </w:p>
    <w:p w:rsidR="00AB765B" w:rsidRDefault="00E1257F">
      <w:pPr>
        <w:numPr>
          <w:ilvl w:val="0"/>
          <w:numId w:val="6"/>
        </w:numPr>
        <w:pBdr>
          <w:top w:val="nil"/>
          <w:left w:val="nil"/>
          <w:bottom w:val="nil"/>
          <w:right w:val="nil"/>
          <w:between w:val="nil"/>
        </w:pBdr>
        <w:rPr>
          <w:color w:val="000000"/>
          <w:sz w:val="24"/>
          <w:szCs w:val="24"/>
        </w:rPr>
      </w:pPr>
      <w:r>
        <w:rPr>
          <w:color w:val="000000"/>
          <w:sz w:val="24"/>
          <w:szCs w:val="24"/>
        </w:rPr>
        <w:t xml:space="preserve">Due to low numbers and lack of an appropriate denominator, cases classified as transgender, other or unknown were removed from the analysis but are included in the overall counts. </w:t>
      </w:r>
    </w:p>
    <w:p w:rsidR="00AB765B" w:rsidRDefault="00E1257F">
      <w:pPr>
        <w:numPr>
          <w:ilvl w:val="0"/>
          <w:numId w:val="6"/>
        </w:numPr>
        <w:pBdr>
          <w:top w:val="nil"/>
          <w:left w:val="nil"/>
          <w:bottom w:val="nil"/>
          <w:right w:val="nil"/>
          <w:between w:val="nil"/>
        </w:pBdr>
        <w:rPr>
          <w:color w:val="000000"/>
          <w:sz w:val="24"/>
          <w:szCs w:val="24"/>
        </w:rPr>
      </w:pPr>
      <w:r>
        <w:rPr>
          <w:color w:val="000000"/>
          <w:sz w:val="24"/>
          <w:szCs w:val="24"/>
        </w:rPr>
        <w:t>As we are not currently presenting data on Indigenous identity, data on these cases were removed for the analysis on rates and proportions for ethno-racial groups. In addition, those with indigenous identity were also removed from the census counts.</w:t>
      </w:r>
    </w:p>
    <w:p w:rsidR="00AB765B" w:rsidRDefault="00E1257F">
      <w:pPr>
        <w:numPr>
          <w:ilvl w:val="0"/>
          <w:numId w:val="6"/>
        </w:numPr>
        <w:pBdr>
          <w:top w:val="nil"/>
          <w:left w:val="nil"/>
          <w:bottom w:val="nil"/>
          <w:right w:val="nil"/>
          <w:between w:val="nil"/>
        </w:pBdr>
        <w:rPr>
          <w:color w:val="000000"/>
          <w:sz w:val="24"/>
          <w:szCs w:val="24"/>
        </w:rPr>
      </w:pPr>
      <w:r>
        <w:rPr>
          <w:color w:val="000000"/>
          <w:sz w:val="24"/>
          <w:szCs w:val="24"/>
        </w:rPr>
        <w:t>We are not releasing any data on Indigenous identity at this time because consultation with representatives from the Indigenous community is ongoing</w:t>
      </w:r>
    </w:p>
    <w:p w:rsidR="00AB765B" w:rsidRDefault="00E1257F">
      <w:pPr>
        <w:numPr>
          <w:ilvl w:val="0"/>
          <w:numId w:val="6"/>
        </w:numPr>
        <w:pBdr>
          <w:top w:val="nil"/>
          <w:left w:val="nil"/>
          <w:bottom w:val="nil"/>
          <w:right w:val="nil"/>
          <w:between w:val="nil"/>
        </w:pBdr>
        <w:rPr>
          <w:color w:val="000000"/>
          <w:sz w:val="24"/>
          <w:szCs w:val="24"/>
        </w:rPr>
      </w:pPr>
      <w:r>
        <w:rPr>
          <w:color w:val="000000"/>
          <w:sz w:val="24"/>
          <w:szCs w:val="24"/>
        </w:rPr>
        <w:t xml:space="preserve">Engagement with Indigenous partners is an important to ensure that TPH's data collection and knowledge translation strategies for Indigenous data align with the principles of OCAP® (Ownership, Control, Access, and Possession). </w:t>
      </w:r>
    </w:p>
    <w:p w:rsidR="00AB765B" w:rsidRDefault="00E1257F">
      <w:pPr>
        <w:numPr>
          <w:ilvl w:val="0"/>
          <w:numId w:val="6"/>
        </w:numPr>
        <w:pBdr>
          <w:top w:val="nil"/>
          <w:left w:val="nil"/>
          <w:bottom w:val="nil"/>
          <w:right w:val="nil"/>
          <w:between w:val="nil"/>
        </w:pBdr>
        <w:rPr>
          <w:color w:val="000000"/>
          <w:sz w:val="24"/>
          <w:szCs w:val="24"/>
        </w:rPr>
      </w:pPr>
      <w:r>
        <w:rPr>
          <w:color w:val="000000"/>
          <w:sz w:val="24"/>
          <w:szCs w:val="24"/>
        </w:rPr>
        <w:t>As part of the current data collection process, TPH will be seeking guidance from Indigenous leaders on how Indigenous data should be collected, used, and reported.</w:t>
      </w:r>
    </w:p>
    <w:p w:rsidR="00AB765B" w:rsidRDefault="00AB765B"/>
    <w:p w:rsidR="00AB765B" w:rsidRDefault="00E1257F">
      <w:pPr>
        <w:pStyle w:val="Heading2"/>
        <w:rPr>
          <w:rFonts w:ascii="Calibri" w:eastAsia="Calibri" w:hAnsi="Calibri" w:cs="Calibri"/>
        </w:rPr>
      </w:pPr>
      <w:r>
        <w:rPr>
          <w:rFonts w:ascii="Calibri" w:eastAsia="Calibri" w:hAnsi="Calibri" w:cs="Calibri"/>
        </w:rPr>
        <w:t xml:space="preserve">Characteristics of COVID-19 cases with valid socio-demographic data (up to </w:t>
      </w:r>
      <w:r w:rsidR="00804C3C">
        <w:rPr>
          <w:rFonts w:ascii="Calibri" w:eastAsia="Calibri" w:hAnsi="Calibri" w:cs="Calibri"/>
        </w:rPr>
        <w:t>Sept 30</w:t>
      </w:r>
      <w:r>
        <w:rPr>
          <w:rFonts w:ascii="Calibri" w:eastAsia="Calibri" w:hAnsi="Calibri" w:cs="Calibri"/>
        </w:rPr>
        <w:t>) compared to cases with missing data</w:t>
      </w:r>
      <w:r w:rsidR="00DC5BE4">
        <w:rPr>
          <w:rStyle w:val="FootnoteReference"/>
          <w:rFonts w:ascii="Calibri" w:eastAsia="Calibri" w:hAnsi="Calibri" w:cs="Calibri"/>
        </w:rPr>
        <w:footnoteReference w:id="4"/>
      </w:r>
    </w:p>
    <w:p w:rsidR="00AB765B" w:rsidRDefault="00AB765B">
      <w:pPr>
        <w:rPr>
          <w:b/>
          <w:sz w:val="24"/>
          <w:szCs w:val="24"/>
        </w:rPr>
      </w:pPr>
    </w:p>
    <w:p w:rsidR="00AB765B" w:rsidRDefault="00E1257F">
      <w:pPr>
        <w:rPr>
          <w:sz w:val="24"/>
          <w:szCs w:val="24"/>
        </w:rPr>
      </w:pPr>
      <w:r>
        <w:rPr>
          <w:sz w:val="24"/>
          <w:szCs w:val="24"/>
        </w:rPr>
        <w:t>The following section provides a description of the cases with valid data on ethno-racial identity, income groups and household size. It also compares this sample of cases to a) cases reported before May 20</w:t>
      </w:r>
      <w:r>
        <w:rPr>
          <w:sz w:val="24"/>
          <w:szCs w:val="24"/>
          <w:vertAlign w:val="superscript"/>
        </w:rPr>
        <w:t>th</w:t>
      </w:r>
      <w:r>
        <w:rPr>
          <w:sz w:val="24"/>
          <w:szCs w:val="24"/>
        </w:rPr>
        <w:t xml:space="preserve"> without these data and b) cases reported after May 20</w:t>
      </w:r>
      <w:r>
        <w:rPr>
          <w:sz w:val="24"/>
          <w:szCs w:val="24"/>
          <w:vertAlign w:val="superscript"/>
        </w:rPr>
        <w:t>th</w:t>
      </w:r>
      <w:r>
        <w:rPr>
          <w:sz w:val="24"/>
          <w:szCs w:val="24"/>
        </w:rPr>
        <w:t xml:space="preserve"> with missing data for these questions.</w:t>
      </w:r>
      <w:r w:rsidR="00C40A7C" w:rsidRPr="00C40A7C">
        <w:t xml:space="preserve"> </w:t>
      </w:r>
      <w:r w:rsidR="002B5EB4" w:rsidRPr="002B5EB4">
        <w:rPr>
          <w:sz w:val="24"/>
        </w:rPr>
        <w:t xml:space="preserve">This analysis </w:t>
      </w:r>
      <w:r w:rsidR="00376298">
        <w:rPr>
          <w:sz w:val="24"/>
        </w:rPr>
        <w:t>reflects data collected up until September 30</w:t>
      </w:r>
      <w:r w:rsidR="00376298" w:rsidRPr="00376298">
        <w:rPr>
          <w:sz w:val="24"/>
          <w:vertAlign w:val="superscript"/>
        </w:rPr>
        <w:t>th</w:t>
      </w:r>
      <w:r w:rsidR="002B5EB4" w:rsidRPr="002B5EB4">
        <w:rPr>
          <w:sz w:val="24"/>
        </w:rPr>
        <w:t>. It will be updated again once there is a sufficient addition of cases to yield differences in the findings.</w:t>
      </w:r>
    </w:p>
    <w:p w:rsidR="00AB765B" w:rsidRDefault="00AB765B">
      <w:pPr>
        <w:rPr>
          <w:sz w:val="24"/>
          <w:szCs w:val="24"/>
        </w:rPr>
      </w:pPr>
    </w:p>
    <w:p w:rsidR="00AB765B" w:rsidRDefault="00E1257F">
      <w:pPr>
        <w:pStyle w:val="Heading3"/>
        <w:rPr>
          <w:rFonts w:ascii="Calibri" w:eastAsia="Calibri" w:hAnsi="Calibri" w:cs="Calibri"/>
        </w:rPr>
      </w:pPr>
      <w:r>
        <w:rPr>
          <w:rFonts w:ascii="Calibri" w:eastAsia="Calibri" w:hAnsi="Calibri" w:cs="Calibri"/>
        </w:rPr>
        <w:lastRenderedPageBreak/>
        <w:t>Cases with reported COVID-19 infection with valid socio-demographic data</w:t>
      </w:r>
    </w:p>
    <w:p w:rsidR="00AB765B" w:rsidRDefault="00804C3C">
      <w:pPr>
        <w:rPr>
          <w:sz w:val="24"/>
          <w:szCs w:val="24"/>
        </w:rPr>
      </w:pPr>
      <w:r>
        <w:rPr>
          <w:sz w:val="24"/>
          <w:szCs w:val="24"/>
        </w:rPr>
        <w:t xml:space="preserve">In total, </w:t>
      </w:r>
      <w:r w:rsidR="00D247D7">
        <w:rPr>
          <w:sz w:val="24"/>
          <w:szCs w:val="24"/>
        </w:rPr>
        <w:t xml:space="preserve">8154 </w:t>
      </w:r>
      <w:r w:rsidR="00E1257F">
        <w:rPr>
          <w:sz w:val="24"/>
          <w:szCs w:val="24"/>
        </w:rPr>
        <w:t xml:space="preserve">cases were included in this sample. Fifty-one (51%) percent of the sample was </w:t>
      </w:r>
      <w:r w:rsidR="00794F21">
        <w:rPr>
          <w:sz w:val="24"/>
          <w:szCs w:val="24"/>
        </w:rPr>
        <w:t>fe</w:t>
      </w:r>
      <w:r w:rsidR="00E1257F">
        <w:rPr>
          <w:sz w:val="24"/>
          <w:szCs w:val="24"/>
        </w:rPr>
        <w:t xml:space="preserve">male. The average age of the cases was </w:t>
      </w:r>
      <w:r w:rsidR="00794F21">
        <w:rPr>
          <w:sz w:val="24"/>
          <w:szCs w:val="24"/>
        </w:rPr>
        <w:t>39.3</w:t>
      </w:r>
      <w:r w:rsidR="00E1257F">
        <w:rPr>
          <w:sz w:val="24"/>
          <w:szCs w:val="24"/>
        </w:rPr>
        <w:t>. The most common exposure for thi</w:t>
      </w:r>
      <w:r w:rsidR="00794F21">
        <w:rPr>
          <w:sz w:val="24"/>
          <w:szCs w:val="24"/>
        </w:rPr>
        <w:t>s sample was close contact (61.1</w:t>
      </w:r>
      <w:r w:rsidR="00E1257F">
        <w:rPr>
          <w:sz w:val="24"/>
          <w:szCs w:val="24"/>
        </w:rPr>
        <w:t>%), followed by co</w:t>
      </w:r>
      <w:r w:rsidR="00794F21">
        <w:rPr>
          <w:sz w:val="24"/>
          <w:szCs w:val="24"/>
        </w:rPr>
        <w:t>mmunity (21.8</w:t>
      </w:r>
      <w:r w:rsidR="00E1257F">
        <w:rPr>
          <w:sz w:val="24"/>
          <w:szCs w:val="24"/>
        </w:rPr>
        <w:t>%) and the vast majority of these cas</w:t>
      </w:r>
      <w:r w:rsidR="00794F21">
        <w:rPr>
          <w:sz w:val="24"/>
          <w:szCs w:val="24"/>
        </w:rPr>
        <w:t>es were sporadic in nature (85.9</w:t>
      </w:r>
      <w:r w:rsidR="00E1257F">
        <w:rPr>
          <w:sz w:val="24"/>
          <w:szCs w:val="24"/>
        </w:rPr>
        <w:t>%). A small proportion of th</w:t>
      </w:r>
      <w:r w:rsidR="00794F21">
        <w:rPr>
          <w:sz w:val="24"/>
          <w:szCs w:val="24"/>
        </w:rPr>
        <w:t>ese cases were hospitalized (5.6%) or flagged as severe (5.6</w:t>
      </w:r>
      <w:r w:rsidR="00E1257F">
        <w:rPr>
          <w:sz w:val="24"/>
          <w:szCs w:val="24"/>
        </w:rPr>
        <w:t>%) and less than 1% had a fatal outcome (Table 1).</w:t>
      </w:r>
    </w:p>
    <w:p w:rsidR="00AB765B" w:rsidRDefault="00AB765B">
      <w:pPr>
        <w:rPr>
          <w:sz w:val="24"/>
          <w:szCs w:val="24"/>
        </w:rPr>
      </w:pPr>
    </w:p>
    <w:p w:rsidR="00AB765B" w:rsidRDefault="00E1257F">
      <w:pPr>
        <w:pStyle w:val="Heading3"/>
        <w:rPr>
          <w:rFonts w:ascii="Calibri" w:eastAsia="Calibri" w:hAnsi="Calibri" w:cs="Calibri"/>
        </w:rPr>
      </w:pPr>
      <w:r>
        <w:rPr>
          <w:rFonts w:ascii="Calibri" w:eastAsia="Calibri" w:hAnsi="Calibri" w:cs="Calibri"/>
        </w:rPr>
        <w:t xml:space="preserve">Cases with reported COVID-19 infection prior to May 20th who were not asked the socio-demographic questions </w:t>
      </w:r>
    </w:p>
    <w:p w:rsidR="00AB765B" w:rsidRDefault="00E1257F">
      <w:pPr>
        <w:rPr>
          <w:sz w:val="24"/>
          <w:szCs w:val="24"/>
        </w:rPr>
      </w:pPr>
      <w:r>
        <w:rPr>
          <w:sz w:val="24"/>
          <w:szCs w:val="24"/>
        </w:rPr>
        <w:t xml:space="preserve">There were </w:t>
      </w:r>
      <w:r w:rsidR="001B032B">
        <w:rPr>
          <w:sz w:val="24"/>
          <w:szCs w:val="24"/>
        </w:rPr>
        <w:t>5,678</w:t>
      </w:r>
      <w:r>
        <w:rPr>
          <w:sz w:val="24"/>
          <w:szCs w:val="24"/>
        </w:rPr>
        <w:t xml:space="preserve"> cases included in this sample. It includes all of the cases with a reported and classification date prior to May 20</w:t>
      </w:r>
      <w:r>
        <w:rPr>
          <w:sz w:val="24"/>
          <w:szCs w:val="24"/>
          <w:vertAlign w:val="superscript"/>
        </w:rPr>
        <w:t>th</w:t>
      </w:r>
      <w:r>
        <w:rPr>
          <w:sz w:val="24"/>
          <w:szCs w:val="24"/>
        </w:rPr>
        <w:t>, 2020 who were not asked the socio-demographic questions.  A very small proportion (~5%) of these cases had a reported or classification date after May 20</w:t>
      </w:r>
      <w:r>
        <w:rPr>
          <w:sz w:val="24"/>
          <w:szCs w:val="24"/>
          <w:vertAlign w:val="superscript"/>
        </w:rPr>
        <w:t>th</w:t>
      </w:r>
      <w:r>
        <w:rPr>
          <w:sz w:val="24"/>
          <w:szCs w:val="24"/>
        </w:rPr>
        <w:t xml:space="preserve"> but were entered in the tool used at TPH prior to CORES (iPHIS). They were also included as part of this sample, as it would not be possible to collect data on ethno-racial identity, income groups and household size from them. </w:t>
      </w:r>
    </w:p>
    <w:p w:rsidR="00707199" w:rsidRDefault="00707199">
      <w:pPr>
        <w:rPr>
          <w:sz w:val="24"/>
          <w:szCs w:val="24"/>
        </w:rPr>
      </w:pPr>
    </w:p>
    <w:p w:rsidR="00AB765B" w:rsidRDefault="00E1257F">
      <w:pPr>
        <w:rPr>
          <w:sz w:val="24"/>
          <w:szCs w:val="24"/>
        </w:rPr>
      </w:pPr>
      <w:r>
        <w:rPr>
          <w:sz w:val="24"/>
          <w:szCs w:val="24"/>
        </w:rPr>
        <w:t>Compared to the sample with valid socio-demographic data, the sample without sociodemographic data had a higher average age (45.5 vs.</w:t>
      </w:r>
      <w:r w:rsidR="00CF190A">
        <w:rPr>
          <w:sz w:val="24"/>
          <w:szCs w:val="24"/>
        </w:rPr>
        <w:t xml:space="preserve"> 39.3</w:t>
      </w:r>
      <w:r>
        <w:rPr>
          <w:sz w:val="24"/>
          <w:szCs w:val="24"/>
        </w:rPr>
        <w:t>) (Table 1). This sample also had higher proportion of cases wh</w:t>
      </w:r>
      <w:r w:rsidR="00A116BA">
        <w:rPr>
          <w:sz w:val="24"/>
          <w:szCs w:val="24"/>
        </w:rPr>
        <w:t>o had travel as an exposure (7.4</w:t>
      </w:r>
      <w:r w:rsidR="00CF190A">
        <w:rPr>
          <w:sz w:val="24"/>
          <w:szCs w:val="24"/>
        </w:rPr>
        <w:t>% vs. 5.4</w:t>
      </w:r>
      <w:r>
        <w:rPr>
          <w:sz w:val="24"/>
          <w:szCs w:val="24"/>
        </w:rPr>
        <w:t xml:space="preserve">%) or had an </w:t>
      </w:r>
      <w:r w:rsidR="00CF190A">
        <w:rPr>
          <w:sz w:val="24"/>
          <w:szCs w:val="24"/>
        </w:rPr>
        <w:t>unknown or missing exposure (3.7% vs. 1.4</w:t>
      </w:r>
      <w:r>
        <w:rPr>
          <w:sz w:val="24"/>
          <w:szCs w:val="24"/>
        </w:rPr>
        <w:t>%). There was also a higher proportion of cases in this sample</w:t>
      </w:r>
      <w:r w:rsidR="00CF190A">
        <w:rPr>
          <w:sz w:val="24"/>
          <w:szCs w:val="24"/>
        </w:rPr>
        <w:t xml:space="preserve"> who were outbreak related (28.9% vs 14.1</w:t>
      </w:r>
      <w:r>
        <w:rPr>
          <w:sz w:val="24"/>
          <w:szCs w:val="24"/>
        </w:rPr>
        <w:t>%), had ever been hospitalized (</w:t>
      </w:r>
      <w:r w:rsidR="000822B0">
        <w:rPr>
          <w:sz w:val="24"/>
          <w:szCs w:val="24"/>
        </w:rPr>
        <w:t>15.2</w:t>
      </w:r>
      <w:r w:rsidR="00EA439A">
        <w:rPr>
          <w:sz w:val="24"/>
          <w:szCs w:val="24"/>
        </w:rPr>
        <w:t>% vs. 5.6</w:t>
      </w:r>
      <w:r>
        <w:rPr>
          <w:sz w:val="24"/>
          <w:szCs w:val="24"/>
        </w:rPr>
        <w:t>%) or we</w:t>
      </w:r>
      <w:r w:rsidR="000822B0">
        <w:rPr>
          <w:sz w:val="24"/>
          <w:szCs w:val="24"/>
        </w:rPr>
        <w:t>re flagged as severe cases (15.4</w:t>
      </w:r>
      <w:r w:rsidR="00EA439A">
        <w:rPr>
          <w:sz w:val="24"/>
          <w:szCs w:val="24"/>
        </w:rPr>
        <w:t xml:space="preserve"> vs. 5.6</w:t>
      </w:r>
      <w:r>
        <w:rPr>
          <w:sz w:val="24"/>
          <w:szCs w:val="24"/>
        </w:rPr>
        <w:t>%) (Table 1).</w:t>
      </w:r>
    </w:p>
    <w:p w:rsidR="00AB765B" w:rsidRDefault="00AB765B">
      <w:pPr>
        <w:rPr>
          <w:sz w:val="24"/>
          <w:szCs w:val="24"/>
        </w:rPr>
      </w:pPr>
    </w:p>
    <w:p w:rsidR="00AB765B" w:rsidRDefault="00E1257F">
      <w:pPr>
        <w:pStyle w:val="Heading3"/>
        <w:rPr>
          <w:rFonts w:ascii="Calibri" w:eastAsia="Calibri" w:hAnsi="Calibri" w:cs="Calibri"/>
        </w:rPr>
      </w:pPr>
      <w:r>
        <w:rPr>
          <w:rFonts w:ascii="Calibri" w:eastAsia="Calibri" w:hAnsi="Calibri" w:cs="Calibri"/>
        </w:rPr>
        <w:t>Cases reported after May 20</w:t>
      </w:r>
      <w:r>
        <w:rPr>
          <w:rFonts w:ascii="Calibri" w:eastAsia="Calibri" w:hAnsi="Calibri" w:cs="Calibri"/>
          <w:vertAlign w:val="superscript"/>
        </w:rPr>
        <w:t>th</w:t>
      </w:r>
      <w:r>
        <w:rPr>
          <w:rFonts w:ascii="Calibri" w:eastAsia="Calibri" w:hAnsi="Calibri" w:cs="Calibri"/>
        </w:rPr>
        <w:t xml:space="preserve"> with missing data</w:t>
      </w:r>
    </w:p>
    <w:p w:rsidR="00AB765B" w:rsidRDefault="00E1257F">
      <w:pPr>
        <w:rPr>
          <w:sz w:val="24"/>
          <w:szCs w:val="24"/>
        </w:rPr>
      </w:pPr>
      <w:r>
        <w:rPr>
          <w:sz w:val="24"/>
          <w:szCs w:val="24"/>
        </w:rPr>
        <w:t xml:space="preserve">For all three socio-demographic questions of interest, the most common reason why data was not used for analysis is because it was not asked (Table 2-4). </w:t>
      </w:r>
      <w:r w:rsidR="00EA439A">
        <w:rPr>
          <w:sz w:val="24"/>
          <w:szCs w:val="24"/>
        </w:rPr>
        <w:t>This percentage ranged from 22.6</w:t>
      </w:r>
      <w:r>
        <w:rPr>
          <w:sz w:val="24"/>
          <w:szCs w:val="24"/>
        </w:rPr>
        <w:t xml:space="preserve">% for the question on household size to </w:t>
      </w:r>
      <w:r w:rsidR="00A61003">
        <w:rPr>
          <w:sz w:val="24"/>
          <w:szCs w:val="24"/>
        </w:rPr>
        <w:t>27.0</w:t>
      </w:r>
      <w:r>
        <w:rPr>
          <w:sz w:val="24"/>
          <w:szCs w:val="24"/>
        </w:rPr>
        <w:t>% for the question on household income (Table 2-4). Reasons for this include the following:</w:t>
      </w:r>
    </w:p>
    <w:p w:rsidR="00AB765B" w:rsidRDefault="00E1257F">
      <w:pPr>
        <w:numPr>
          <w:ilvl w:val="0"/>
          <w:numId w:val="7"/>
        </w:numPr>
        <w:pBdr>
          <w:top w:val="nil"/>
          <w:left w:val="nil"/>
          <w:bottom w:val="nil"/>
          <w:right w:val="nil"/>
          <w:between w:val="nil"/>
        </w:pBdr>
        <w:rPr>
          <w:color w:val="000000"/>
          <w:sz w:val="24"/>
          <w:szCs w:val="24"/>
        </w:rPr>
      </w:pPr>
      <w:r>
        <w:rPr>
          <w:color w:val="000000"/>
          <w:sz w:val="24"/>
          <w:szCs w:val="24"/>
        </w:rPr>
        <w:t>Individuals who are very ill and don't have the strength to speak for an extended period of time during daily follow up calls</w:t>
      </w:r>
    </w:p>
    <w:p w:rsidR="00AB765B" w:rsidRDefault="00E1257F">
      <w:pPr>
        <w:numPr>
          <w:ilvl w:val="0"/>
          <w:numId w:val="7"/>
        </w:numPr>
        <w:pBdr>
          <w:top w:val="nil"/>
          <w:left w:val="nil"/>
          <w:bottom w:val="nil"/>
          <w:right w:val="nil"/>
          <w:between w:val="nil"/>
        </w:pBdr>
        <w:rPr>
          <w:color w:val="000000"/>
          <w:sz w:val="24"/>
          <w:szCs w:val="24"/>
        </w:rPr>
      </w:pPr>
      <w:r>
        <w:rPr>
          <w:color w:val="000000"/>
          <w:sz w:val="24"/>
          <w:szCs w:val="24"/>
        </w:rPr>
        <w:t>Language barriers that may exist with clients</w:t>
      </w:r>
    </w:p>
    <w:p w:rsidR="00AB765B" w:rsidRDefault="00E1257F">
      <w:pPr>
        <w:numPr>
          <w:ilvl w:val="0"/>
          <w:numId w:val="7"/>
        </w:numPr>
        <w:pBdr>
          <w:top w:val="nil"/>
          <w:left w:val="nil"/>
          <w:bottom w:val="nil"/>
          <w:right w:val="nil"/>
          <w:between w:val="nil"/>
        </w:pBdr>
        <w:rPr>
          <w:color w:val="000000"/>
          <w:sz w:val="24"/>
          <w:szCs w:val="24"/>
        </w:rPr>
      </w:pPr>
      <w:r>
        <w:rPr>
          <w:color w:val="000000"/>
          <w:sz w:val="24"/>
          <w:szCs w:val="24"/>
        </w:rPr>
        <w:t>Case investigators may have difficulty establishing a relationship with some clients in order to ask these questions.</w:t>
      </w:r>
    </w:p>
    <w:p w:rsidR="00AB765B" w:rsidRDefault="00E1257F">
      <w:pPr>
        <w:numPr>
          <w:ilvl w:val="0"/>
          <w:numId w:val="7"/>
        </w:numPr>
        <w:pBdr>
          <w:top w:val="nil"/>
          <w:left w:val="nil"/>
          <w:bottom w:val="nil"/>
          <w:right w:val="nil"/>
          <w:between w:val="nil"/>
        </w:pBdr>
        <w:rPr>
          <w:color w:val="000000"/>
          <w:sz w:val="24"/>
          <w:szCs w:val="24"/>
        </w:rPr>
      </w:pPr>
      <w:r>
        <w:rPr>
          <w:color w:val="000000"/>
          <w:sz w:val="24"/>
          <w:szCs w:val="24"/>
        </w:rPr>
        <w:t>Case and contact staff may be new and may require further training in order to gain comfort with asking these questions</w:t>
      </w:r>
    </w:p>
    <w:p w:rsidR="00AB765B" w:rsidRDefault="00A61003">
      <w:pPr>
        <w:rPr>
          <w:sz w:val="24"/>
          <w:szCs w:val="24"/>
        </w:rPr>
      </w:pPr>
      <w:r>
        <w:rPr>
          <w:sz w:val="24"/>
          <w:szCs w:val="24"/>
        </w:rPr>
        <w:t xml:space="preserve"> Roughly five percent (4</w:t>
      </w:r>
      <w:r w:rsidR="00E1257F">
        <w:rPr>
          <w:sz w:val="24"/>
          <w:szCs w:val="24"/>
        </w:rPr>
        <w:t>.7%) of cases preferred not to answer the questio</w:t>
      </w:r>
      <w:r>
        <w:rPr>
          <w:sz w:val="24"/>
          <w:szCs w:val="24"/>
        </w:rPr>
        <w:t>n on household size, roughly seven</w:t>
      </w:r>
      <w:r w:rsidR="00E1257F">
        <w:rPr>
          <w:sz w:val="24"/>
          <w:szCs w:val="24"/>
        </w:rPr>
        <w:t xml:space="preserve"> percent (</w:t>
      </w:r>
      <w:r>
        <w:rPr>
          <w:sz w:val="24"/>
          <w:szCs w:val="24"/>
        </w:rPr>
        <w:t>7.1</w:t>
      </w:r>
      <w:r w:rsidR="00E1257F">
        <w:rPr>
          <w:sz w:val="24"/>
          <w:szCs w:val="24"/>
        </w:rPr>
        <w:t xml:space="preserve">%) preferred not to answer the question on ethno-racial identity and </w:t>
      </w:r>
      <w:r>
        <w:rPr>
          <w:sz w:val="24"/>
          <w:szCs w:val="24"/>
        </w:rPr>
        <w:t>19.5</w:t>
      </w:r>
      <w:r w:rsidR="00E1257F">
        <w:rPr>
          <w:sz w:val="24"/>
          <w:szCs w:val="24"/>
        </w:rPr>
        <w:t xml:space="preserve">% preferred not to answer the question on household income </w:t>
      </w:r>
      <w:r w:rsidR="001B49F2">
        <w:rPr>
          <w:sz w:val="24"/>
          <w:szCs w:val="24"/>
        </w:rPr>
        <w:t>(Table 2-4).  An additional 14.8</w:t>
      </w:r>
      <w:r w:rsidR="00E1257F">
        <w:rPr>
          <w:sz w:val="24"/>
          <w:szCs w:val="24"/>
        </w:rPr>
        <w:t>% did not know their household income (Table 2).</w:t>
      </w:r>
    </w:p>
    <w:p w:rsidR="00AB765B" w:rsidRDefault="00AB765B">
      <w:pPr>
        <w:rPr>
          <w:sz w:val="24"/>
          <w:szCs w:val="24"/>
        </w:rPr>
      </w:pPr>
    </w:p>
    <w:p w:rsidR="00461996" w:rsidRDefault="00E1257F">
      <w:pPr>
        <w:rPr>
          <w:sz w:val="24"/>
          <w:szCs w:val="24"/>
        </w:rPr>
      </w:pPr>
      <w:r>
        <w:rPr>
          <w:sz w:val="24"/>
          <w:szCs w:val="24"/>
        </w:rPr>
        <w:t xml:space="preserve"> In total </w:t>
      </w:r>
      <w:r w:rsidR="001B49F2">
        <w:rPr>
          <w:sz w:val="24"/>
          <w:szCs w:val="24"/>
        </w:rPr>
        <w:t>2,824</w:t>
      </w:r>
      <w:r>
        <w:rPr>
          <w:sz w:val="24"/>
          <w:szCs w:val="24"/>
        </w:rPr>
        <w:t xml:space="preserve"> cases had no information that could be used for the analysis on ethno-racial identity, household size and income groups. Cases were included in this sample if they had a reported or classification date on or after May 20</w:t>
      </w:r>
      <w:r>
        <w:rPr>
          <w:sz w:val="24"/>
          <w:szCs w:val="24"/>
          <w:vertAlign w:val="superscript"/>
        </w:rPr>
        <w:t>th</w:t>
      </w:r>
      <w:r>
        <w:rPr>
          <w:sz w:val="24"/>
          <w:szCs w:val="24"/>
        </w:rPr>
        <w:t xml:space="preserve">, 2020 and had not been asked any of the questions or  had responded in a way that did not render their data possible to use (i.e. "Prefer not to answer" or "Don't know"). Cases who had a disposition of "pending" and were not asked </w:t>
      </w:r>
      <w:r>
        <w:rPr>
          <w:sz w:val="24"/>
          <w:szCs w:val="24"/>
        </w:rPr>
        <w:lastRenderedPageBreak/>
        <w:t>any of the questions were excluded as investigators might have a chance to ask later on in the interview process.</w:t>
      </w:r>
    </w:p>
    <w:p w:rsidR="00AB765B" w:rsidRDefault="00E1257F">
      <w:pPr>
        <w:rPr>
          <w:color w:val="FF0000"/>
          <w:sz w:val="24"/>
          <w:szCs w:val="24"/>
        </w:rPr>
      </w:pPr>
      <w:r>
        <w:rPr>
          <w:sz w:val="24"/>
          <w:szCs w:val="24"/>
        </w:rPr>
        <w:br/>
        <w:t xml:space="preserve">Compared to the sample with data on ethno-racial identity, household size and income groups, the sample with missing information had a higher </w:t>
      </w:r>
      <w:r w:rsidR="001B49F2">
        <w:rPr>
          <w:sz w:val="24"/>
          <w:szCs w:val="24"/>
        </w:rPr>
        <w:t>proportion of cases that were male (53.3% vs. 48.2</w:t>
      </w:r>
      <w:r>
        <w:rPr>
          <w:sz w:val="24"/>
          <w:szCs w:val="24"/>
        </w:rPr>
        <w:t>%) or were classified as probable cases (</w:t>
      </w:r>
      <w:r w:rsidR="00995046">
        <w:rPr>
          <w:sz w:val="24"/>
          <w:szCs w:val="24"/>
        </w:rPr>
        <w:t>10.7% vs. 7.0</w:t>
      </w:r>
      <w:r>
        <w:rPr>
          <w:sz w:val="24"/>
          <w:szCs w:val="24"/>
        </w:rPr>
        <w:t>%) (Table 1). In addition, a higher proporti</w:t>
      </w:r>
      <w:bookmarkStart w:id="1" w:name="_GoBack"/>
      <w:bookmarkEnd w:id="1"/>
      <w:r>
        <w:rPr>
          <w:sz w:val="24"/>
          <w:szCs w:val="24"/>
        </w:rPr>
        <w:t>on of this sample had unknown or missing exposure (</w:t>
      </w:r>
      <w:r w:rsidR="00995046">
        <w:rPr>
          <w:sz w:val="24"/>
          <w:szCs w:val="24"/>
        </w:rPr>
        <w:t>19.4% vs. 1.4%), were ever hospitalized (8.5% vs. 5.6</w:t>
      </w:r>
      <w:r>
        <w:rPr>
          <w:sz w:val="24"/>
          <w:szCs w:val="24"/>
        </w:rPr>
        <w:t>%) or flagged as a severe case (</w:t>
      </w:r>
      <w:r w:rsidR="00995046">
        <w:rPr>
          <w:sz w:val="24"/>
          <w:szCs w:val="24"/>
        </w:rPr>
        <w:t>8.8% vs. 5.6</w:t>
      </w:r>
      <w:r>
        <w:rPr>
          <w:sz w:val="24"/>
          <w:szCs w:val="24"/>
        </w:rPr>
        <w:t xml:space="preserve">%) (Table 1). </w:t>
      </w:r>
      <w:r w:rsidR="00DA0781" w:rsidRPr="00F31837">
        <w:rPr>
          <w:sz w:val="24"/>
          <w:szCs w:val="24"/>
        </w:rPr>
        <w:t>The sample with missing information also had a slightly higher proportion of cases from the Old Toro</w:t>
      </w:r>
      <w:r w:rsidR="00420056">
        <w:rPr>
          <w:sz w:val="24"/>
          <w:szCs w:val="24"/>
        </w:rPr>
        <w:t>nto Community Council area (22.7% vs. 18.6</w:t>
      </w:r>
      <w:r w:rsidR="00DA0781" w:rsidRPr="00F31837">
        <w:rPr>
          <w:sz w:val="24"/>
          <w:szCs w:val="24"/>
        </w:rPr>
        <w:t>%), and a slightly lower proportion of cases from Scarborough (</w:t>
      </w:r>
      <w:r w:rsidR="00420056">
        <w:rPr>
          <w:sz w:val="24"/>
          <w:szCs w:val="24"/>
        </w:rPr>
        <w:t>16.1</w:t>
      </w:r>
      <w:r w:rsidR="00DA0781" w:rsidRPr="00F31837">
        <w:rPr>
          <w:sz w:val="24"/>
          <w:szCs w:val="24"/>
        </w:rPr>
        <w:t xml:space="preserve">% </w:t>
      </w:r>
      <w:r w:rsidR="00907ADE" w:rsidRPr="00F31837">
        <w:rPr>
          <w:sz w:val="24"/>
          <w:szCs w:val="24"/>
        </w:rPr>
        <w:t>vs.</w:t>
      </w:r>
      <w:r w:rsidR="00420056">
        <w:rPr>
          <w:sz w:val="24"/>
          <w:szCs w:val="24"/>
        </w:rPr>
        <w:t xml:space="preserve"> 19.6</w:t>
      </w:r>
      <w:r w:rsidR="00DA0781" w:rsidRPr="00F31837">
        <w:rPr>
          <w:sz w:val="24"/>
          <w:szCs w:val="24"/>
        </w:rPr>
        <w:t xml:space="preserve">%) and </w:t>
      </w:r>
      <w:r w:rsidR="00420056">
        <w:rPr>
          <w:sz w:val="24"/>
          <w:szCs w:val="24"/>
        </w:rPr>
        <w:t>Etobicoke (17.9% vs. 20.2</w:t>
      </w:r>
      <w:r w:rsidR="00907ADE" w:rsidRPr="00F31837">
        <w:rPr>
          <w:sz w:val="24"/>
          <w:szCs w:val="24"/>
        </w:rPr>
        <w:t>%).</w:t>
      </w:r>
    </w:p>
    <w:p w:rsidR="00EF2AE1" w:rsidRDefault="00EF2AE1">
      <w:pPr>
        <w:rPr>
          <w:color w:val="FF0000"/>
          <w:sz w:val="24"/>
          <w:szCs w:val="24"/>
        </w:rPr>
      </w:pPr>
    </w:p>
    <w:p w:rsidR="00EF2AE1" w:rsidRDefault="00EF2AE1">
      <w:pPr>
        <w:rPr>
          <w:sz w:val="24"/>
          <w:szCs w:val="24"/>
        </w:rPr>
      </w:pPr>
      <w:r w:rsidRPr="00EF2AE1">
        <w:rPr>
          <w:sz w:val="24"/>
          <w:szCs w:val="24"/>
        </w:rPr>
        <w:t>Due to a rapid increase in case volume towards the end of September, Toronto Public Health temporarily paused the collection of these data from October 1 to October 8. Although data collection resumed on October 9, the percent of cases with an episode date in late September who do not have valid socio-demographic data is higher than the percent overall.</w:t>
      </w:r>
    </w:p>
    <w:p w:rsidR="00AB765B" w:rsidRDefault="00AB765B"/>
    <w:p w:rsidR="00AB765B" w:rsidRDefault="00E1257F">
      <w:pPr>
        <w:pStyle w:val="Heading3"/>
        <w:rPr>
          <w:rFonts w:ascii="Calibri" w:eastAsia="Calibri" w:hAnsi="Calibri" w:cs="Calibri"/>
        </w:rPr>
      </w:pPr>
      <w:r>
        <w:rPr>
          <w:rFonts w:ascii="Calibri" w:eastAsia="Calibri" w:hAnsi="Calibri" w:cs="Calibri"/>
        </w:rPr>
        <w:t xml:space="preserve">Table 1. Characteristics of people with reported COVID-19 with valid socio-demographic data (SDD sample), cases before May 20 without socio-demographic data (Historical sample) and cases after May 20 missing socio-demographic data (Missing sample) </w:t>
      </w:r>
    </w:p>
    <w:tbl>
      <w:tblPr>
        <w:tblStyle w:val="a3"/>
        <w:tblW w:w="10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4"/>
        <w:gridCol w:w="1991"/>
        <w:gridCol w:w="1970"/>
        <w:gridCol w:w="1930"/>
        <w:gridCol w:w="1832"/>
      </w:tblGrid>
      <w:tr w:rsidR="00AB765B">
        <w:tc>
          <w:tcPr>
            <w:tcW w:w="2334" w:type="dxa"/>
          </w:tcPr>
          <w:p w:rsidR="00AB765B" w:rsidRDefault="00E1257F">
            <w:pPr>
              <w:jc w:val="both"/>
              <w:rPr>
                <w:b/>
                <w:sz w:val="24"/>
                <w:szCs w:val="24"/>
              </w:rPr>
            </w:pPr>
            <w:bookmarkStart w:id="2" w:name="OLE_LINK3"/>
            <w:bookmarkStart w:id="3" w:name="OLE_LINK4"/>
            <w:r>
              <w:rPr>
                <w:b/>
                <w:sz w:val="24"/>
                <w:szCs w:val="24"/>
              </w:rPr>
              <w:t>Variable</w:t>
            </w:r>
          </w:p>
        </w:tc>
        <w:tc>
          <w:tcPr>
            <w:tcW w:w="1991" w:type="dxa"/>
          </w:tcPr>
          <w:p w:rsidR="00AB765B" w:rsidRDefault="00E1257F">
            <w:pPr>
              <w:jc w:val="both"/>
              <w:rPr>
                <w:b/>
                <w:sz w:val="24"/>
                <w:szCs w:val="24"/>
              </w:rPr>
            </w:pPr>
            <w:r>
              <w:rPr>
                <w:b/>
                <w:sz w:val="24"/>
                <w:szCs w:val="24"/>
              </w:rPr>
              <w:t>Value</w:t>
            </w:r>
          </w:p>
        </w:tc>
        <w:tc>
          <w:tcPr>
            <w:tcW w:w="1970" w:type="dxa"/>
          </w:tcPr>
          <w:p w:rsidR="00AB765B" w:rsidRDefault="00E1257F">
            <w:pPr>
              <w:jc w:val="both"/>
              <w:rPr>
                <w:b/>
                <w:sz w:val="24"/>
                <w:szCs w:val="24"/>
              </w:rPr>
            </w:pPr>
            <w:r>
              <w:rPr>
                <w:b/>
                <w:sz w:val="24"/>
                <w:szCs w:val="24"/>
              </w:rPr>
              <w:t xml:space="preserve">SDD sample </w:t>
            </w:r>
          </w:p>
          <w:p w:rsidR="00AB765B" w:rsidRDefault="00E1257F">
            <w:pPr>
              <w:jc w:val="center"/>
              <w:rPr>
                <w:b/>
                <w:sz w:val="24"/>
                <w:szCs w:val="24"/>
              </w:rPr>
            </w:pPr>
            <w:r>
              <w:rPr>
                <w:b/>
                <w:sz w:val="24"/>
                <w:szCs w:val="24"/>
              </w:rPr>
              <w:t>N (%)</w:t>
            </w:r>
          </w:p>
        </w:tc>
        <w:tc>
          <w:tcPr>
            <w:tcW w:w="1930" w:type="dxa"/>
          </w:tcPr>
          <w:p w:rsidR="00AB765B" w:rsidRDefault="00E1257F">
            <w:pPr>
              <w:jc w:val="both"/>
              <w:rPr>
                <w:b/>
                <w:sz w:val="24"/>
                <w:szCs w:val="24"/>
              </w:rPr>
            </w:pPr>
            <w:r>
              <w:rPr>
                <w:b/>
                <w:sz w:val="24"/>
                <w:szCs w:val="24"/>
              </w:rPr>
              <w:t>Historical sample</w:t>
            </w:r>
          </w:p>
          <w:p w:rsidR="00AB765B" w:rsidRDefault="00E1257F">
            <w:pPr>
              <w:jc w:val="center"/>
              <w:rPr>
                <w:b/>
                <w:sz w:val="24"/>
                <w:szCs w:val="24"/>
              </w:rPr>
            </w:pPr>
            <w:r>
              <w:rPr>
                <w:b/>
                <w:sz w:val="24"/>
                <w:szCs w:val="24"/>
              </w:rPr>
              <w:t>N (%)</w:t>
            </w:r>
          </w:p>
        </w:tc>
        <w:tc>
          <w:tcPr>
            <w:tcW w:w="1832" w:type="dxa"/>
          </w:tcPr>
          <w:p w:rsidR="00AB765B" w:rsidRDefault="00E1257F">
            <w:pPr>
              <w:rPr>
                <w:b/>
                <w:sz w:val="24"/>
                <w:szCs w:val="24"/>
              </w:rPr>
            </w:pPr>
            <w:r>
              <w:rPr>
                <w:b/>
                <w:sz w:val="24"/>
                <w:szCs w:val="24"/>
              </w:rPr>
              <w:t>Missing Sample</w:t>
            </w:r>
          </w:p>
          <w:p w:rsidR="00AB765B" w:rsidRDefault="00E1257F">
            <w:pPr>
              <w:jc w:val="center"/>
              <w:rPr>
                <w:b/>
                <w:sz w:val="24"/>
                <w:szCs w:val="24"/>
              </w:rPr>
            </w:pPr>
            <w:r>
              <w:rPr>
                <w:b/>
                <w:sz w:val="24"/>
                <w:szCs w:val="24"/>
              </w:rPr>
              <w:t>N (%)</w:t>
            </w:r>
          </w:p>
        </w:tc>
      </w:tr>
      <w:tr w:rsidR="00AB765B">
        <w:tc>
          <w:tcPr>
            <w:tcW w:w="2334" w:type="dxa"/>
          </w:tcPr>
          <w:p w:rsidR="00AB765B" w:rsidRDefault="00E1257F">
            <w:pPr>
              <w:rPr>
                <w:sz w:val="24"/>
                <w:szCs w:val="24"/>
              </w:rPr>
            </w:pPr>
            <w:r>
              <w:rPr>
                <w:sz w:val="24"/>
                <w:szCs w:val="24"/>
              </w:rPr>
              <w:t>Sex</w:t>
            </w:r>
          </w:p>
        </w:tc>
        <w:tc>
          <w:tcPr>
            <w:tcW w:w="1991" w:type="dxa"/>
          </w:tcPr>
          <w:p w:rsidR="00AB765B" w:rsidRDefault="00E1257F">
            <w:pPr>
              <w:rPr>
                <w:sz w:val="24"/>
                <w:szCs w:val="24"/>
              </w:rPr>
            </w:pPr>
            <w:r>
              <w:rPr>
                <w:sz w:val="24"/>
                <w:szCs w:val="24"/>
              </w:rPr>
              <w:t>Male</w:t>
            </w:r>
          </w:p>
        </w:tc>
        <w:tc>
          <w:tcPr>
            <w:tcW w:w="1970" w:type="dxa"/>
          </w:tcPr>
          <w:p w:rsidR="00AB765B" w:rsidRDefault="00AF195B" w:rsidP="00243993">
            <w:pPr>
              <w:jc w:val="right"/>
              <w:rPr>
                <w:sz w:val="24"/>
                <w:szCs w:val="24"/>
              </w:rPr>
            </w:pPr>
            <w:r>
              <w:rPr>
                <w:sz w:val="24"/>
                <w:szCs w:val="24"/>
              </w:rPr>
              <w:t xml:space="preserve">3929 </w:t>
            </w:r>
            <w:r w:rsidRPr="00AF195B">
              <w:rPr>
                <w:sz w:val="24"/>
                <w:szCs w:val="24"/>
              </w:rPr>
              <w:t>(48.2)</w:t>
            </w:r>
          </w:p>
        </w:tc>
        <w:tc>
          <w:tcPr>
            <w:tcW w:w="1930" w:type="dxa"/>
          </w:tcPr>
          <w:p w:rsidR="00AB765B" w:rsidRDefault="001B032B" w:rsidP="00AA031A">
            <w:pPr>
              <w:jc w:val="right"/>
              <w:rPr>
                <w:sz w:val="24"/>
                <w:szCs w:val="24"/>
              </w:rPr>
            </w:pPr>
            <w:r>
              <w:rPr>
                <w:sz w:val="24"/>
                <w:szCs w:val="24"/>
              </w:rPr>
              <w:t>2697</w:t>
            </w:r>
            <w:r w:rsidR="0048446B">
              <w:rPr>
                <w:sz w:val="24"/>
                <w:szCs w:val="24"/>
              </w:rPr>
              <w:t xml:space="preserve"> </w:t>
            </w:r>
            <w:r w:rsidR="00D65936" w:rsidRPr="00D65936">
              <w:rPr>
                <w:sz w:val="24"/>
                <w:szCs w:val="24"/>
              </w:rPr>
              <w:t>(47.4)</w:t>
            </w:r>
          </w:p>
        </w:tc>
        <w:tc>
          <w:tcPr>
            <w:tcW w:w="1832" w:type="dxa"/>
          </w:tcPr>
          <w:p w:rsidR="00AB765B" w:rsidRDefault="00AF195B" w:rsidP="00924F7D">
            <w:pPr>
              <w:jc w:val="right"/>
              <w:rPr>
                <w:sz w:val="24"/>
                <w:szCs w:val="24"/>
              </w:rPr>
            </w:pPr>
            <w:r>
              <w:rPr>
                <w:sz w:val="24"/>
                <w:szCs w:val="24"/>
              </w:rPr>
              <w:t xml:space="preserve">1505 </w:t>
            </w:r>
            <w:r w:rsidRPr="00AF195B">
              <w:rPr>
                <w:sz w:val="24"/>
                <w:szCs w:val="24"/>
              </w:rPr>
              <w:t>(53.3)</w:t>
            </w:r>
          </w:p>
        </w:tc>
      </w:tr>
      <w:tr w:rsidR="00AB765B">
        <w:tc>
          <w:tcPr>
            <w:tcW w:w="2334" w:type="dxa"/>
          </w:tcPr>
          <w:p w:rsidR="00AB765B" w:rsidRDefault="00AB765B">
            <w:pPr>
              <w:rPr>
                <w:sz w:val="24"/>
                <w:szCs w:val="24"/>
              </w:rPr>
            </w:pPr>
          </w:p>
        </w:tc>
        <w:tc>
          <w:tcPr>
            <w:tcW w:w="1991" w:type="dxa"/>
          </w:tcPr>
          <w:p w:rsidR="00AB765B" w:rsidRDefault="00E1257F">
            <w:pPr>
              <w:rPr>
                <w:sz w:val="24"/>
                <w:szCs w:val="24"/>
              </w:rPr>
            </w:pPr>
            <w:r>
              <w:rPr>
                <w:sz w:val="24"/>
                <w:szCs w:val="24"/>
              </w:rPr>
              <w:t>Female</w:t>
            </w:r>
          </w:p>
        </w:tc>
        <w:tc>
          <w:tcPr>
            <w:tcW w:w="1970" w:type="dxa"/>
          </w:tcPr>
          <w:p w:rsidR="00AB765B" w:rsidRDefault="00AF195B" w:rsidP="00243993">
            <w:pPr>
              <w:jc w:val="right"/>
              <w:rPr>
                <w:sz w:val="24"/>
                <w:szCs w:val="24"/>
              </w:rPr>
            </w:pPr>
            <w:r w:rsidRPr="00AF195B">
              <w:rPr>
                <w:sz w:val="24"/>
                <w:szCs w:val="24"/>
              </w:rPr>
              <w:t>4171 (51.2)</w:t>
            </w:r>
          </w:p>
        </w:tc>
        <w:tc>
          <w:tcPr>
            <w:tcW w:w="1930" w:type="dxa"/>
          </w:tcPr>
          <w:p w:rsidR="00AB765B" w:rsidRDefault="00AA031A" w:rsidP="00AA031A">
            <w:pPr>
              <w:jc w:val="right"/>
              <w:rPr>
                <w:sz w:val="24"/>
                <w:szCs w:val="24"/>
              </w:rPr>
            </w:pPr>
            <w:r>
              <w:rPr>
                <w:sz w:val="24"/>
                <w:szCs w:val="24"/>
              </w:rPr>
              <w:t xml:space="preserve">      </w:t>
            </w:r>
            <w:r w:rsidR="001B032B">
              <w:rPr>
                <w:sz w:val="24"/>
                <w:szCs w:val="24"/>
              </w:rPr>
              <w:t>2915</w:t>
            </w:r>
            <w:r w:rsidR="0048446B">
              <w:rPr>
                <w:sz w:val="24"/>
                <w:szCs w:val="24"/>
              </w:rPr>
              <w:t xml:space="preserve"> </w:t>
            </w:r>
            <w:r w:rsidR="00D65936">
              <w:rPr>
                <w:sz w:val="24"/>
                <w:szCs w:val="24"/>
              </w:rPr>
              <w:t>(51.4)</w:t>
            </w:r>
            <w:r w:rsidR="00D65936" w:rsidRPr="00D65936">
              <w:rPr>
                <w:sz w:val="24"/>
                <w:szCs w:val="24"/>
              </w:rPr>
              <w:tab/>
            </w:r>
          </w:p>
        </w:tc>
        <w:tc>
          <w:tcPr>
            <w:tcW w:w="1832" w:type="dxa"/>
          </w:tcPr>
          <w:p w:rsidR="00AB765B" w:rsidRDefault="00924F7D" w:rsidP="00924F7D">
            <w:pPr>
              <w:jc w:val="right"/>
              <w:rPr>
                <w:sz w:val="24"/>
                <w:szCs w:val="24"/>
              </w:rPr>
            </w:pPr>
            <w:r>
              <w:rPr>
                <w:sz w:val="24"/>
                <w:szCs w:val="24"/>
              </w:rPr>
              <w:t>1297</w:t>
            </w:r>
            <w:r w:rsidR="00AF195B">
              <w:rPr>
                <w:sz w:val="24"/>
                <w:szCs w:val="24"/>
              </w:rPr>
              <w:t>(45.9)</w:t>
            </w:r>
          </w:p>
        </w:tc>
      </w:tr>
      <w:tr w:rsidR="00AB765B">
        <w:tc>
          <w:tcPr>
            <w:tcW w:w="2334" w:type="dxa"/>
          </w:tcPr>
          <w:p w:rsidR="00AB765B" w:rsidRDefault="00E1257F">
            <w:pPr>
              <w:rPr>
                <w:sz w:val="24"/>
                <w:szCs w:val="24"/>
              </w:rPr>
            </w:pPr>
            <w:r>
              <w:rPr>
                <w:sz w:val="24"/>
                <w:szCs w:val="24"/>
              </w:rPr>
              <w:t>Age</w:t>
            </w:r>
          </w:p>
        </w:tc>
        <w:tc>
          <w:tcPr>
            <w:tcW w:w="1991" w:type="dxa"/>
          </w:tcPr>
          <w:p w:rsidR="00AB765B" w:rsidRDefault="00E1257F">
            <w:pPr>
              <w:rPr>
                <w:sz w:val="24"/>
                <w:szCs w:val="24"/>
              </w:rPr>
            </w:pPr>
            <w:r>
              <w:rPr>
                <w:sz w:val="24"/>
                <w:szCs w:val="24"/>
              </w:rPr>
              <w:t>Average age</w:t>
            </w:r>
          </w:p>
        </w:tc>
        <w:tc>
          <w:tcPr>
            <w:tcW w:w="1970" w:type="dxa"/>
          </w:tcPr>
          <w:p w:rsidR="00AB765B" w:rsidRDefault="00FB3189" w:rsidP="00243993">
            <w:pPr>
              <w:jc w:val="right"/>
              <w:rPr>
                <w:sz w:val="24"/>
                <w:szCs w:val="24"/>
              </w:rPr>
            </w:pPr>
            <w:r>
              <w:rPr>
                <w:sz w:val="24"/>
                <w:szCs w:val="24"/>
              </w:rPr>
              <w:t>39.3</w:t>
            </w:r>
          </w:p>
        </w:tc>
        <w:tc>
          <w:tcPr>
            <w:tcW w:w="1930" w:type="dxa"/>
          </w:tcPr>
          <w:p w:rsidR="00AB765B" w:rsidRDefault="00E1257F" w:rsidP="0048446B">
            <w:pPr>
              <w:jc w:val="right"/>
              <w:rPr>
                <w:sz w:val="24"/>
                <w:szCs w:val="24"/>
              </w:rPr>
            </w:pPr>
            <w:r>
              <w:rPr>
                <w:sz w:val="24"/>
                <w:szCs w:val="24"/>
              </w:rPr>
              <w:t>45.5</w:t>
            </w:r>
          </w:p>
        </w:tc>
        <w:tc>
          <w:tcPr>
            <w:tcW w:w="1832" w:type="dxa"/>
          </w:tcPr>
          <w:p w:rsidR="00AB765B" w:rsidRDefault="00FB3189" w:rsidP="00924F7D">
            <w:pPr>
              <w:jc w:val="right"/>
              <w:rPr>
                <w:sz w:val="24"/>
                <w:szCs w:val="24"/>
              </w:rPr>
            </w:pPr>
            <w:r>
              <w:rPr>
                <w:sz w:val="24"/>
                <w:szCs w:val="24"/>
              </w:rPr>
              <w:t>40.0</w:t>
            </w:r>
          </w:p>
        </w:tc>
      </w:tr>
      <w:tr w:rsidR="00AB765B">
        <w:tc>
          <w:tcPr>
            <w:tcW w:w="2334" w:type="dxa"/>
          </w:tcPr>
          <w:p w:rsidR="00AB765B" w:rsidRDefault="00E1257F">
            <w:pPr>
              <w:rPr>
                <w:sz w:val="24"/>
                <w:szCs w:val="24"/>
              </w:rPr>
            </w:pPr>
            <w:r>
              <w:rPr>
                <w:sz w:val="24"/>
                <w:szCs w:val="24"/>
              </w:rPr>
              <w:t>Classification</w:t>
            </w:r>
          </w:p>
        </w:tc>
        <w:tc>
          <w:tcPr>
            <w:tcW w:w="1991" w:type="dxa"/>
          </w:tcPr>
          <w:p w:rsidR="00AB765B" w:rsidRDefault="00E1257F">
            <w:pPr>
              <w:rPr>
                <w:sz w:val="24"/>
                <w:szCs w:val="24"/>
              </w:rPr>
            </w:pPr>
            <w:r>
              <w:rPr>
                <w:sz w:val="24"/>
                <w:szCs w:val="24"/>
              </w:rPr>
              <w:t>Confirmed</w:t>
            </w:r>
          </w:p>
        </w:tc>
        <w:tc>
          <w:tcPr>
            <w:tcW w:w="1970" w:type="dxa"/>
          </w:tcPr>
          <w:p w:rsidR="00AB765B" w:rsidRDefault="00AF195B" w:rsidP="00243993">
            <w:pPr>
              <w:jc w:val="right"/>
              <w:rPr>
                <w:sz w:val="24"/>
                <w:szCs w:val="24"/>
              </w:rPr>
            </w:pPr>
            <w:r>
              <w:rPr>
                <w:sz w:val="24"/>
                <w:szCs w:val="24"/>
              </w:rPr>
              <w:t>7587 (93.0)</w:t>
            </w:r>
          </w:p>
        </w:tc>
        <w:tc>
          <w:tcPr>
            <w:tcW w:w="1930" w:type="dxa"/>
          </w:tcPr>
          <w:p w:rsidR="00AB765B" w:rsidRDefault="001B032B" w:rsidP="0048446B">
            <w:pPr>
              <w:jc w:val="right"/>
              <w:rPr>
                <w:sz w:val="24"/>
                <w:szCs w:val="24"/>
              </w:rPr>
            </w:pPr>
            <w:r>
              <w:rPr>
                <w:sz w:val="24"/>
                <w:szCs w:val="24"/>
              </w:rPr>
              <w:t>5110</w:t>
            </w:r>
            <w:r w:rsidR="0048446B">
              <w:rPr>
                <w:sz w:val="24"/>
                <w:szCs w:val="24"/>
              </w:rPr>
              <w:t xml:space="preserve"> </w:t>
            </w:r>
            <w:r w:rsidR="00D65936">
              <w:rPr>
                <w:sz w:val="24"/>
                <w:szCs w:val="24"/>
              </w:rPr>
              <w:t>(90.0)</w:t>
            </w:r>
          </w:p>
        </w:tc>
        <w:tc>
          <w:tcPr>
            <w:tcW w:w="1832" w:type="dxa"/>
          </w:tcPr>
          <w:p w:rsidR="00AB765B" w:rsidRDefault="00924F7D" w:rsidP="00924F7D">
            <w:pPr>
              <w:jc w:val="right"/>
              <w:rPr>
                <w:sz w:val="24"/>
                <w:szCs w:val="24"/>
              </w:rPr>
            </w:pPr>
            <w:r>
              <w:rPr>
                <w:sz w:val="24"/>
                <w:szCs w:val="24"/>
              </w:rPr>
              <w:t xml:space="preserve">2521 </w:t>
            </w:r>
            <w:r w:rsidR="00BE433B">
              <w:rPr>
                <w:sz w:val="24"/>
                <w:szCs w:val="24"/>
              </w:rPr>
              <w:t>(89.3)</w:t>
            </w:r>
          </w:p>
        </w:tc>
      </w:tr>
      <w:tr w:rsidR="00AB765B">
        <w:tc>
          <w:tcPr>
            <w:tcW w:w="2334" w:type="dxa"/>
          </w:tcPr>
          <w:p w:rsidR="00AB765B" w:rsidRDefault="00AB765B">
            <w:pPr>
              <w:rPr>
                <w:sz w:val="24"/>
                <w:szCs w:val="24"/>
              </w:rPr>
            </w:pPr>
          </w:p>
        </w:tc>
        <w:tc>
          <w:tcPr>
            <w:tcW w:w="1991" w:type="dxa"/>
          </w:tcPr>
          <w:p w:rsidR="00AB765B" w:rsidRDefault="00E1257F">
            <w:pPr>
              <w:rPr>
                <w:sz w:val="24"/>
                <w:szCs w:val="24"/>
              </w:rPr>
            </w:pPr>
            <w:r>
              <w:rPr>
                <w:sz w:val="24"/>
                <w:szCs w:val="24"/>
              </w:rPr>
              <w:t>Probable</w:t>
            </w:r>
          </w:p>
        </w:tc>
        <w:tc>
          <w:tcPr>
            <w:tcW w:w="1970" w:type="dxa"/>
          </w:tcPr>
          <w:p w:rsidR="00AB765B" w:rsidRDefault="00A013C8" w:rsidP="00243993">
            <w:pPr>
              <w:jc w:val="right"/>
              <w:rPr>
                <w:sz w:val="24"/>
                <w:szCs w:val="24"/>
              </w:rPr>
            </w:pPr>
            <w:r>
              <w:rPr>
                <w:sz w:val="24"/>
                <w:szCs w:val="24"/>
              </w:rPr>
              <w:t xml:space="preserve">567 </w:t>
            </w:r>
            <w:r w:rsidRPr="00A013C8">
              <w:rPr>
                <w:sz w:val="24"/>
                <w:szCs w:val="24"/>
              </w:rPr>
              <w:t>(7.0)</w:t>
            </w:r>
          </w:p>
        </w:tc>
        <w:tc>
          <w:tcPr>
            <w:tcW w:w="1930" w:type="dxa"/>
          </w:tcPr>
          <w:p w:rsidR="00AB765B" w:rsidRDefault="001B032B" w:rsidP="0048446B">
            <w:pPr>
              <w:jc w:val="right"/>
              <w:rPr>
                <w:sz w:val="24"/>
                <w:szCs w:val="24"/>
              </w:rPr>
            </w:pPr>
            <w:r>
              <w:rPr>
                <w:sz w:val="24"/>
                <w:szCs w:val="24"/>
              </w:rPr>
              <w:t>568</w:t>
            </w:r>
            <w:r w:rsidR="0048446B" w:rsidRPr="00943065">
              <w:rPr>
                <w:sz w:val="24"/>
                <w:szCs w:val="24"/>
              </w:rPr>
              <w:t xml:space="preserve"> </w:t>
            </w:r>
            <w:r w:rsidR="00D65936" w:rsidRPr="00943065">
              <w:rPr>
                <w:sz w:val="24"/>
                <w:szCs w:val="24"/>
              </w:rPr>
              <w:t>(10.0)</w:t>
            </w:r>
          </w:p>
        </w:tc>
        <w:tc>
          <w:tcPr>
            <w:tcW w:w="1832" w:type="dxa"/>
          </w:tcPr>
          <w:p w:rsidR="00AB765B" w:rsidRDefault="00924F7D" w:rsidP="00924F7D">
            <w:pPr>
              <w:jc w:val="right"/>
              <w:rPr>
                <w:rFonts w:ascii="Arial" w:eastAsia="Arial" w:hAnsi="Arial" w:cs="Arial"/>
                <w:color w:val="000000"/>
              </w:rPr>
            </w:pPr>
            <w:r>
              <w:rPr>
                <w:sz w:val="24"/>
                <w:szCs w:val="24"/>
              </w:rPr>
              <w:t xml:space="preserve">303 </w:t>
            </w:r>
            <w:r w:rsidR="00BE433B" w:rsidRPr="00BE433B">
              <w:rPr>
                <w:sz w:val="24"/>
                <w:szCs w:val="24"/>
              </w:rPr>
              <w:t>(10.7)</w:t>
            </w:r>
          </w:p>
        </w:tc>
      </w:tr>
      <w:tr w:rsidR="00AB765B">
        <w:tc>
          <w:tcPr>
            <w:tcW w:w="2334" w:type="dxa"/>
          </w:tcPr>
          <w:p w:rsidR="00AB765B" w:rsidRDefault="00E1257F">
            <w:pPr>
              <w:rPr>
                <w:sz w:val="24"/>
                <w:szCs w:val="24"/>
              </w:rPr>
            </w:pPr>
            <w:r>
              <w:rPr>
                <w:sz w:val="24"/>
                <w:szCs w:val="24"/>
              </w:rPr>
              <w:t>Exposure</w:t>
            </w:r>
          </w:p>
        </w:tc>
        <w:tc>
          <w:tcPr>
            <w:tcW w:w="1991" w:type="dxa"/>
          </w:tcPr>
          <w:p w:rsidR="00AB765B" w:rsidRDefault="00E1257F">
            <w:pPr>
              <w:rPr>
                <w:sz w:val="24"/>
                <w:szCs w:val="24"/>
              </w:rPr>
            </w:pPr>
            <w:r>
              <w:rPr>
                <w:color w:val="000000"/>
                <w:sz w:val="24"/>
                <w:szCs w:val="24"/>
              </w:rPr>
              <w:t>Close contact</w:t>
            </w:r>
          </w:p>
        </w:tc>
        <w:tc>
          <w:tcPr>
            <w:tcW w:w="1970" w:type="dxa"/>
          </w:tcPr>
          <w:p w:rsidR="00AB765B" w:rsidRDefault="00A013C8" w:rsidP="00243993">
            <w:pPr>
              <w:jc w:val="right"/>
              <w:rPr>
                <w:sz w:val="24"/>
                <w:szCs w:val="24"/>
              </w:rPr>
            </w:pPr>
            <w:r>
              <w:rPr>
                <w:sz w:val="24"/>
                <w:szCs w:val="24"/>
              </w:rPr>
              <w:t>4979 (61.1)</w:t>
            </w:r>
          </w:p>
        </w:tc>
        <w:tc>
          <w:tcPr>
            <w:tcW w:w="1930" w:type="dxa"/>
          </w:tcPr>
          <w:p w:rsidR="00AB765B" w:rsidRPr="00943065" w:rsidRDefault="001B032B" w:rsidP="0048446B">
            <w:pPr>
              <w:jc w:val="right"/>
              <w:rPr>
                <w:sz w:val="24"/>
                <w:szCs w:val="24"/>
              </w:rPr>
            </w:pPr>
            <w:r>
              <w:rPr>
                <w:sz w:val="24"/>
                <w:szCs w:val="24"/>
              </w:rPr>
              <w:t>3380</w:t>
            </w:r>
            <w:r w:rsidR="0048446B" w:rsidRPr="00943065">
              <w:rPr>
                <w:sz w:val="24"/>
                <w:szCs w:val="24"/>
              </w:rPr>
              <w:t xml:space="preserve"> </w:t>
            </w:r>
            <w:r w:rsidR="00D65936" w:rsidRPr="00943065">
              <w:rPr>
                <w:sz w:val="24"/>
                <w:szCs w:val="24"/>
              </w:rPr>
              <w:t>(59.5)</w:t>
            </w:r>
          </w:p>
        </w:tc>
        <w:tc>
          <w:tcPr>
            <w:tcW w:w="1832" w:type="dxa"/>
          </w:tcPr>
          <w:p w:rsidR="00AB765B" w:rsidRPr="00BE433B" w:rsidRDefault="00924F7D" w:rsidP="00924F7D">
            <w:pPr>
              <w:jc w:val="right"/>
              <w:rPr>
                <w:sz w:val="24"/>
                <w:szCs w:val="24"/>
              </w:rPr>
            </w:pPr>
            <w:r>
              <w:rPr>
                <w:sz w:val="24"/>
                <w:szCs w:val="24"/>
              </w:rPr>
              <w:t xml:space="preserve">1430 </w:t>
            </w:r>
            <w:r w:rsidR="00BE433B">
              <w:rPr>
                <w:sz w:val="24"/>
                <w:szCs w:val="24"/>
              </w:rPr>
              <w:t>(50.6)</w:t>
            </w:r>
          </w:p>
        </w:tc>
      </w:tr>
      <w:tr w:rsidR="00AB765B">
        <w:tc>
          <w:tcPr>
            <w:tcW w:w="2334" w:type="dxa"/>
          </w:tcPr>
          <w:p w:rsidR="00AB765B" w:rsidRDefault="00AB765B">
            <w:pPr>
              <w:rPr>
                <w:sz w:val="24"/>
                <w:szCs w:val="24"/>
              </w:rPr>
            </w:pPr>
          </w:p>
        </w:tc>
        <w:tc>
          <w:tcPr>
            <w:tcW w:w="1991" w:type="dxa"/>
          </w:tcPr>
          <w:p w:rsidR="00AB765B" w:rsidRDefault="00E1257F">
            <w:pPr>
              <w:rPr>
                <w:sz w:val="24"/>
                <w:szCs w:val="24"/>
              </w:rPr>
            </w:pPr>
            <w:r>
              <w:rPr>
                <w:color w:val="000000"/>
                <w:sz w:val="24"/>
                <w:szCs w:val="24"/>
              </w:rPr>
              <w:t>Community</w:t>
            </w:r>
          </w:p>
        </w:tc>
        <w:tc>
          <w:tcPr>
            <w:tcW w:w="1970" w:type="dxa"/>
          </w:tcPr>
          <w:p w:rsidR="00AB765B" w:rsidRDefault="00A013C8" w:rsidP="00243993">
            <w:pPr>
              <w:jc w:val="right"/>
              <w:rPr>
                <w:sz w:val="24"/>
                <w:szCs w:val="24"/>
              </w:rPr>
            </w:pPr>
            <w:r>
              <w:rPr>
                <w:sz w:val="24"/>
                <w:szCs w:val="24"/>
              </w:rPr>
              <w:t xml:space="preserve">1776 </w:t>
            </w:r>
            <w:r w:rsidRPr="00A013C8">
              <w:rPr>
                <w:sz w:val="24"/>
                <w:szCs w:val="24"/>
              </w:rPr>
              <w:t>(21.8)</w:t>
            </w:r>
          </w:p>
        </w:tc>
        <w:tc>
          <w:tcPr>
            <w:tcW w:w="1930" w:type="dxa"/>
          </w:tcPr>
          <w:p w:rsidR="00AB765B" w:rsidRDefault="001B032B" w:rsidP="0048446B">
            <w:pPr>
              <w:jc w:val="right"/>
              <w:rPr>
                <w:sz w:val="24"/>
                <w:szCs w:val="24"/>
              </w:rPr>
            </w:pPr>
            <w:r>
              <w:rPr>
                <w:sz w:val="24"/>
                <w:szCs w:val="24"/>
              </w:rPr>
              <w:t>843</w:t>
            </w:r>
            <w:r w:rsidR="0048446B">
              <w:rPr>
                <w:sz w:val="24"/>
                <w:szCs w:val="24"/>
              </w:rPr>
              <w:t xml:space="preserve"> </w:t>
            </w:r>
            <w:r w:rsidR="00D65936" w:rsidRPr="00D65936">
              <w:rPr>
                <w:sz w:val="24"/>
                <w:szCs w:val="24"/>
              </w:rPr>
              <w:t>(14.9)</w:t>
            </w:r>
          </w:p>
        </w:tc>
        <w:tc>
          <w:tcPr>
            <w:tcW w:w="1832" w:type="dxa"/>
          </w:tcPr>
          <w:p w:rsidR="00AB765B" w:rsidRDefault="00924F7D" w:rsidP="00924F7D">
            <w:pPr>
              <w:jc w:val="right"/>
              <w:rPr>
                <w:sz w:val="24"/>
                <w:szCs w:val="24"/>
              </w:rPr>
            </w:pPr>
            <w:r>
              <w:rPr>
                <w:sz w:val="24"/>
                <w:szCs w:val="24"/>
              </w:rPr>
              <w:t xml:space="preserve">519 </w:t>
            </w:r>
            <w:r w:rsidR="00BE433B" w:rsidRPr="00BE433B">
              <w:rPr>
                <w:sz w:val="24"/>
                <w:szCs w:val="24"/>
              </w:rPr>
              <w:t>(18.4)</w:t>
            </w:r>
          </w:p>
        </w:tc>
      </w:tr>
      <w:tr w:rsidR="00AB765B">
        <w:tc>
          <w:tcPr>
            <w:tcW w:w="2334" w:type="dxa"/>
          </w:tcPr>
          <w:p w:rsidR="00AB765B" w:rsidRDefault="00AB765B">
            <w:pPr>
              <w:rPr>
                <w:sz w:val="24"/>
                <w:szCs w:val="24"/>
              </w:rPr>
            </w:pPr>
          </w:p>
        </w:tc>
        <w:tc>
          <w:tcPr>
            <w:tcW w:w="1991" w:type="dxa"/>
          </w:tcPr>
          <w:p w:rsidR="00AB765B" w:rsidRDefault="00E1257F">
            <w:pPr>
              <w:rPr>
                <w:sz w:val="24"/>
                <w:szCs w:val="24"/>
              </w:rPr>
            </w:pPr>
            <w:r>
              <w:rPr>
                <w:color w:val="000000"/>
                <w:sz w:val="24"/>
                <w:szCs w:val="24"/>
              </w:rPr>
              <w:t>Healthcare</w:t>
            </w:r>
          </w:p>
        </w:tc>
        <w:tc>
          <w:tcPr>
            <w:tcW w:w="1970" w:type="dxa"/>
          </w:tcPr>
          <w:p w:rsidR="00AB765B" w:rsidRDefault="00A013C8" w:rsidP="00243993">
            <w:pPr>
              <w:jc w:val="right"/>
              <w:rPr>
                <w:sz w:val="24"/>
                <w:szCs w:val="24"/>
              </w:rPr>
            </w:pPr>
            <w:r>
              <w:rPr>
                <w:sz w:val="24"/>
                <w:szCs w:val="24"/>
              </w:rPr>
              <w:t xml:space="preserve">606 </w:t>
            </w:r>
            <w:r w:rsidRPr="00A013C8">
              <w:rPr>
                <w:sz w:val="24"/>
                <w:szCs w:val="24"/>
              </w:rPr>
              <w:t>(7.4)</w:t>
            </w:r>
          </w:p>
        </w:tc>
        <w:tc>
          <w:tcPr>
            <w:tcW w:w="1930" w:type="dxa"/>
          </w:tcPr>
          <w:p w:rsidR="00AB765B" w:rsidRDefault="001B032B" w:rsidP="0048446B">
            <w:pPr>
              <w:jc w:val="right"/>
              <w:rPr>
                <w:sz w:val="24"/>
                <w:szCs w:val="24"/>
              </w:rPr>
            </w:pPr>
            <w:r>
              <w:rPr>
                <w:sz w:val="24"/>
                <w:szCs w:val="24"/>
              </w:rPr>
              <w:t>535</w:t>
            </w:r>
            <w:r w:rsidR="0048446B">
              <w:rPr>
                <w:sz w:val="24"/>
                <w:szCs w:val="24"/>
              </w:rPr>
              <w:t xml:space="preserve"> </w:t>
            </w:r>
            <w:r w:rsidR="00D65936" w:rsidRPr="00D65936">
              <w:rPr>
                <w:sz w:val="24"/>
                <w:szCs w:val="24"/>
              </w:rPr>
              <w:t>(9.4)</w:t>
            </w:r>
          </w:p>
        </w:tc>
        <w:tc>
          <w:tcPr>
            <w:tcW w:w="1832" w:type="dxa"/>
          </w:tcPr>
          <w:p w:rsidR="00AB765B" w:rsidRDefault="00924F7D" w:rsidP="00924F7D">
            <w:pPr>
              <w:jc w:val="right"/>
              <w:rPr>
                <w:sz w:val="24"/>
                <w:szCs w:val="24"/>
              </w:rPr>
            </w:pPr>
            <w:r>
              <w:rPr>
                <w:sz w:val="24"/>
                <w:szCs w:val="24"/>
              </w:rPr>
              <w:t xml:space="preserve">153 </w:t>
            </w:r>
            <w:r w:rsidR="00BE433B" w:rsidRPr="00BE433B">
              <w:rPr>
                <w:sz w:val="24"/>
                <w:szCs w:val="24"/>
              </w:rPr>
              <w:t>(5.4)</w:t>
            </w:r>
          </w:p>
        </w:tc>
      </w:tr>
      <w:tr w:rsidR="00AB765B">
        <w:tc>
          <w:tcPr>
            <w:tcW w:w="2334" w:type="dxa"/>
          </w:tcPr>
          <w:p w:rsidR="00AB765B" w:rsidRDefault="00AB765B">
            <w:pPr>
              <w:rPr>
                <w:sz w:val="24"/>
                <w:szCs w:val="24"/>
              </w:rPr>
            </w:pPr>
          </w:p>
        </w:tc>
        <w:tc>
          <w:tcPr>
            <w:tcW w:w="1991" w:type="dxa"/>
          </w:tcPr>
          <w:p w:rsidR="00AB765B" w:rsidRDefault="00E1257F">
            <w:pPr>
              <w:rPr>
                <w:sz w:val="24"/>
                <w:szCs w:val="24"/>
              </w:rPr>
            </w:pPr>
            <w:r>
              <w:rPr>
                <w:color w:val="000000"/>
                <w:sz w:val="24"/>
                <w:szCs w:val="24"/>
              </w:rPr>
              <w:t>Institutional</w:t>
            </w:r>
          </w:p>
        </w:tc>
        <w:tc>
          <w:tcPr>
            <w:tcW w:w="1970" w:type="dxa"/>
          </w:tcPr>
          <w:p w:rsidR="00AB765B" w:rsidRDefault="00A013C8" w:rsidP="00243993">
            <w:pPr>
              <w:jc w:val="right"/>
              <w:rPr>
                <w:sz w:val="24"/>
                <w:szCs w:val="24"/>
              </w:rPr>
            </w:pPr>
            <w:r>
              <w:rPr>
                <w:sz w:val="24"/>
                <w:szCs w:val="24"/>
              </w:rPr>
              <w:t xml:space="preserve">241 </w:t>
            </w:r>
            <w:r w:rsidRPr="00A013C8">
              <w:rPr>
                <w:sz w:val="24"/>
                <w:szCs w:val="24"/>
              </w:rPr>
              <w:t>(3.0)</w:t>
            </w:r>
          </w:p>
        </w:tc>
        <w:tc>
          <w:tcPr>
            <w:tcW w:w="1930" w:type="dxa"/>
          </w:tcPr>
          <w:p w:rsidR="00AB765B" w:rsidRDefault="00D74EBB" w:rsidP="0048446B">
            <w:pPr>
              <w:jc w:val="right"/>
              <w:rPr>
                <w:sz w:val="24"/>
                <w:szCs w:val="24"/>
              </w:rPr>
            </w:pPr>
            <w:r>
              <w:rPr>
                <w:sz w:val="24"/>
                <w:szCs w:val="24"/>
              </w:rPr>
              <w:t>291</w:t>
            </w:r>
            <w:r w:rsidR="0048446B">
              <w:rPr>
                <w:sz w:val="24"/>
                <w:szCs w:val="24"/>
              </w:rPr>
              <w:t xml:space="preserve"> </w:t>
            </w:r>
            <w:r w:rsidR="00D65936" w:rsidRPr="00D65936">
              <w:rPr>
                <w:sz w:val="24"/>
                <w:szCs w:val="24"/>
              </w:rPr>
              <w:t>(5.1)</w:t>
            </w:r>
          </w:p>
        </w:tc>
        <w:tc>
          <w:tcPr>
            <w:tcW w:w="1832" w:type="dxa"/>
          </w:tcPr>
          <w:p w:rsidR="00AB765B" w:rsidRDefault="00924F7D" w:rsidP="00924F7D">
            <w:pPr>
              <w:jc w:val="right"/>
              <w:rPr>
                <w:sz w:val="24"/>
                <w:szCs w:val="24"/>
              </w:rPr>
            </w:pPr>
            <w:r>
              <w:rPr>
                <w:sz w:val="24"/>
                <w:szCs w:val="24"/>
              </w:rPr>
              <w:t xml:space="preserve">107 </w:t>
            </w:r>
            <w:r w:rsidR="00BE433B" w:rsidRPr="00BE433B">
              <w:rPr>
                <w:sz w:val="24"/>
                <w:szCs w:val="24"/>
              </w:rPr>
              <w:t>(3.8)</w:t>
            </w:r>
          </w:p>
        </w:tc>
      </w:tr>
      <w:tr w:rsidR="00AB765B">
        <w:tc>
          <w:tcPr>
            <w:tcW w:w="2334" w:type="dxa"/>
          </w:tcPr>
          <w:p w:rsidR="00AB765B" w:rsidRDefault="00AB765B">
            <w:pPr>
              <w:rPr>
                <w:sz w:val="24"/>
                <w:szCs w:val="24"/>
              </w:rPr>
            </w:pPr>
          </w:p>
        </w:tc>
        <w:tc>
          <w:tcPr>
            <w:tcW w:w="1991" w:type="dxa"/>
          </w:tcPr>
          <w:p w:rsidR="00AB765B" w:rsidRDefault="00E1257F">
            <w:pPr>
              <w:rPr>
                <w:sz w:val="24"/>
                <w:szCs w:val="24"/>
              </w:rPr>
            </w:pPr>
            <w:r>
              <w:rPr>
                <w:color w:val="000000"/>
                <w:sz w:val="24"/>
                <w:szCs w:val="24"/>
              </w:rPr>
              <w:t>Travel</w:t>
            </w:r>
          </w:p>
        </w:tc>
        <w:tc>
          <w:tcPr>
            <w:tcW w:w="1970" w:type="dxa"/>
          </w:tcPr>
          <w:p w:rsidR="00AB765B" w:rsidRDefault="00A013C8" w:rsidP="00243993">
            <w:pPr>
              <w:jc w:val="right"/>
              <w:rPr>
                <w:sz w:val="24"/>
                <w:szCs w:val="24"/>
              </w:rPr>
            </w:pPr>
            <w:r>
              <w:rPr>
                <w:sz w:val="24"/>
                <w:szCs w:val="24"/>
              </w:rPr>
              <w:t xml:space="preserve">437 </w:t>
            </w:r>
            <w:r w:rsidRPr="00A013C8">
              <w:rPr>
                <w:sz w:val="24"/>
                <w:szCs w:val="24"/>
              </w:rPr>
              <w:t>(5.4)</w:t>
            </w:r>
          </w:p>
        </w:tc>
        <w:tc>
          <w:tcPr>
            <w:tcW w:w="1930" w:type="dxa"/>
          </w:tcPr>
          <w:p w:rsidR="00AB765B" w:rsidRDefault="0048446B" w:rsidP="0048446B">
            <w:pPr>
              <w:jc w:val="right"/>
              <w:rPr>
                <w:sz w:val="24"/>
                <w:szCs w:val="24"/>
              </w:rPr>
            </w:pPr>
            <w:r>
              <w:rPr>
                <w:sz w:val="24"/>
                <w:szCs w:val="24"/>
              </w:rPr>
              <w:t xml:space="preserve">419 </w:t>
            </w:r>
            <w:r w:rsidR="00A116BA">
              <w:rPr>
                <w:sz w:val="24"/>
                <w:szCs w:val="24"/>
              </w:rPr>
              <w:t>(7.4</w:t>
            </w:r>
            <w:r w:rsidR="00D65936" w:rsidRPr="00D65936">
              <w:rPr>
                <w:sz w:val="24"/>
                <w:szCs w:val="24"/>
              </w:rPr>
              <w:t>)</w:t>
            </w:r>
          </w:p>
        </w:tc>
        <w:tc>
          <w:tcPr>
            <w:tcW w:w="1832" w:type="dxa"/>
          </w:tcPr>
          <w:p w:rsidR="00AB765B" w:rsidRDefault="00924F7D" w:rsidP="00924F7D">
            <w:pPr>
              <w:jc w:val="right"/>
              <w:rPr>
                <w:sz w:val="24"/>
                <w:szCs w:val="24"/>
              </w:rPr>
            </w:pPr>
            <w:r>
              <w:rPr>
                <w:sz w:val="24"/>
                <w:szCs w:val="24"/>
              </w:rPr>
              <w:t xml:space="preserve">68 </w:t>
            </w:r>
            <w:r w:rsidR="00BE433B" w:rsidRPr="00BE433B">
              <w:rPr>
                <w:sz w:val="24"/>
                <w:szCs w:val="24"/>
              </w:rPr>
              <w:t>(2.4)</w:t>
            </w:r>
          </w:p>
        </w:tc>
      </w:tr>
      <w:tr w:rsidR="00AB765B">
        <w:tc>
          <w:tcPr>
            <w:tcW w:w="2334" w:type="dxa"/>
          </w:tcPr>
          <w:p w:rsidR="00AB765B" w:rsidRDefault="00AB765B">
            <w:pPr>
              <w:rPr>
                <w:sz w:val="24"/>
                <w:szCs w:val="24"/>
              </w:rPr>
            </w:pPr>
          </w:p>
        </w:tc>
        <w:tc>
          <w:tcPr>
            <w:tcW w:w="1991" w:type="dxa"/>
          </w:tcPr>
          <w:p w:rsidR="00AB765B" w:rsidRDefault="00E1257F">
            <w:pPr>
              <w:rPr>
                <w:sz w:val="24"/>
                <w:szCs w:val="24"/>
              </w:rPr>
            </w:pPr>
            <w:r>
              <w:rPr>
                <w:color w:val="000000"/>
                <w:sz w:val="24"/>
                <w:szCs w:val="24"/>
              </w:rPr>
              <w:t>Unknown/Missing</w:t>
            </w:r>
          </w:p>
        </w:tc>
        <w:tc>
          <w:tcPr>
            <w:tcW w:w="1970" w:type="dxa"/>
          </w:tcPr>
          <w:p w:rsidR="00AB765B" w:rsidRDefault="00A013C8" w:rsidP="00243993">
            <w:pPr>
              <w:jc w:val="right"/>
              <w:rPr>
                <w:sz w:val="24"/>
                <w:szCs w:val="24"/>
              </w:rPr>
            </w:pPr>
            <w:r>
              <w:rPr>
                <w:sz w:val="24"/>
                <w:szCs w:val="24"/>
              </w:rPr>
              <w:t xml:space="preserve">115 </w:t>
            </w:r>
            <w:r w:rsidRPr="00A013C8">
              <w:rPr>
                <w:sz w:val="24"/>
                <w:szCs w:val="24"/>
              </w:rPr>
              <w:t>(1.4)</w:t>
            </w:r>
          </w:p>
        </w:tc>
        <w:tc>
          <w:tcPr>
            <w:tcW w:w="1930" w:type="dxa"/>
          </w:tcPr>
          <w:p w:rsidR="00AB765B" w:rsidRDefault="00D74EBB" w:rsidP="0048446B">
            <w:pPr>
              <w:jc w:val="right"/>
              <w:rPr>
                <w:sz w:val="24"/>
                <w:szCs w:val="24"/>
              </w:rPr>
            </w:pPr>
            <w:r>
              <w:rPr>
                <w:sz w:val="24"/>
                <w:szCs w:val="24"/>
              </w:rPr>
              <w:t>210</w:t>
            </w:r>
            <w:r w:rsidR="0048446B">
              <w:rPr>
                <w:sz w:val="24"/>
                <w:szCs w:val="24"/>
              </w:rPr>
              <w:t xml:space="preserve"> </w:t>
            </w:r>
            <w:r w:rsidR="00D65936" w:rsidRPr="00D65936">
              <w:rPr>
                <w:sz w:val="24"/>
                <w:szCs w:val="24"/>
              </w:rPr>
              <w:t>(3.7)</w:t>
            </w:r>
          </w:p>
        </w:tc>
        <w:tc>
          <w:tcPr>
            <w:tcW w:w="1832" w:type="dxa"/>
          </w:tcPr>
          <w:p w:rsidR="00AB765B" w:rsidRDefault="00924F7D" w:rsidP="00924F7D">
            <w:pPr>
              <w:jc w:val="right"/>
              <w:rPr>
                <w:sz w:val="24"/>
                <w:szCs w:val="24"/>
              </w:rPr>
            </w:pPr>
            <w:r>
              <w:rPr>
                <w:sz w:val="24"/>
                <w:szCs w:val="24"/>
              </w:rPr>
              <w:t xml:space="preserve">547 </w:t>
            </w:r>
            <w:r w:rsidR="00BE433B" w:rsidRPr="00BE433B">
              <w:rPr>
                <w:sz w:val="24"/>
                <w:szCs w:val="24"/>
              </w:rPr>
              <w:t>(19.4)</w:t>
            </w:r>
          </w:p>
        </w:tc>
      </w:tr>
      <w:tr w:rsidR="00AB765B">
        <w:tc>
          <w:tcPr>
            <w:tcW w:w="2334" w:type="dxa"/>
          </w:tcPr>
          <w:p w:rsidR="00AB765B" w:rsidRDefault="00E1257F">
            <w:pPr>
              <w:rPr>
                <w:sz w:val="24"/>
                <w:szCs w:val="24"/>
              </w:rPr>
            </w:pPr>
            <w:r>
              <w:rPr>
                <w:sz w:val="24"/>
                <w:szCs w:val="24"/>
              </w:rPr>
              <w:t>Outbreak vs. sporadic</w:t>
            </w:r>
          </w:p>
        </w:tc>
        <w:tc>
          <w:tcPr>
            <w:tcW w:w="1991" w:type="dxa"/>
          </w:tcPr>
          <w:p w:rsidR="00AB765B" w:rsidRDefault="00E1257F">
            <w:pPr>
              <w:rPr>
                <w:sz w:val="24"/>
                <w:szCs w:val="24"/>
              </w:rPr>
            </w:pPr>
            <w:r>
              <w:rPr>
                <w:sz w:val="24"/>
                <w:szCs w:val="24"/>
              </w:rPr>
              <w:t>Sporadic</w:t>
            </w:r>
          </w:p>
        </w:tc>
        <w:tc>
          <w:tcPr>
            <w:tcW w:w="1970" w:type="dxa"/>
          </w:tcPr>
          <w:p w:rsidR="00AB765B" w:rsidRDefault="00831E81" w:rsidP="00243993">
            <w:pPr>
              <w:jc w:val="right"/>
              <w:rPr>
                <w:sz w:val="24"/>
                <w:szCs w:val="24"/>
              </w:rPr>
            </w:pPr>
            <w:r>
              <w:rPr>
                <w:sz w:val="24"/>
                <w:szCs w:val="24"/>
              </w:rPr>
              <w:t>7001 (85.9)</w:t>
            </w:r>
          </w:p>
        </w:tc>
        <w:tc>
          <w:tcPr>
            <w:tcW w:w="1930" w:type="dxa"/>
          </w:tcPr>
          <w:p w:rsidR="00AB765B" w:rsidRPr="00943065" w:rsidRDefault="00D74EBB" w:rsidP="0048446B">
            <w:pPr>
              <w:jc w:val="right"/>
              <w:rPr>
                <w:sz w:val="24"/>
                <w:szCs w:val="24"/>
              </w:rPr>
            </w:pPr>
            <w:r>
              <w:rPr>
                <w:sz w:val="24"/>
                <w:szCs w:val="24"/>
              </w:rPr>
              <w:t>4040</w:t>
            </w:r>
            <w:r w:rsidR="0048446B" w:rsidRPr="00943065">
              <w:rPr>
                <w:sz w:val="24"/>
                <w:szCs w:val="24"/>
              </w:rPr>
              <w:t xml:space="preserve"> </w:t>
            </w:r>
            <w:r w:rsidR="00D65936" w:rsidRPr="00943065">
              <w:rPr>
                <w:sz w:val="24"/>
                <w:szCs w:val="24"/>
              </w:rPr>
              <w:t>(71.1)</w:t>
            </w:r>
          </w:p>
        </w:tc>
        <w:tc>
          <w:tcPr>
            <w:tcW w:w="1832" w:type="dxa"/>
          </w:tcPr>
          <w:p w:rsidR="00AB765B" w:rsidRPr="00E33085" w:rsidRDefault="00924F7D" w:rsidP="00924F7D">
            <w:pPr>
              <w:jc w:val="right"/>
              <w:rPr>
                <w:sz w:val="24"/>
                <w:szCs w:val="24"/>
              </w:rPr>
            </w:pPr>
            <w:r>
              <w:rPr>
                <w:sz w:val="24"/>
                <w:szCs w:val="24"/>
              </w:rPr>
              <w:t xml:space="preserve">2433 </w:t>
            </w:r>
            <w:r w:rsidR="00E33085">
              <w:rPr>
                <w:sz w:val="24"/>
                <w:szCs w:val="24"/>
              </w:rPr>
              <w:t>(86.2)</w:t>
            </w:r>
          </w:p>
        </w:tc>
      </w:tr>
      <w:tr w:rsidR="00AB765B">
        <w:tc>
          <w:tcPr>
            <w:tcW w:w="2334" w:type="dxa"/>
          </w:tcPr>
          <w:p w:rsidR="00AB765B" w:rsidRDefault="00AB765B">
            <w:pPr>
              <w:rPr>
                <w:sz w:val="24"/>
                <w:szCs w:val="24"/>
              </w:rPr>
            </w:pPr>
          </w:p>
        </w:tc>
        <w:tc>
          <w:tcPr>
            <w:tcW w:w="1991" w:type="dxa"/>
          </w:tcPr>
          <w:p w:rsidR="00AB765B" w:rsidRDefault="00E1257F">
            <w:pPr>
              <w:rPr>
                <w:sz w:val="24"/>
                <w:szCs w:val="24"/>
              </w:rPr>
            </w:pPr>
            <w:r>
              <w:rPr>
                <w:sz w:val="24"/>
                <w:szCs w:val="24"/>
              </w:rPr>
              <w:t>Outbreak</w:t>
            </w:r>
          </w:p>
        </w:tc>
        <w:tc>
          <w:tcPr>
            <w:tcW w:w="1970" w:type="dxa"/>
          </w:tcPr>
          <w:p w:rsidR="00AB765B" w:rsidRDefault="00831E81" w:rsidP="00243993">
            <w:pPr>
              <w:jc w:val="right"/>
              <w:rPr>
                <w:sz w:val="24"/>
                <w:szCs w:val="24"/>
              </w:rPr>
            </w:pPr>
            <w:r>
              <w:rPr>
                <w:sz w:val="24"/>
                <w:szCs w:val="24"/>
              </w:rPr>
              <w:t xml:space="preserve">1153 </w:t>
            </w:r>
            <w:r w:rsidRPr="00831E81">
              <w:rPr>
                <w:sz w:val="24"/>
                <w:szCs w:val="24"/>
              </w:rPr>
              <w:t>(14.1)</w:t>
            </w:r>
          </w:p>
        </w:tc>
        <w:tc>
          <w:tcPr>
            <w:tcW w:w="1930" w:type="dxa"/>
          </w:tcPr>
          <w:p w:rsidR="00AB765B" w:rsidRPr="00943065" w:rsidRDefault="00D74EBB" w:rsidP="0048446B">
            <w:pPr>
              <w:jc w:val="right"/>
              <w:rPr>
                <w:sz w:val="24"/>
                <w:szCs w:val="24"/>
              </w:rPr>
            </w:pPr>
            <w:r>
              <w:rPr>
                <w:sz w:val="24"/>
                <w:szCs w:val="24"/>
              </w:rPr>
              <w:t>1638</w:t>
            </w:r>
            <w:r w:rsidR="0048446B" w:rsidRPr="00943065">
              <w:rPr>
                <w:sz w:val="24"/>
                <w:szCs w:val="24"/>
              </w:rPr>
              <w:t xml:space="preserve"> </w:t>
            </w:r>
            <w:r w:rsidR="007D1830" w:rsidRPr="00943065">
              <w:rPr>
                <w:sz w:val="24"/>
                <w:szCs w:val="24"/>
              </w:rPr>
              <w:t>(28.9)</w:t>
            </w:r>
          </w:p>
        </w:tc>
        <w:tc>
          <w:tcPr>
            <w:tcW w:w="1832" w:type="dxa"/>
          </w:tcPr>
          <w:p w:rsidR="00AB765B" w:rsidRDefault="00924F7D" w:rsidP="00924F7D">
            <w:pPr>
              <w:jc w:val="right"/>
              <w:rPr>
                <w:rFonts w:ascii="Arial" w:eastAsia="Arial" w:hAnsi="Arial" w:cs="Arial"/>
                <w:color w:val="000000"/>
              </w:rPr>
            </w:pPr>
            <w:r>
              <w:rPr>
                <w:sz w:val="24"/>
                <w:szCs w:val="24"/>
              </w:rPr>
              <w:t xml:space="preserve">391 </w:t>
            </w:r>
            <w:r w:rsidR="00BE433B" w:rsidRPr="00BE433B">
              <w:rPr>
                <w:sz w:val="24"/>
                <w:szCs w:val="24"/>
              </w:rPr>
              <w:t>(13.8)</w:t>
            </w:r>
          </w:p>
        </w:tc>
      </w:tr>
      <w:tr w:rsidR="00AB765B">
        <w:tc>
          <w:tcPr>
            <w:tcW w:w="2334" w:type="dxa"/>
          </w:tcPr>
          <w:p w:rsidR="00AB765B" w:rsidRDefault="00E1257F">
            <w:pPr>
              <w:rPr>
                <w:sz w:val="24"/>
                <w:szCs w:val="24"/>
              </w:rPr>
            </w:pPr>
            <w:r>
              <w:rPr>
                <w:sz w:val="24"/>
                <w:szCs w:val="24"/>
              </w:rPr>
              <w:t>Ever Hospitalized</w:t>
            </w:r>
          </w:p>
        </w:tc>
        <w:tc>
          <w:tcPr>
            <w:tcW w:w="1991" w:type="dxa"/>
          </w:tcPr>
          <w:p w:rsidR="00AB765B" w:rsidRDefault="00E1257F">
            <w:pPr>
              <w:rPr>
                <w:sz w:val="24"/>
                <w:szCs w:val="24"/>
              </w:rPr>
            </w:pPr>
            <w:r>
              <w:rPr>
                <w:sz w:val="24"/>
                <w:szCs w:val="24"/>
              </w:rPr>
              <w:t>Yes</w:t>
            </w:r>
          </w:p>
        </w:tc>
        <w:tc>
          <w:tcPr>
            <w:tcW w:w="1970" w:type="dxa"/>
          </w:tcPr>
          <w:p w:rsidR="00AB765B" w:rsidRDefault="00831E81" w:rsidP="00243993">
            <w:pPr>
              <w:jc w:val="right"/>
              <w:rPr>
                <w:sz w:val="24"/>
                <w:szCs w:val="24"/>
              </w:rPr>
            </w:pPr>
            <w:r>
              <w:rPr>
                <w:sz w:val="24"/>
                <w:szCs w:val="24"/>
              </w:rPr>
              <w:t xml:space="preserve">456 </w:t>
            </w:r>
            <w:r w:rsidRPr="00831E81">
              <w:rPr>
                <w:sz w:val="24"/>
                <w:szCs w:val="24"/>
              </w:rPr>
              <w:t>(5.6)</w:t>
            </w:r>
          </w:p>
        </w:tc>
        <w:tc>
          <w:tcPr>
            <w:tcW w:w="1930" w:type="dxa"/>
          </w:tcPr>
          <w:p w:rsidR="00AB765B" w:rsidRDefault="0048446B" w:rsidP="0048446B">
            <w:pPr>
              <w:jc w:val="right"/>
              <w:rPr>
                <w:sz w:val="24"/>
                <w:szCs w:val="24"/>
              </w:rPr>
            </w:pPr>
            <w:r>
              <w:rPr>
                <w:sz w:val="24"/>
                <w:szCs w:val="24"/>
              </w:rPr>
              <w:t xml:space="preserve">861 </w:t>
            </w:r>
            <w:r w:rsidR="00020AC8">
              <w:rPr>
                <w:sz w:val="24"/>
                <w:szCs w:val="24"/>
              </w:rPr>
              <w:t>(15.2</w:t>
            </w:r>
            <w:r w:rsidR="007D1830" w:rsidRPr="007D1830">
              <w:rPr>
                <w:sz w:val="24"/>
                <w:szCs w:val="24"/>
              </w:rPr>
              <w:t>)</w:t>
            </w:r>
          </w:p>
        </w:tc>
        <w:tc>
          <w:tcPr>
            <w:tcW w:w="1832" w:type="dxa"/>
          </w:tcPr>
          <w:p w:rsidR="00AB765B" w:rsidRDefault="00924F7D" w:rsidP="00924F7D">
            <w:pPr>
              <w:jc w:val="right"/>
              <w:rPr>
                <w:sz w:val="24"/>
                <w:szCs w:val="24"/>
              </w:rPr>
            </w:pPr>
            <w:r>
              <w:rPr>
                <w:sz w:val="24"/>
                <w:szCs w:val="24"/>
              </w:rPr>
              <w:t xml:space="preserve">240 </w:t>
            </w:r>
            <w:r w:rsidR="00E33085" w:rsidRPr="00E33085">
              <w:rPr>
                <w:sz w:val="24"/>
                <w:szCs w:val="24"/>
              </w:rPr>
              <w:t>(8.5)</w:t>
            </w:r>
          </w:p>
        </w:tc>
      </w:tr>
      <w:tr w:rsidR="00AB765B">
        <w:tc>
          <w:tcPr>
            <w:tcW w:w="2334" w:type="dxa"/>
          </w:tcPr>
          <w:p w:rsidR="00AB765B" w:rsidRDefault="00AB765B">
            <w:pPr>
              <w:rPr>
                <w:sz w:val="24"/>
                <w:szCs w:val="24"/>
              </w:rPr>
            </w:pPr>
          </w:p>
        </w:tc>
        <w:tc>
          <w:tcPr>
            <w:tcW w:w="1991" w:type="dxa"/>
          </w:tcPr>
          <w:p w:rsidR="00AB765B" w:rsidRDefault="00E1257F">
            <w:pPr>
              <w:rPr>
                <w:sz w:val="24"/>
                <w:szCs w:val="24"/>
              </w:rPr>
            </w:pPr>
            <w:r>
              <w:rPr>
                <w:sz w:val="24"/>
                <w:szCs w:val="24"/>
              </w:rPr>
              <w:t>No</w:t>
            </w:r>
          </w:p>
        </w:tc>
        <w:tc>
          <w:tcPr>
            <w:tcW w:w="1970" w:type="dxa"/>
          </w:tcPr>
          <w:p w:rsidR="00AB765B" w:rsidRDefault="00831E81" w:rsidP="00243993">
            <w:pPr>
              <w:jc w:val="right"/>
              <w:rPr>
                <w:sz w:val="24"/>
                <w:szCs w:val="24"/>
              </w:rPr>
            </w:pPr>
            <w:r>
              <w:rPr>
                <w:sz w:val="24"/>
                <w:szCs w:val="24"/>
              </w:rPr>
              <w:t>7698 (94.4)</w:t>
            </w:r>
          </w:p>
        </w:tc>
        <w:tc>
          <w:tcPr>
            <w:tcW w:w="1930" w:type="dxa"/>
          </w:tcPr>
          <w:p w:rsidR="00AB765B" w:rsidRDefault="00D74EBB" w:rsidP="0048446B">
            <w:pPr>
              <w:jc w:val="right"/>
              <w:rPr>
                <w:sz w:val="24"/>
                <w:szCs w:val="24"/>
              </w:rPr>
            </w:pPr>
            <w:r>
              <w:rPr>
                <w:sz w:val="24"/>
                <w:szCs w:val="24"/>
              </w:rPr>
              <w:t>4817</w:t>
            </w:r>
            <w:r w:rsidR="0048446B">
              <w:rPr>
                <w:sz w:val="24"/>
                <w:szCs w:val="24"/>
              </w:rPr>
              <w:t xml:space="preserve"> </w:t>
            </w:r>
            <w:r w:rsidR="0026424F">
              <w:rPr>
                <w:sz w:val="24"/>
                <w:szCs w:val="24"/>
              </w:rPr>
              <w:t>(84.8</w:t>
            </w:r>
            <w:r w:rsidR="007D1830">
              <w:rPr>
                <w:sz w:val="24"/>
                <w:szCs w:val="24"/>
              </w:rPr>
              <w:t>)</w:t>
            </w:r>
          </w:p>
        </w:tc>
        <w:tc>
          <w:tcPr>
            <w:tcW w:w="1832" w:type="dxa"/>
          </w:tcPr>
          <w:p w:rsidR="00AB765B" w:rsidRDefault="00924F7D" w:rsidP="00924F7D">
            <w:pPr>
              <w:jc w:val="right"/>
              <w:rPr>
                <w:sz w:val="24"/>
                <w:szCs w:val="24"/>
              </w:rPr>
            </w:pPr>
            <w:r>
              <w:rPr>
                <w:sz w:val="24"/>
                <w:szCs w:val="24"/>
              </w:rPr>
              <w:t xml:space="preserve">2584 </w:t>
            </w:r>
            <w:r w:rsidR="00E33085">
              <w:rPr>
                <w:sz w:val="24"/>
                <w:szCs w:val="24"/>
              </w:rPr>
              <w:t>(91.5)</w:t>
            </w:r>
          </w:p>
        </w:tc>
      </w:tr>
      <w:tr w:rsidR="00AB765B">
        <w:tc>
          <w:tcPr>
            <w:tcW w:w="2334" w:type="dxa"/>
          </w:tcPr>
          <w:p w:rsidR="00AB765B" w:rsidRDefault="00E1257F">
            <w:pPr>
              <w:rPr>
                <w:sz w:val="24"/>
                <w:szCs w:val="24"/>
              </w:rPr>
            </w:pPr>
            <w:r>
              <w:rPr>
                <w:sz w:val="24"/>
                <w:szCs w:val="24"/>
              </w:rPr>
              <w:t>Severe case</w:t>
            </w:r>
          </w:p>
        </w:tc>
        <w:tc>
          <w:tcPr>
            <w:tcW w:w="1991" w:type="dxa"/>
          </w:tcPr>
          <w:p w:rsidR="00AB765B" w:rsidRDefault="00E1257F">
            <w:pPr>
              <w:rPr>
                <w:sz w:val="24"/>
                <w:szCs w:val="24"/>
              </w:rPr>
            </w:pPr>
            <w:r>
              <w:rPr>
                <w:sz w:val="24"/>
                <w:szCs w:val="24"/>
              </w:rPr>
              <w:t>Yes</w:t>
            </w:r>
          </w:p>
        </w:tc>
        <w:tc>
          <w:tcPr>
            <w:tcW w:w="1970" w:type="dxa"/>
          </w:tcPr>
          <w:p w:rsidR="00AB765B" w:rsidRDefault="00831E81" w:rsidP="00243993">
            <w:pPr>
              <w:jc w:val="right"/>
              <w:rPr>
                <w:sz w:val="24"/>
                <w:szCs w:val="24"/>
              </w:rPr>
            </w:pPr>
            <w:r>
              <w:rPr>
                <w:sz w:val="24"/>
                <w:szCs w:val="24"/>
              </w:rPr>
              <w:t xml:space="preserve">460 </w:t>
            </w:r>
            <w:r w:rsidRPr="00831E81">
              <w:rPr>
                <w:sz w:val="24"/>
                <w:szCs w:val="24"/>
              </w:rPr>
              <w:t>(5.6)</w:t>
            </w:r>
          </w:p>
        </w:tc>
        <w:tc>
          <w:tcPr>
            <w:tcW w:w="1930" w:type="dxa"/>
          </w:tcPr>
          <w:p w:rsidR="00AB765B" w:rsidRDefault="0048446B" w:rsidP="0048446B">
            <w:pPr>
              <w:jc w:val="right"/>
              <w:rPr>
                <w:sz w:val="24"/>
                <w:szCs w:val="24"/>
              </w:rPr>
            </w:pPr>
            <w:r>
              <w:rPr>
                <w:sz w:val="24"/>
                <w:szCs w:val="24"/>
              </w:rPr>
              <w:t xml:space="preserve">873 </w:t>
            </w:r>
            <w:r w:rsidR="0026424F">
              <w:rPr>
                <w:sz w:val="24"/>
                <w:szCs w:val="24"/>
              </w:rPr>
              <w:t>(15.4</w:t>
            </w:r>
            <w:r w:rsidR="007D1830" w:rsidRPr="007D1830">
              <w:rPr>
                <w:sz w:val="24"/>
                <w:szCs w:val="24"/>
              </w:rPr>
              <w:t>)</w:t>
            </w:r>
          </w:p>
        </w:tc>
        <w:tc>
          <w:tcPr>
            <w:tcW w:w="1832" w:type="dxa"/>
          </w:tcPr>
          <w:p w:rsidR="00AB765B" w:rsidRDefault="00924F7D" w:rsidP="00924F7D">
            <w:pPr>
              <w:jc w:val="right"/>
              <w:rPr>
                <w:sz w:val="24"/>
                <w:szCs w:val="24"/>
              </w:rPr>
            </w:pPr>
            <w:r>
              <w:rPr>
                <w:sz w:val="24"/>
                <w:szCs w:val="24"/>
              </w:rPr>
              <w:t xml:space="preserve">248 </w:t>
            </w:r>
            <w:r w:rsidR="00E33085" w:rsidRPr="00E33085">
              <w:rPr>
                <w:sz w:val="24"/>
                <w:szCs w:val="24"/>
              </w:rPr>
              <w:t>(8.8)</w:t>
            </w:r>
          </w:p>
        </w:tc>
      </w:tr>
      <w:tr w:rsidR="00AB765B">
        <w:tc>
          <w:tcPr>
            <w:tcW w:w="2334" w:type="dxa"/>
          </w:tcPr>
          <w:p w:rsidR="00AB765B" w:rsidRDefault="00AB765B">
            <w:pPr>
              <w:rPr>
                <w:sz w:val="24"/>
                <w:szCs w:val="24"/>
              </w:rPr>
            </w:pPr>
          </w:p>
        </w:tc>
        <w:tc>
          <w:tcPr>
            <w:tcW w:w="1991" w:type="dxa"/>
          </w:tcPr>
          <w:p w:rsidR="00AB765B" w:rsidRDefault="00E1257F">
            <w:pPr>
              <w:rPr>
                <w:sz w:val="24"/>
                <w:szCs w:val="24"/>
              </w:rPr>
            </w:pPr>
            <w:r>
              <w:rPr>
                <w:sz w:val="24"/>
                <w:szCs w:val="24"/>
              </w:rPr>
              <w:t>No</w:t>
            </w:r>
          </w:p>
        </w:tc>
        <w:tc>
          <w:tcPr>
            <w:tcW w:w="1970" w:type="dxa"/>
          </w:tcPr>
          <w:p w:rsidR="00AB765B" w:rsidRDefault="00831E81" w:rsidP="00243993">
            <w:pPr>
              <w:jc w:val="right"/>
              <w:rPr>
                <w:sz w:val="24"/>
                <w:szCs w:val="24"/>
              </w:rPr>
            </w:pPr>
            <w:r>
              <w:rPr>
                <w:sz w:val="24"/>
                <w:szCs w:val="24"/>
              </w:rPr>
              <w:t>7694 (94.4)</w:t>
            </w:r>
          </w:p>
        </w:tc>
        <w:tc>
          <w:tcPr>
            <w:tcW w:w="1930" w:type="dxa"/>
          </w:tcPr>
          <w:p w:rsidR="00AB765B" w:rsidRDefault="00D74EBB" w:rsidP="0048446B">
            <w:pPr>
              <w:jc w:val="right"/>
              <w:rPr>
                <w:sz w:val="24"/>
                <w:szCs w:val="24"/>
              </w:rPr>
            </w:pPr>
            <w:r>
              <w:rPr>
                <w:sz w:val="24"/>
                <w:szCs w:val="24"/>
              </w:rPr>
              <w:t>4805</w:t>
            </w:r>
            <w:r w:rsidR="0048446B">
              <w:rPr>
                <w:sz w:val="24"/>
                <w:szCs w:val="24"/>
              </w:rPr>
              <w:t xml:space="preserve"> </w:t>
            </w:r>
            <w:r w:rsidR="0026424F">
              <w:rPr>
                <w:sz w:val="24"/>
                <w:szCs w:val="24"/>
              </w:rPr>
              <w:t>(84.6</w:t>
            </w:r>
            <w:r w:rsidR="007D1830">
              <w:rPr>
                <w:sz w:val="24"/>
                <w:szCs w:val="24"/>
              </w:rPr>
              <w:t>)</w:t>
            </w:r>
          </w:p>
        </w:tc>
        <w:tc>
          <w:tcPr>
            <w:tcW w:w="1832" w:type="dxa"/>
          </w:tcPr>
          <w:p w:rsidR="00AB765B" w:rsidRDefault="00924F7D" w:rsidP="00924F7D">
            <w:pPr>
              <w:jc w:val="right"/>
              <w:rPr>
                <w:sz w:val="24"/>
                <w:szCs w:val="24"/>
              </w:rPr>
            </w:pPr>
            <w:r>
              <w:rPr>
                <w:sz w:val="24"/>
                <w:szCs w:val="24"/>
              </w:rPr>
              <w:t xml:space="preserve">2576 </w:t>
            </w:r>
            <w:r w:rsidR="00E33085">
              <w:rPr>
                <w:sz w:val="24"/>
                <w:szCs w:val="24"/>
              </w:rPr>
              <w:t>(91.2)</w:t>
            </w:r>
          </w:p>
        </w:tc>
      </w:tr>
      <w:tr w:rsidR="00AB765B">
        <w:tc>
          <w:tcPr>
            <w:tcW w:w="2334" w:type="dxa"/>
          </w:tcPr>
          <w:p w:rsidR="00AB765B" w:rsidRDefault="00E1257F">
            <w:pPr>
              <w:rPr>
                <w:sz w:val="24"/>
                <w:szCs w:val="24"/>
              </w:rPr>
            </w:pPr>
            <w:r>
              <w:rPr>
                <w:sz w:val="24"/>
                <w:szCs w:val="24"/>
              </w:rPr>
              <w:t>Outcome</w:t>
            </w:r>
          </w:p>
        </w:tc>
        <w:tc>
          <w:tcPr>
            <w:tcW w:w="1991" w:type="dxa"/>
          </w:tcPr>
          <w:p w:rsidR="00AB765B" w:rsidRDefault="00E1257F">
            <w:pPr>
              <w:rPr>
                <w:sz w:val="24"/>
                <w:szCs w:val="24"/>
              </w:rPr>
            </w:pPr>
            <w:r>
              <w:rPr>
                <w:sz w:val="24"/>
                <w:szCs w:val="24"/>
              </w:rPr>
              <w:t>Recovered</w:t>
            </w:r>
          </w:p>
        </w:tc>
        <w:tc>
          <w:tcPr>
            <w:tcW w:w="1970" w:type="dxa"/>
          </w:tcPr>
          <w:p w:rsidR="00AB765B" w:rsidRDefault="00243993" w:rsidP="00243993">
            <w:pPr>
              <w:jc w:val="right"/>
              <w:rPr>
                <w:sz w:val="24"/>
                <w:szCs w:val="24"/>
              </w:rPr>
            </w:pPr>
            <w:r>
              <w:rPr>
                <w:sz w:val="24"/>
                <w:szCs w:val="24"/>
              </w:rPr>
              <w:t xml:space="preserve">8085 </w:t>
            </w:r>
            <w:r w:rsidRPr="00243993">
              <w:rPr>
                <w:sz w:val="24"/>
                <w:szCs w:val="24"/>
              </w:rPr>
              <w:t>(99.2)</w:t>
            </w:r>
          </w:p>
        </w:tc>
        <w:tc>
          <w:tcPr>
            <w:tcW w:w="1930" w:type="dxa"/>
          </w:tcPr>
          <w:p w:rsidR="00AB765B" w:rsidRDefault="00760A06" w:rsidP="0048446B">
            <w:pPr>
              <w:jc w:val="right"/>
              <w:rPr>
                <w:sz w:val="24"/>
                <w:szCs w:val="24"/>
              </w:rPr>
            </w:pPr>
            <w:r>
              <w:rPr>
                <w:sz w:val="24"/>
                <w:szCs w:val="24"/>
              </w:rPr>
              <w:t>5472</w:t>
            </w:r>
            <w:r w:rsidR="0048446B">
              <w:rPr>
                <w:sz w:val="24"/>
                <w:szCs w:val="24"/>
              </w:rPr>
              <w:t xml:space="preserve"> </w:t>
            </w:r>
            <w:r w:rsidR="0026424F">
              <w:rPr>
                <w:sz w:val="24"/>
                <w:szCs w:val="24"/>
              </w:rPr>
              <w:t>(96.4</w:t>
            </w:r>
            <w:r w:rsidR="007D1830" w:rsidRPr="007D1830">
              <w:rPr>
                <w:sz w:val="24"/>
                <w:szCs w:val="24"/>
              </w:rPr>
              <w:t>)</w:t>
            </w:r>
          </w:p>
        </w:tc>
        <w:tc>
          <w:tcPr>
            <w:tcW w:w="1832" w:type="dxa"/>
          </w:tcPr>
          <w:p w:rsidR="00AB765B" w:rsidRDefault="00924F7D" w:rsidP="00924F7D">
            <w:pPr>
              <w:jc w:val="right"/>
              <w:rPr>
                <w:sz w:val="24"/>
                <w:szCs w:val="24"/>
              </w:rPr>
            </w:pPr>
            <w:r>
              <w:rPr>
                <w:sz w:val="24"/>
                <w:szCs w:val="24"/>
              </w:rPr>
              <w:t xml:space="preserve">2763 </w:t>
            </w:r>
            <w:r w:rsidRPr="00924F7D">
              <w:rPr>
                <w:sz w:val="24"/>
                <w:szCs w:val="24"/>
              </w:rPr>
              <w:t>(97.8)</w:t>
            </w:r>
          </w:p>
        </w:tc>
      </w:tr>
      <w:tr w:rsidR="00AB765B">
        <w:tc>
          <w:tcPr>
            <w:tcW w:w="2334" w:type="dxa"/>
          </w:tcPr>
          <w:p w:rsidR="00AB765B" w:rsidRDefault="00AB765B">
            <w:pPr>
              <w:rPr>
                <w:sz w:val="24"/>
                <w:szCs w:val="24"/>
              </w:rPr>
            </w:pPr>
          </w:p>
        </w:tc>
        <w:tc>
          <w:tcPr>
            <w:tcW w:w="1991" w:type="dxa"/>
          </w:tcPr>
          <w:p w:rsidR="00AB765B" w:rsidRDefault="00E1257F">
            <w:pPr>
              <w:rPr>
                <w:sz w:val="24"/>
                <w:szCs w:val="24"/>
              </w:rPr>
            </w:pPr>
            <w:r>
              <w:rPr>
                <w:sz w:val="24"/>
                <w:szCs w:val="24"/>
              </w:rPr>
              <w:t>Active cases</w:t>
            </w:r>
          </w:p>
        </w:tc>
        <w:tc>
          <w:tcPr>
            <w:tcW w:w="1970" w:type="dxa"/>
          </w:tcPr>
          <w:p w:rsidR="00AB765B" w:rsidRDefault="00243993" w:rsidP="00243993">
            <w:pPr>
              <w:jc w:val="right"/>
              <w:rPr>
                <w:sz w:val="24"/>
                <w:szCs w:val="24"/>
              </w:rPr>
            </w:pPr>
            <w:r>
              <w:rPr>
                <w:sz w:val="24"/>
                <w:szCs w:val="24"/>
              </w:rPr>
              <w:t xml:space="preserve">7 </w:t>
            </w:r>
            <w:r w:rsidRPr="00243993">
              <w:rPr>
                <w:sz w:val="24"/>
                <w:szCs w:val="24"/>
              </w:rPr>
              <w:t>(0.1)</w:t>
            </w:r>
          </w:p>
        </w:tc>
        <w:tc>
          <w:tcPr>
            <w:tcW w:w="1930" w:type="dxa"/>
          </w:tcPr>
          <w:p w:rsidR="00AB765B" w:rsidRDefault="007D1830" w:rsidP="0048446B">
            <w:pPr>
              <w:jc w:val="right"/>
              <w:rPr>
                <w:sz w:val="24"/>
                <w:szCs w:val="24"/>
              </w:rPr>
            </w:pPr>
            <w:r>
              <w:rPr>
                <w:sz w:val="24"/>
                <w:szCs w:val="24"/>
              </w:rPr>
              <w:t>0 (0.0</w:t>
            </w:r>
            <w:r w:rsidR="00E1257F">
              <w:rPr>
                <w:sz w:val="24"/>
                <w:szCs w:val="24"/>
              </w:rPr>
              <w:t>)</w:t>
            </w:r>
          </w:p>
        </w:tc>
        <w:tc>
          <w:tcPr>
            <w:tcW w:w="1832" w:type="dxa"/>
          </w:tcPr>
          <w:p w:rsidR="00AB765B" w:rsidRDefault="00924F7D" w:rsidP="00924F7D">
            <w:pPr>
              <w:jc w:val="right"/>
              <w:rPr>
                <w:sz w:val="24"/>
                <w:szCs w:val="24"/>
              </w:rPr>
            </w:pPr>
            <w:r>
              <w:rPr>
                <w:sz w:val="24"/>
                <w:szCs w:val="24"/>
              </w:rPr>
              <w:t xml:space="preserve">7 </w:t>
            </w:r>
            <w:r w:rsidRPr="00924F7D">
              <w:rPr>
                <w:sz w:val="24"/>
                <w:szCs w:val="24"/>
              </w:rPr>
              <w:t>(0.2)</w:t>
            </w:r>
          </w:p>
        </w:tc>
      </w:tr>
      <w:tr w:rsidR="00AB765B">
        <w:tc>
          <w:tcPr>
            <w:tcW w:w="2334" w:type="dxa"/>
          </w:tcPr>
          <w:p w:rsidR="00AB765B" w:rsidRDefault="00AB765B">
            <w:pPr>
              <w:rPr>
                <w:sz w:val="24"/>
                <w:szCs w:val="24"/>
              </w:rPr>
            </w:pPr>
          </w:p>
        </w:tc>
        <w:tc>
          <w:tcPr>
            <w:tcW w:w="1991" w:type="dxa"/>
          </w:tcPr>
          <w:p w:rsidR="00AB765B" w:rsidRDefault="00E1257F">
            <w:pPr>
              <w:rPr>
                <w:sz w:val="24"/>
                <w:szCs w:val="24"/>
              </w:rPr>
            </w:pPr>
            <w:r>
              <w:rPr>
                <w:sz w:val="24"/>
                <w:szCs w:val="24"/>
              </w:rPr>
              <w:t>Fatal</w:t>
            </w:r>
          </w:p>
        </w:tc>
        <w:tc>
          <w:tcPr>
            <w:tcW w:w="1970" w:type="dxa"/>
          </w:tcPr>
          <w:p w:rsidR="00AB765B" w:rsidRDefault="00243993" w:rsidP="00924F7D">
            <w:pPr>
              <w:jc w:val="right"/>
              <w:rPr>
                <w:sz w:val="24"/>
                <w:szCs w:val="24"/>
              </w:rPr>
            </w:pPr>
            <w:r>
              <w:rPr>
                <w:sz w:val="24"/>
                <w:szCs w:val="24"/>
              </w:rPr>
              <w:t xml:space="preserve">62 </w:t>
            </w:r>
            <w:r w:rsidR="00924F7D">
              <w:rPr>
                <w:sz w:val="24"/>
                <w:szCs w:val="24"/>
              </w:rPr>
              <w:t>(0.8)</w:t>
            </w:r>
          </w:p>
        </w:tc>
        <w:tc>
          <w:tcPr>
            <w:tcW w:w="1930" w:type="dxa"/>
          </w:tcPr>
          <w:p w:rsidR="007D1830" w:rsidRPr="007D1830" w:rsidRDefault="00760A06" w:rsidP="0048446B">
            <w:pPr>
              <w:jc w:val="right"/>
              <w:rPr>
                <w:sz w:val="24"/>
                <w:szCs w:val="24"/>
              </w:rPr>
            </w:pPr>
            <w:r>
              <w:rPr>
                <w:sz w:val="24"/>
                <w:szCs w:val="24"/>
              </w:rPr>
              <w:t>206</w:t>
            </w:r>
            <w:r w:rsidR="0048446B">
              <w:rPr>
                <w:sz w:val="24"/>
                <w:szCs w:val="24"/>
              </w:rPr>
              <w:t xml:space="preserve"> </w:t>
            </w:r>
            <w:r w:rsidR="0026424F">
              <w:rPr>
                <w:sz w:val="24"/>
                <w:szCs w:val="24"/>
              </w:rPr>
              <w:t>(3.6</w:t>
            </w:r>
            <w:r w:rsidR="007D1830" w:rsidRPr="007D1830">
              <w:rPr>
                <w:sz w:val="24"/>
                <w:szCs w:val="24"/>
              </w:rPr>
              <w:t>)</w:t>
            </w:r>
          </w:p>
          <w:p w:rsidR="00AB765B" w:rsidRDefault="007D1830" w:rsidP="0048446B">
            <w:pPr>
              <w:jc w:val="right"/>
              <w:rPr>
                <w:sz w:val="24"/>
                <w:szCs w:val="24"/>
              </w:rPr>
            </w:pPr>
            <w:r w:rsidRPr="007D1830">
              <w:rPr>
                <w:sz w:val="24"/>
                <w:szCs w:val="24"/>
              </w:rPr>
              <w:tab/>
            </w:r>
          </w:p>
        </w:tc>
        <w:tc>
          <w:tcPr>
            <w:tcW w:w="1832" w:type="dxa"/>
          </w:tcPr>
          <w:p w:rsidR="00AB765B" w:rsidRDefault="00924F7D" w:rsidP="00924F7D">
            <w:pPr>
              <w:jc w:val="right"/>
              <w:rPr>
                <w:sz w:val="24"/>
                <w:szCs w:val="24"/>
              </w:rPr>
            </w:pPr>
            <w:r>
              <w:rPr>
                <w:sz w:val="24"/>
                <w:szCs w:val="24"/>
              </w:rPr>
              <w:t>54 (1.9)</w:t>
            </w:r>
          </w:p>
        </w:tc>
      </w:tr>
      <w:tr w:rsidR="00063E09">
        <w:tc>
          <w:tcPr>
            <w:tcW w:w="2334" w:type="dxa"/>
          </w:tcPr>
          <w:p w:rsidR="00063E09" w:rsidRDefault="00063E09" w:rsidP="00063E09">
            <w:pPr>
              <w:rPr>
                <w:sz w:val="24"/>
                <w:szCs w:val="24"/>
              </w:rPr>
            </w:pPr>
            <w:r>
              <w:rPr>
                <w:sz w:val="24"/>
                <w:szCs w:val="24"/>
              </w:rPr>
              <w:t>Episode Month</w:t>
            </w:r>
          </w:p>
        </w:tc>
        <w:tc>
          <w:tcPr>
            <w:tcW w:w="1991" w:type="dxa"/>
          </w:tcPr>
          <w:p w:rsidR="00063E09" w:rsidRDefault="00063E09" w:rsidP="00063E09">
            <w:pPr>
              <w:rPr>
                <w:sz w:val="24"/>
                <w:szCs w:val="24"/>
              </w:rPr>
            </w:pPr>
            <w:r>
              <w:rPr>
                <w:sz w:val="24"/>
                <w:szCs w:val="24"/>
              </w:rPr>
              <w:t>January</w:t>
            </w:r>
          </w:p>
        </w:tc>
        <w:tc>
          <w:tcPr>
            <w:tcW w:w="1970" w:type="dxa"/>
          </w:tcPr>
          <w:p w:rsidR="00063E09" w:rsidRDefault="00063E09" w:rsidP="00063E09">
            <w:pPr>
              <w:jc w:val="right"/>
              <w:rPr>
                <w:sz w:val="24"/>
                <w:szCs w:val="24"/>
              </w:rPr>
            </w:pPr>
            <w:r>
              <w:rPr>
                <w:sz w:val="24"/>
                <w:szCs w:val="24"/>
              </w:rPr>
              <w:t>0 (0)</w:t>
            </w:r>
          </w:p>
        </w:tc>
        <w:tc>
          <w:tcPr>
            <w:tcW w:w="1930" w:type="dxa"/>
          </w:tcPr>
          <w:p w:rsidR="00063E09" w:rsidRPr="007D1830" w:rsidRDefault="00063E09" w:rsidP="0048446B">
            <w:pPr>
              <w:jc w:val="right"/>
              <w:rPr>
                <w:sz w:val="24"/>
                <w:szCs w:val="24"/>
              </w:rPr>
            </w:pPr>
            <w:r>
              <w:rPr>
                <w:sz w:val="24"/>
                <w:szCs w:val="24"/>
              </w:rPr>
              <w:t>2 (0)</w:t>
            </w:r>
          </w:p>
        </w:tc>
        <w:tc>
          <w:tcPr>
            <w:tcW w:w="1832" w:type="dxa"/>
          </w:tcPr>
          <w:p w:rsidR="00063E09" w:rsidRDefault="00063E09" w:rsidP="00063E09">
            <w:pPr>
              <w:jc w:val="right"/>
              <w:rPr>
                <w:sz w:val="24"/>
                <w:szCs w:val="24"/>
              </w:rPr>
            </w:pPr>
            <w:r>
              <w:rPr>
                <w:sz w:val="24"/>
                <w:szCs w:val="24"/>
              </w:rPr>
              <w:t>0 (0)</w:t>
            </w:r>
          </w:p>
        </w:tc>
      </w:tr>
      <w:tr w:rsidR="00063E09">
        <w:tc>
          <w:tcPr>
            <w:tcW w:w="2334" w:type="dxa"/>
          </w:tcPr>
          <w:p w:rsidR="00063E09" w:rsidRDefault="00063E09" w:rsidP="00063E09">
            <w:pPr>
              <w:rPr>
                <w:sz w:val="24"/>
                <w:szCs w:val="24"/>
              </w:rPr>
            </w:pPr>
          </w:p>
        </w:tc>
        <w:tc>
          <w:tcPr>
            <w:tcW w:w="1991" w:type="dxa"/>
          </w:tcPr>
          <w:p w:rsidR="00063E09" w:rsidRDefault="00063E09" w:rsidP="00063E09">
            <w:pPr>
              <w:rPr>
                <w:sz w:val="24"/>
                <w:szCs w:val="24"/>
              </w:rPr>
            </w:pPr>
            <w:r>
              <w:rPr>
                <w:sz w:val="24"/>
                <w:szCs w:val="24"/>
              </w:rPr>
              <w:t>February</w:t>
            </w:r>
          </w:p>
        </w:tc>
        <w:tc>
          <w:tcPr>
            <w:tcW w:w="1970" w:type="dxa"/>
          </w:tcPr>
          <w:p w:rsidR="00063E09" w:rsidRDefault="00063E09" w:rsidP="00063E09">
            <w:pPr>
              <w:jc w:val="right"/>
              <w:rPr>
                <w:sz w:val="24"/>
                <w:szCs w:val="24"/>
              </w:rPr>
            </w:pPr>
            <w:r>
              <w:rPr>
                <w:sz w:val="24"/>
                <w:szCs w:val="24"/>
              </w:rPr>
              <w:t>0 (0)</w:t>
            </w:r>
          </w:p>
        </w:tc>
        <w:tc>
          <w:tcPr>
            <w:tcW w:w="1930" w:type="dxa"/>
          </w:tcPr>
          <w:p w:rsidR="00063E09" w:rsidRPr="007D1830" w:rsidRDefault="00063E09" w:rsidP="0048446B">
            <w:pPr>
              <w:jc w:val="right"/>
              <w:rPr>
                <w:sz w:val="24"/>
                <w:szCs w:val="24"/>
              </w:rPr>
            </w:pPr>
            <w:r>
              <w:rPr>
                <w:sz w:val="24"/>
                <w:szCs w:val="24"/>
              </w:rPr>
              <w:t>13 (0.2)</w:t>
            </w:r>
          </w:p>
        </w:tc>
        <w:tc>
          <w:tcPr>
            <w:tcW w:w="1832" w:type="dxa"/>
          </w:tcPr>
          <w:p w:rsidR="00063E09" w:rsidRDefault="00063E09" w:rsidP="00063E09">
            <w:pPr>
              <w:jc w:val="right"/>
              <w:rPr>
                <w:sz w:val="24"/>
                <w:szCs w:val="24"/>
              </w:rPr>
            </w:pPr>
            <w:r>
              <w:rPr>
                <w:sz w:val="24"/>
                <w:szCs w:val="24"/>
              </w:rPr>
              <w:t>0 (0)</w:t>
            </w:r>
          </w:p>
        </w:tc>
      </w:tr>
      <w:tr w:rsidR="00924F7D">
        <w:tc>
          <w:tcPr>
            <w:tcW w:w="2334" w:type="dxa"/>
          </w:tcPr>
          <w:p w:rsidR="00924F7D" w:rsidRDefault="00924F7D">
            <w:pPr>
              <w:rPr>
                <w:sz w:val="24"/>
                <w:szCs w:val="24"/>
              </w:rPr>
            </w:pPr>
          </w:p>
        </w:tc>
        <w:tc>
          <w:tcPr>
            <w:tcW w:w="1991" w:type="dxa"/>
          </w:tcPr>
          <w:p w:rsidR="00924F7D" w:rsidRDefault="001D0890">
            <w:pPr>
              <w:rPr>
                <w:sz w:val="24"/>
                <w:szCs w:val="24"/>
              </w:rPr>
            </w:pPr>
            <w:r>
              <w:rPr>
                <w:sz w:val="24"/>
                <w:szCs w:val="24"/>
              </w:rPr>
              <w:t>March</w:t>
            </w:r>
          </w:p>
        </w:tc>
        <w:tc>
          <w:tcPr>
            <w:tcW w:w="1970" w:type="dxa"/>
          </w:tcPr>
          <w:p w:rsidR="00924F7D" w:rsidRDefault="00160B55" w:rsidP="00924F7D">
            <w:pPr>
              <w:jc w:val="right"/>
              <w:rPr>
                <w:sz w:val="24"/>
                <w:szCs w:val="24"/>
              </w:rPr>
            </w:pPr>
            <w:r>
              <w:rPr>
                <w:sz w:val="24"/>
                <w:szCs w:val="24"/>
              </w:rPr>
              <w:t>25 (0.3)</w:t>
            </w:r>
          </w:p>
        </w:tc>
        <w:tc>
          <w:tcPr>
            <w:tcW w:w="1930" w:type="dxa"/>
          </w:tcPr>
          <w:p w:rsidR="00924F7D" w:rsidRDefault="00D12FEB" w:rsidP="0048446B">
            <w:pPr>
              <w:jc w:val="right"/>
              <w:rPr>
                <w:sz w:val="24"/>
                <w:szCs w:val="24"/>
              </w:rPr>
            </w:pPr>
            <w:r>
              <w:rPr>
                <w:sz w:val="24"/>
                <w:szCs w:val="24"/>
              </w:rPr>
              <w:t>1555</w:t>
            </w:r>
            <w:r w:rsidR="0026424F">
              <w:rPr>
                <w:sz w:val="24"/>
                <w:szCs w:val="24"/>
              </w:rPr>
              <w:t xml:space="preserve"> (27.4</w:t>
            </w:r>
            <w:r w:rsidR="00063E09">
              <w:rPr>
                <w:sz w:val="24"/>
                <w:szCs w:val="24"/>
              </w:rPr>
              <w:t>)</w:t>
            </w:r>
          </w:p>
        </w:tc>
        <w:tc>
          <w:tcPr>
            <w:tcW w:w="1832" w:type="dxa"/>
          </w:tcPr>
          <w:p w:rsidR="00924F7D" w:rsidRDefault="00176FBC" w:rsidP="00924F7D">
            <w:pPr>
              <w:jc w:val="right"/>
              <w:rPr>
                <w:sz w:val="24"/>
                <w:szCs w:val="24"/>
              </w:rPr>
            </w:pPr>
            <w:r>
              <w:rPr>
                <w:sz w:val="24"/>
                <w:szCs w:val="24"/>
              </w:rPr>
              <w:t>13 (0.5)</w:t>
            </w:r>
          </w:p>
        </w:tc>
      </w:tr>
      <w:tr w:rsidR="001D0890">
        <w:tc>
          <w:tcPr>
            <w:tcW w:w="2334" w:type="dxa"/>
          </w:tcPr>
          <w:p w:rsidR="001D0890" w:rsidRDefault="001D0890">
            <w:pPr>
              <w:rPr>
                <w:sz w:val="24"/>
                <w:szCs w:val="24"/>
              </w:rPr>
            </w:pPr>
          </w:p>
        </w:tc>
        <w:tc>
          <w:tcPr>
            <w:tcW w:w="1991" w:type="dxa"/>
          </w:tcPr>
          <w:p w:rsidR="001D0890" w:rsidRDefault="001D0890">
            <w:pPr>
              <w:rPr>
                <w:sz w:val="24"/>
                <w:szCs w:val="24"/>
              </w:rPr>
            </w:pPr>
            <w:r>
              <w:rPr>
                <w:sz w:val="24"/>
                <w:szCs w:val="24"/>
              </w:rPr>
              <w:t>April</w:t>
            </w:r>
          </w:p>
        </w:tc>
        <w:tc>
          <w:tcPr>
            <w:tcW w:w="1970" w:type="dxa"/>
          </w:tcPr>
          <w:p w:rsidR="001D0890" w:rsidRDefault="00160B55" w:rsidP="00924F7D">
            <w:pPr>
              <w:jc w:val="right"/>
              <w:rPr>
                <w:sz w:val="24"/>
                <w:szCs w:val="24"/>
              </w:rPr>
            </w:pPr>
            <w:r>
              <w:rPr>
                <w:sz w:val="24"/>
                <w:szCs w:val="24"/>
              </w:rPr>
              <w:t>483 (5.9)</w:t>
            </w:r>
          </w:p>
        </w:tc>
        <w:tc>
          <w:tcPr>
            <w:tcW w:w="1930" w:type="dxa"/>
          </w:tcPr>
          <w:p w:rsidR="001D0890" w:rsidRDefault="00D12FEB" w:rsidP="0048446B">
            <w:pPr>
              <w:jc w:val="right"/>
              <w:rPr>
                <w:sz w:val="24"/>
                <w:szCs w:val="24"/>
              </w:rPr>
            </w:pPr>
            <w:r>
              <w:rPr>
                <w:sz w:val="24"/>
                <w:szCs w:val="24"/>
              </w:rPr>
              <w:t>3142</w:t>
            </w:r>
            <w:r w:rsidR="00063E09">
              <w:rPr>
                <w:sz w:val="24"/>
                <w:szCs w:val="24"/>
              </w:rPr>
              <w:t xml:space="preserve"> (55.3)</w:t>
            </w:r>
          </w:p>
        </w:tc>
        <w:tc>
          <w:tcPr>
            <w:tcW w:w="1832" w:type="dxa"/>
          </w:tcPr>
          <w:p w:rsidR="001D0890" w:rsidRDefault="00176FBC" w:rsidP="00924F7D">
            <w:pPr>
              <w:jc w:val="right"/>
              <w:rPr>
                <w:sz w:val="24"/>
                <w:szCs w:val="24"/>
              </w:rPr>
            </w:pPr>
            <w:r>
              <w:rPr>
                <w:sz w:val="24"/>
                <w:szCs w:val="24"/>
              </w:rPr>
              <w:t>239 (8.5)</w:t>
            </w:r>
          </w:p>
        </w:tc>
      </w:tr>
      <w:tr w:rsidR="001D0890">
        <w:tc>
          <w:tcPr>
            <w:tcW w:w="2334" w:type="dxa"/>
          </w:tcPr>
          <w:p w:rsidR="001D0890" w:rsidRDefault="001D0890">
            <w:pPr>
              <w:rPr>
                <w:sz w:val="24"/>
                <w:szCs w:val="24"/>
              </w:rPr>
            </w:pPr>
          </w:p>
        </w:tc>
        <w:tc>
          <w:tcPr>
            <w:tcW w:w="1991" w:type="dxa"/>
          </w:tcPr>
          <w:p w:rsidR="001D0890" w:rsidRDefault="001D0890">
            <w:pPr>
              <w:rPr>
                <w:sz w:val="24"/>
                <w:szCs w:val="24"/>
              </w:rPr>
            </w:pPr>
            <w:r>
              <w:rPr>
                <w:sz w:val="24"/>
                <w:szCs w:val="24"/>
              </w:rPr>
              <w:t>May</w:t>
            </w:r>
          </w:p>
        </w:tc>
        <w:tc>
          <w:tcPr>
            <w:tcW w:w="1970" w:type="dxa"/>
          </w:tcPr>
          <w:p w:rsidR="001D0890" w:rsidRDefault="00160B55" w:rsidP="00924F7D">
            <w:pPr>
              <w:jc w:val="right"/>
              <w:rPr>
                <w:sz w:val="24"/>
                <w:szCs w:val="24"/>
              </w:rPr>
            </w:pPr>
            <w:r>
              <w:rPr>
                <w:sz w:val="24"/>
                <w:szCs w:val="24"/>
              </w:rPr>
              <w:t>2229 (27.3)</w:t>
            </w:r>
          </w:p>
        </w:tc>
        <w:tc>
          <w:tcPr>
            <w:tcW w:w="1930" w:type="dxa"/>
          </w:tcPr>
          <w:p w:rsidR="001D0890" w:rsidRDefault="00D12FEB" w:rsidP="0048446B">
            <w:pPr>
              <w:jc w:val="right"/>
              <w:rPr>
                <w:sz w:val="24"/>
                <w:szCs w:val="24"/>
              </w:rPr>
            </w:pPr>
            <w:r>
              <w:rPr>
                <w:sz w:val="24"/>
                <w:szCs w:val="24"/>
              </w:rPr>
              <w:t>964</w:t>
            </w:r>
            <w:r w:rsidR="00CD1BE5">
              <w:rPr>
                <w:sz w:val="24"/>
                <w:szCs w:val="24"/>
              </w:rPr>
              <w:t xml:space="preserve"> (17.0</w:t>
            </w:r>
            <w:r w:rsidR="00063E09">
              <w:rPr>
                <w:sz w:val="24"/>
                <w:szCs w:val="24"/>
              </w:rPr>
              <w:t>)</w:t>
            </w:r>
          </w:p>
        </w:tc>
        <w:tc>
          <w:tcPr>
            <w:tcW w:w="1832" w:type="dxa"/>
          </w:tcPr>
          <w:p w:rsidR="001D0890" w:rsidRDefault="00176FBC" w:rsidP="00924F7D">
            <w:pPr>
              <w:jc w:val="right"/>
              <w:rPr>
                <w:sz w:val="24"/>
                <w:szCs w:val="24"/>
              </w:rPr>
            </w:pPr>
            <w:r>
              <w:rPr>
                <w:sz w:val="24"/>
                <w:szCs w:val="24"/>
              </w:rPr>
              <w:t>783 (27.7)</w:t>
            </w:r>
          </w:p>
        </w:tc>
      </w:tr>
      <w:tr w:rsidR="001D0890">
        <w:tc>
          <w:tcPr>
            <w:tcW w:w="2334" w:type="dxa"/>
          </w:tcPr>
          <w:p w:rsidR="001D0890" w:rsidRDefault="001D0890">
            <w:pPr>
              <w:rPr>
                <w:sz w:val="24"/>
                <w:szCs w:val="24"/>
              </w:rPr>
            </w:pPr>
          </w:p>
        </w:tc>
        <w:tc>
          <w:tcPr>
            <w:tcW w:w="1991" w:type="dxa"/>
          </w:tcPr>
          <w:p w:rsidR="001D0890" w:rsidRDefault="001D0890">
            <w:pPr>
              <w:rPr>
                <w:sz w:val="24"/>
                <w:szCs w:val="24"/>
              </w:rPr>
            </w:pPr>
            <w:r>
              <w:rPr>
                <w:sz w:val="24"/>
                <w:szCs w:val="24"/>
              </w:rPr>
              <w:t>June</w:t>
            </w:r>
          </w:p>
        </w:tc>
        <w:tc>
          <w:tcPr>
            <w:tcW w:w="1970" w:type="dxa"/>
          </w:tcPr>
          <w:p w:rsidR="001D0890" w:rsidRDefault="00160B55" w:rsidP="00924F7D">
            <w:pPr>
              <w:jc w:val="right"/>
              <w:rPr>
                <w:sz w:val="24"/>
                <w:szCs w:val="24"/>
              </w:rPr>
            </w:pPr>
            <w:r>
              <w:rPr>
                <w:sz w:val="24"/>
                <w:szCs w:val="24"/>
              </w:rPr>
              <w:t>1614 (19.8)</w:t>
            </w:r>
          </w:p>
        </w:tc>
        <w:tc>
          <w:tcPr>
            <w:tcW w:w="1930" w:type="dxa"/>
          </w:tcPr>
          <w:p w:rsidR="001D0890" w:rsidRDefault="00063E09" w:rsidP="0048446B">
            <w:pPr>
              <w:jc w:val="right"/>
              <w:rPr>
                <w:sz w:val="24"/>
                <w:szCs w:val="24"/>
              </w:rPr>
            </w:pPr>
            <w:r>
              <w:rPr>
                <w:sz w:val="24"/>
                <w:szCs w:val="24"/>
              </w:rPr>
              <w:t>1 (0.0)</w:t>
            </w:r>
          </w:p>
        </w:tc>
        <w:tc>
          <w:tcPr>
            <w:tcW w:w="1832" w:type="dxa"/>
          </w:tcPr>
          <w:p w:rsidR="001D0890" w:rsidRDefault="00176FBC" w:rsidP="00924F7D">
            <w:pPr>
              <w:jc w:val="right"/>
              <w:rPr>
                <w:sz w:val="24"/>
                <w:szCs w:val="24"/>
              </w:rPr>
            </w:pPr>
            <w:r>
              <w:rPr>
                <w:sz w:val="24"/>
                <w:szCs w:val="24"/>
              </w:rPr>
              <w:t>364 (12.9)</w:t>
            </w:r>
          </w:p>
        </w:tc>
      </w:tr>
      <w:tr w:rsidR="001D0890">
        <w:tc>
          <w:tcPr>
            <w:tcW w:w="2334" w:type="dxa"/>
          </w:tcPr>
          <w:p w:rsidR="001D0890" w:rsidRDefault="001D0890">
            <w:pPr>
              <w:rPr>
                <w:sz w:val="24"/>
                <w:szCs w:val="24"/>
              </w:rPr>
            </w:pPr>
          </w:p>
        </w:tc>
        <w:tc>
          <w:tcPr>
            <w:tcW w:w="1991" w:type="dxa"/>
          </w:tcPr>
          <w:p w:rsidR="001D0890" w:rsidRDefault="001D0890">
            <w:pPr>
              <w:rPr>
                <w:sz w:val="24"/>
                <w:szCs w:val="24"/>
              </w:rPr>
            </w:pPr>
            <w:r>
              <w:rPr>
                <w:sz w:val="24"/>
                <w:szCs w:val="24"/>
              </w:rPr>
              <w:t>July</w:t>
            </w:r>
          </w:p>
        </w:tc>
        <w:tc>
          <w:tcPr>
            <w:tcW w:w="1970" w:type="dxa"/>
          </w:tcPr>
          <w:p w:rsidR="001D0890" w:rsidRDefault="00160B55" w:rsidP="00924F7D">
            <w:pPr>
              <w:jc w:val="right"/>
              <w:rPr>
                <w:sz w:val="24"/>
                <w:szCs w:val="24"/>
              </w:rPr>
            </w:pPr>
            <w:r>
              <w:rPr>
                <w:sz w:val="24"/>
                <w:szCs w:val="24"/>
              </w:rPr>
              <w:t>711 (8.7)</w:t>
            </w:r>
          </w:p>
        </w:tc>
        <w:tc>
          <w:tcPr>
            <w:tcW w:w="1930" w:type="dxa"/>
          </w:tcPr>
          <w:p w:rsidR="001D0890" w:rsidRDefault="00063E09" w:rsidP="0048446B">
            <w:pPr>
              <w:jc w:val="right"/>
              <w:rPr>
                <w:sz w:val="24"/>
                <w:szCs w:val="24"/>
              </w:rPr>
            </w:pPr>
            <w:r>
              <w:rPr>
                <w:sz w:val="24"/>
                <w:szCs w:val="24"/>
              </w:rPr>
              <w:t>1 (0.0)</w:t>
            </w:r>
          </w:p>
        </w:tc>
        <w:tc>
          <w:tcPr>
            <w:tcW w:w="1832" w:type="dxa"/>
          </w:tcPr>
          <w:p w:rsidR="001D0890" w:rsidRDefault="00176FBC" w:rsidP="00924F7D">
            <w:pPr>
              <w:jc w:val="right"/>
              <w:rPr>
                <w:sz w:val="24"/>
                <w:szCs w:val="24"/>
              </w:rPr>
            </w:pPr>
            <w:r>
              <w:rPr>
                <w:sz w:val="24"/>
                <w:szCs w:val="24"/>
              </w:rPr>
              <w:t>87 (3.1)</w:t>
            </w:r>
          </w:p>
        </w:tc>
      </w:tr>
      <w:tr w:rsidR="001D0890">
        <w:tc>
          <w:tcPr>
            <w:tcW w:w="2334" w:type="dxa"/>
          </w:tcPr>
          <w:p w:rsidR="001D0890" w:rsidRDefault="001D0890">
            <w:pPr>
              <w:rPr>
                <w:sz w:val="24"/>
                <w:szCs w:val="24"/>
              </w:rPr>
            </w:pPr>
          </w:p>
        </w:tc>
        <w:tc>
          <w:tcPr>
            <w:tcW w:w="1991" w:type="dxa"/>
          </w:tcPr>
          <w:p w:rsidR="001D0890" w:rsidRDefault="001D0890">
            <w:pPr>
              <w:rPr>
                <w:sz w:val="24"/>
                <w:szCs w:val="24"/>
              </w:rPr>
            </w:pPr>
            <w:r>
              <w:rPr>
                <w:sz w:val="24"/>
                <w:szCs w:val="24"/>
              </w:rPr>
              <w:t>August</w:t>
            </w:r>
          </w:p>
        </w:tc>
        <w:tc>
          <w:tcPr>
            <w:tcW w:w="1970" w:type="dxa"/>
          </w:tcPr>
          <w:p w:rsidR="001D0890" w:rsidRDefault="00160B55" w:rsidP="00924F7D">
            <w:pPr>
              <w:jc w:val="right"/>
              <w:rPr>
                <w:sz w:val="24"/>
                <w:szCs w:val="24"/>
              </w:rPr>
            </w:pPr>
            <w:r>
              <w:rPr>
                <w:sz w:val="24"/>
                <w:szCs w:val="24"/>
              </w:rPr>
              <w:t>742 (9.1)</w:t>
            </w:r>
          </w:p>
        </w:tc>
        <w:tc>
          <w:tcPr>
            <w:tcW w:w="1930" w:type="dxa"/>
          </w:tcPr>
          <w:p w:rsidR="001D0890" w:rsidRDefault="0048446B" w:rsidP="0048446B">
            <w:pPr>
              <w:jc w:val="right"/>
              <w:rPr>
                <w:sz w:val="24"/>
                <w:szCs w:val="24"/>
              </w:rPr>
            </w:pPr>
            <w:r>
              <w:rPr>
                <w:sz w:val="24"/>
                <w:szCs w:val="24"/>
              </w:rPr>
              <w:t>0 (0)</w:t>
            </w:r>
          </w:p>
        </w:tc>
        <w:tc>
          <w:tcPr>
            <w:tcW w:w="1832" w:type="dxa"/>
          </w:tcPr>
          <w:p w:rsidR="001D0890" w:rsidRDefault="00176FBC" w:rsidP="00924F7D">
            <w:pPr>
              <w:jc w:val="right"/>
              <w:rPr>
                <w:sz w:val="24"/>
                <w:szCs w:val="24"/>
              </w:rPr>
            </w:pPr>
            <w:r>
              <w:rPr>
                <w:sz w:val="24"/>
                <w:szCs w:val="24"/>
              </w:rPr>
              <w:t>117 (4.1)</w:t>
            </w:r>
          </w:p>
        </w:tc>
      </w:tr>
      <w:tr w:rsidR="001D0890">
        <w:tc>
          <w:tcPr>
            <w:tcW w:w="2334" w:type="dxa"/>
          </w:tcPr>
          <w:p w:rsidR="001D0890" w:rsidRDefault="001D0890">
            <w:pPr>
              <w:rPr>
                <w:sz w:val="24"/>
                <w:szCs w:val="24"/>
              </w:rPr>
            </w:pPr>
          </w:p>
        </w:tc>
        <w:tc>
          <w:tcPr>
            <w:tcW w:w="1991" w:type="dxa"/>
          </w:tcPr>
          <w:p w:rsidR="001D0890" w:rsidRDefault="001D0890">
            <w:pPr>
              <w:rPr>
                <w:sz w:val="24"/>
                <w:szCs w:val="24"/>
              </w:rPr>
            </w:pPr>
            <w:r>
              <w:rPr>
                <w:sz w:val="24"/>
                <w:szCs w:val="24"/>
              </w:rPr>
              <w:t>September</w:t>
            </w:r>
          </w:p>
        </w:tc>
        <w:tc>
          <w:tcPr>
            <w:tcW w:w="1970" w:type="dxa"/>
          </w:tcPr>
          <w:p w:rsidR="001D0890" w:rsidRDefault="00160B55" w:rsidP="00251BCF">
            <w:pPr>
              <w:jc w:val="right"/>
              <w:rPr>
                <w:sz w:val="24"/>
                <w:szCs w:val="24"/>
              </w:rPr>
            </w:pPr>
            <w:r>
              <w:rPr>
                <w:sz w:val="24"/>
                <w:szCs w:val="24"/>
              </w:rPr>
              <w:t>2350 (28.8)</w:t>
            </w:r>
          </w:p>
        </w:tc>
        <w:tc>
          <w:tcPr>
            <w:tcW w:w="1930" w:type="dxa"/>
          </w:tcPr>
          <w:p w:rsidR="001D0890" w:rsidRDefault="0048446B" w:rsidP="0048446B">
            <w:pPr>
              <w:jc w:val="right"/>
              <w:rPr>
                <w:sz w:val="24"/>
                <w:szCs w:val="24"/>
              </w:rPr>
            </w:pPr>
            <w:r>
              <w:rPr>
                <w:sz w:val="24"/>
                <w:szCs w:val="24"/>
              </w:rPr>
              <w:t>0 (0)</w:t>
            </w:r>
          </w:p>
        </w:tc>
        <w:tc>
          <w:tcPr>
            <w:tcW w:w="1832" w:type="dxa"/>
          </w:tcPr>
          <w:p w:rsidR="001D0890" w:rsidRDefault="00176FBC" w:rsidP="00924F7D">
            <w:pPr>
              <w:jc w:val="right"/>
              <w:rPr>
                <w:sz w:val="24"/>
                <w:szCs w:val="24"/>
              </w:rPr>
            </w:pPr>
            <w:r>
              <w:rPr>
                <w:sz w:val="24"/>
                <w:szCs w:val="24"/>
              </w:rPr>
              <w:t>1221 (43.2)</w:t>
            </w:r>
          </w:p>
        </w:tc>
      </w:tr>
      <w:bookmarkEnd w:id="2"/>
      <w:bookmarkEnd w:id="3"/>
    </w:tbl>
    <w:p w:rsidR="00AB765B" w:rsidRDefault="00AB765B"/>
    <w:p w:rsidR="002D234B" w:rsidRDefault="002D234B"/>
    <w:p w:rsidR="002D234B" w:rsidRDefault="002D234B"/>
    <w:p w:rsidR="00AB765B" w:rsidRDefault="00E1257F">
      <w:pPr>
        <w:pStyle w:val="Heading3"/>
        <w:rPr>
          <w:rFonts w:ascii="Calibri" w:eastAsia="Calibri" w:hAnsi="Calibri" w:cs="Calibri"/>
        </w:rPr>
      </w:pPr>
      <w:r>
        <w:rPr>
          <w:rFonts w:ascii="Calibri" w:eastAsia="Calibri" w:hAnsi="Calibri" w:cs="Calibri"/>
        </w:rPr>
        <w:t xml:space="preserve">Table 2. Frequency and percent for values for race variable </w:t>
      </w:r>
    </w:p>
    <w:tbl>
      <w:tblPr>
        <w:tblStyle w:val="a4"/>
        <w:tblW w:w="6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3"/>
        <w:gridCol w:w="823"/>
        <w:gridCol w:w="1090"/>
      </w:tblGrid>
      <w:tr w:rsidR="00AB765B" w:rsidTr="002D234B">
        <w:tc>
          <w:tcPr>
            <w:tcW w:w="4443" w:type="dxa"/>
          </w:tcPr>
          <w:p w:rsidR="00AB765B" w:rsidRDefault="00E1257F">
            <w:pPr>
              <w:rPr>
                <w:b/>
                <w:sz w:val="24"/>
                <w:szCs w:val="24"/>
              </w:rPr>
            </w:pPr>
            <w:r>
              <w:rPr>
                <w:b/>
                <w:sz w:val="24"/>
                <w:szCs w:val="24"/>
              </w:rPr>
              <w:t>Value</w:t>
            </w:r>
          </w:p>
        </w:tc>
        <w:tc>
          <w:tcPr>
            <w:tcW w:w="823" w:type="dxa"/>
          </w:tcPr>
          <w:p w:rsidR="00AB765B" w:rsidRDefault="00E1257F">
            <w:pPr>
              <w:jc w:val="center"/>
              <w:rPr>
                <w:b/>
                <w:sz w:val="24"/>
                <w:szCs w:val="24"/>
              </w:rPr>
            </w:pPr>
            <w:r>
              <w:rPr>
                <w:b/>
                <w:sz w:val="24"/>
                <w:szCs w:val="24"/>
              </w:rPr>
              <w:t>N</w:t>
            </w:r>
          </w:p>
        </w:tc>
        <w:tc>
          <w:tcPr>
            <w:tcW w:w="1090" w:type="dxa"/>
          </w:tcPr>
          <w:p w:rsidR="00AB765B" w:rsidRDefault="00E1257F">
            <w:pPr>
              <w:jc w:val="center"/>
              <w:rPr>
                <w:b/>
                <w:sz w:val="24"/>
                <w:szCs w:val="24"/>
              </w:rPr>
            </w:pPr>
            <w:r>
              <w:rPr>
                <w:b/>
                <w:sz w:val="24"/>
                <w:szCs w:val="24"/>
              </w:rPr>
              <w:t>Percent</w:t>
            </w:r>
          </w:p>
        </w:tc>
      </w:tr>
      <w:tr w:rsidR="002D234B" w:rsidTr="002D234B">
        <w:tc>
          <w:tcPr>
            <w:tcW w:w="4443" w:type="dxa"/>
          </w:tcPr>
          <w:p w:rsidR="002D234B" w:rsidRDefault="002D234B" w:rsidP="002D234B">
            <w:pPr>
              <w:rPr>
                <w:sz w:val="24"/>
                <w:szCs w:val="24"/>
              </w:rPr>
            </w:pPr>
            <w:r>
              <w:rPr>
                <w:sz w:val="24"/>
                <w:szCs w:val="24"/>
              </w:rPr>
              <w:t>Arab, Middle Eastern or West Asian</w:t>
            </w:r>
          </w:p>
        </w:tc>
        <w:tc>
          <w:tcPr>
            <w:tcW w:w="823" w:type="dxa"/>
          </w:tcPr>
          <w:p w:rsidR="002D234B" w:rsidRPr="008805A7" w:rsidRDefault="002D234B" w:rsidP="008805A7">
            <w:pPr>
              <w:jc w:val="center"/>
              <w:rPr>
                <w:sz w:val="24"/>
                <w:szCs w:val="24"/>
              </w:rPr>
            </w:pPr>
            <w:r w:rsidRPr="008805A7">
              <w:rPr>
                <w:sz w:val="24"/>
                <w:szCs w:val="24"/>
              </w:rPr>
              <w:t>725</w:t>
            </w:r>
          </w:p>
        </w:tc>
        <w:tc>
          <w:tcPr>
            <w:tcW w:w="1090" w:type="dxa"/>
          </w:tcPr>
          <w:p w:rsidR="002D234B" w:rsidRDefault="00650C95" w:rsidP="008805A7">
            <w:pPr>
              <w:jc w:val="center"/>
              <w:rPr>
                <w:sz w:val="24"/>
                <w:szCs w:val="24"/>
              </w:rPr>
            </w:pPr>
            <w:r>
              <w:rPr>
                <w:sz w:val="24"/>
                <w:szCs w:val="24"/>
              </w:rPr>
              <w:t>6.6</w:t>
            </w:r>
          </w:p>
        </w:tc>
      </w:tr>
      <w:tr w:rsidR="002D234B" w:rsidTr="002D234B">
        <w:tc>
          <w:tcPr>
            <w:tcW w:w="4443" w:type="dxa"/>
          </w:tcPr>
          <w:p w:rsidR="002D234B" w:rsidRDefault="002D234B" w:rsidP="002D234B">
            <w:pPr>
              <w:rPr>
                <w:sz w:val="24"/>
                <w:szCs w:val="24"/>
              </w:rPr>
            </w:pPr>
            <w:r>
              <w:rPr>
                <w:sz w:val="24"/>
                <w:szCs w:val="24"/>
              </w:rPr>
              <w:t>Black</w:t>
            </w:r>
          </w:p>
        </w:tc>
        <w:tc>
          <w:tcPr>
            <w:tcW w:w="823" w:type="dxa"/>
          </w:tcPr>
          <w:p w:rsidR="002D234B" w:rsidRPr="008805A7" w:rsidRDefault="002D234B" w:rsidP="008805A7">
            <w:pPr>
              <w:jc w:val="center"/>
              <w:rPr>
                <w:sz w:val="24"/>
                <w:szCs w:val="24"/>
              </w:rPr>
            </w:pPr>
            <w:r w:rsidRPr="008805A7">
              <w:rPr>
                <w:sz w:val="24"/>
                <w:szCs w:val="24"/>
              </w:rPr>
              <w:t>1763</w:t>
            </w:r>
          </w:p>
        </w:tc>
        <w:tc>
          <w:tcPr>
            <w:tcW w:w="1090" w:type="dxa"/>
          </w:tcPr>
          <w:p w:rsidR="002D234B" w:rsidRDefault="00650C95" w:rsidP="008805A7">
            <w:pPr>
              <w:jc w:val="center"/>
              <w:rPr>
                <w:sz w:val="24"/>
                <w:szCs w:val="24"/>
              </w:rPr>
            </w:pPr>
            <w:r>
              <w:rPr>
                <w:sz w:val="24"/>
                <w:szCs w:val="24"/>
              </w:rPr>
              <w:t>16.1</w:t>
            </w:r>
          </w:p>
        </w:tc>
      </w:tr>
      <w:tr w:rsidR="002D234B" w:rsidTr="002D234B">
        <w:tc>
          <w:tcPr>
            <w:tcW w:w="4443" w:type="dxa"/>
          </w:tcPr>
          <w:p w:rsidR="002D234B" w:rsidRDefault="002D234B" w:rsidP="002D234B">
            <w:pPr>
              <w:rPr>
                <w:sz w:val="24"/>
                <w:szCs w:val="24"/>
              </w:rPr>
            </w:pPr>
            <w:r>
              <w:rPr>
                <w:sz w:val="24"/>
                <w:szCs w:val="24"/>
              </w:rPr>
              <w:t>East Asian</w:t>
            </w:r>
          </w:p>
        </w:tc>
        <w:tc>
          <w:tcPr>
            <w:tcW w:w="823" w:type="dxa"/>
          </w:tcPr>
          <w:p w:rsidR="002D234B" w:rsidRPr="008805A7" w:rsidRDefault="002D234B" w:rsidP="008805A7">
            <w:pPr>
              <w:jc w:val="center"/>
              <w:rPr>
                <w:sz w:val="24"/>
                <w:szCs w:val="24"/>
              </w:rPr>
            </w:pPr>
            <w:r w:rsidRPr="008805A7">
              <w:rPr>
                <w:sz w:val="24"/>
                <w:szCs w:val="24"/>
              </w:rPr>
              <w:t>277</w:t>
            </w:r>
          </w:p>
        </w:tc>
        <w:tc>
          <w:tcPr>
            <w:tcW w:w="1090" w:type="dxa"/>
          </w:tcPr>
          <w:p w:rsidR="002D234B" w:rsidRDefault="00650C95" w:rsidP="008805A7">
            <w:pPr>
              <w:jc w:val="center"/>
              <w:rPr>
                <w:sz w:val="24"/>
                <w:szCs w:val="24"/>
              </w:rPr>
            </w:pPr>
            <w:r>
              <w:rPr>
                <w:sz w:val="24"/>
                <w:szCs w:val="24"/>
              </w:rPr>
              <w:t>2.5</w:t>
            </w:r>
          </w:p>
        </w:tc>
      </w:tr>
      <w:tr w:rsidR="002D234B" w:rsidTr="002D234B">
        <w:tc>
          <w:tcPr>
            <w:tcW w:w="4443" w:type="dxa"/>
          </w:tcPr>
          <w:p w:rsidR="002D234B" w:rsidRDefault="002D234B" w:rsidP="002D234B">
            <w:pPr>
              <w:rPr>
                <w:sz w:val="24"/>
                <w:szCs w:val="24"/>
              </w:rPr>
            </w:pPr>
            <w:bookmarkStart w:id="4" w:name="_heading=h.gjdgxs" w:colFirst="0" w:colLast="0"/>
            <w:bookmarkEnd w:id="4"/>
            <w:r>
              <w:rPr>
                <w:sz w:val="24"/>
                <w:szCs w:val="24"/>
              </w:rPr>
              <w:t>Latin American</w:t>
            </w:r>
          </w:p>
        </w:tc>
        <w:tc>
          <w:tcPr>
            <w:tcW w:w="823" w:type="dxa"/>
          </w:tcPr>
          <w:p w:rsidR="002D234B" w:rsidRPr="008805A7" w:rsidRDefault="002D234B" w:rsidP="008805A7">
            <w:pPr>
              <w:jc w:val="center"/>
              <w:rPr>
                <w:sz w:val="24"/>
                <w:szCs w:val="24"/>
              </w:rPr>
            </w:pPr>
            <w:r w:rsidRPr="008805A7">
              <w:rPr>
                <w:sz w:val="24"/>
                <w:szCs w:val="24"/>
              </w:rPr>
              <w:t>622</w:t>
            </w:r>
          </w:p>
        </w:tc>
        <w:tc>
          <w:tcPr>
            <w:tcW w:w="1090" w:type="dxa"/>
          </w:tcPr>
          <w:p w:rsidR="002D234B" w:rsidRDefault="00650C95" w:rsidP="008805A7">
            <w:pPr>
              <w:jc w:val="center"/>
              <w:rPr>
                <w:sz w:val="24"/>
                <w:szCs w:val="24"/>
              </w:rPr>
            </w:pPr>
            <w:r>
              <w:rPr>
                <w:sz w:val="24"/>
                <w:szCs w:val="24"/>
              </w:rPr>
              <w:t>5.7</w:t>
            </w:r>
          </w:p>
        </w:tc>
      </w:tr>
      <w:tr w:rsidR="002D234B" w:rsidTr="002D234B">
        <w:tc>
          <w:tcPr>
            <w:tcW w:w="4443" w:type="dxa"/>
          </w:tcPr>
          <w:p w:rsidR="002D234B" w:rsidRDefault="002D234B" w:rsidP="002D234B">
            <w:pPr>
              <w:rPr>
                <w:sz w:val="24"/>
                <w:szCs w:val="24"/>
              </w:rPr>
            </w:pPr>
            <w:r>
              <w:rPr>
                <w:sz w:val="24"/>
                <w:szCs w:val="24"/>
              </w:rPr>
              <w:t>More than one race category or mixed race</w:t>
            </w:r>
          </w:p>
        </w:tc>
        <w:tc>
          <w:tcPr>
            <w:tcW w:w="823" w:type="dxa"/>
          </w:tcPr>
          <w:p w:rsidR="002D234B" w:rsidRPr="008805A7" w:rsidRDefault="002D234B" w:rsidP="008805A7">
            <w:pPr>
              <w:jc w:val="center"/>
              <w:rPr>
                <w:sz w:val="24"/>
                <w:szCs w:val="24"/>
              </w:rPr>
            </w:pPr>
            <w:r w:rsidRPr="008805A7">
              <w:rPr>
                <w:sz w:val="24"/>
                <w:szCs w:val="24"/>
              </w:rPr>
              <w:t>120</w:t>
            </w:r>
          </w:p>
        </w:tc>
        <w:tc>
          <w:tcPr>
            <w:tcW w:w="1090" w:type="dxa"/>
          </w:tcPr>
          <w:p w:rsidR="002D234B" w:rsidRDefault="00650C95" w:rsidP="008805A7">
            <w:pPr>
              <w:jc w:val="center"/>
              <w:rPr>
                <w:sz w:val="24"/>
                <w:szCs w:val="24"/>
              </w:rPr>
            </w:pPr>
            <w:r>
              <w:rPr>
                <w:sz w:val="24"/>
                <w:szCs w:val="24"/>
              </w:rPr>
              <w:t>1.1</w:t>
            </w:r>
          </w:p>
        </w:tc>
      </w:tr>
      <w:tr w:rsidR="002D234B" w:rsidTr="002D234B">
        <w:tc>
          <w:tcPr>
            <w:tcW w:w="4443" w:type="dxa"/>
          </w:tcPr>
          <w:p w:rsidR="002D234B" w:rsidRDefault="002D234B">
            <w:pPr>
              <w:rPr>
                <w:sz w:val="24"/>
                <w:szCs w:val="24"/>
              </w:rPr>
            </w:pPr>
            <w:r>
              <w:rPr>
                <w:sz w:val="24"/>
                <w:szCs w:val="24"/>
              </w:rPr>
              <w:t>South Asian or Indo-Caribbean</w:t>
            </w:r>
          </w:p>
        </w:tc>
        <w:tc>
          <w:tcPr>
            <w:tcW w:w="823" w:type="dxa"/>
          </w:tcPr>
          <w:p w:rsidR="002D234B" w:rsidRDefault="002D234B" w:rsidP="008805A7">
            <w:pPr>
              <w:jc w:val="center"/>
              <w:rPr>
                <w:sz w:val="24"/>
                <w:szCs w:val="24"/>
              </w:rPr>
            </w:pPr>
            <w:r w:rsidRPr="008805A7">
              <w:rPr>
                <w:sz w:val="24"/>
                <w:szCs w:val="24"/>
              </w:rPr>
              <w:t>1383</w:t>
            </w:r>
          </w:p>
        </w:tc>
        <w:tc>
          <w:tcPr>
            <w:tcW w:w="1090" w:type="dxa"/>
          </w:tcPr>
          <w:p w:rsidR="002D234B" w:rsidRDefault="008805A7" w:rsidP="008805A7">
            <w:pPr>
              <w:jc w:val="center"/>
              <w:rPr>
                <w:sz w:val="24"/>
                <w:szCs w:val="24"/>
              </w:rPr>
            </w:pPr>
            <w:r>
              <w:rPr>
                <w:sz w:val="24"/>
                <w:szCs w:val="24"/>
              </w:rPr>
              <w:t>12.6</w:t>
            </w:r>
          </w:p>
        </w:tc>
      </w:tr>
      <w:tr w:rsidR="002D234B" w:rsidTr="002D234B">
        <w:tc>
          <w:tcPr>
            <w:tcW w:w="4443" w:type="dxa"/>
          </w:tcPr>
          <w:p w:rsidR="002D234B" w:rsidRDefault="002D234B" w:rsidP="002D234B">
            <w:pPr>
              <w:rPr>
                <w:sz w:val="24"/>
                <w:szCs w:val="24"/>
              </w:rPr>
            </w:pPr>
            <w:r>
              <w:rPr>
                <w:sz w:val="24"/>
                <w:szCs w:val="24"/>
              </w:rPr>
              <w:t>Southeast Asian</w:t>
            </w:r>
          </w:p>
        </w:tc>
        <w:tc>
          <w:tcPr>
            <w:tcW w:w="823" w:type="dxa"/>
          </w:tcPr>
          <w:p w:rsidR="002D234B" w:rsidRPr="008805A7" w:rsidRDefault="002D234B" w:rsidP="008805A7">
            <w:pPr>
              <w:jc w:val="center"/>
              <w:rPr>
                <w:sz w:val="24"/>
                <w:szCs w:val="24"/>
              </w:rPr>
            </w:pPr>
            <w:r w:rsidRPr="008805A7">
              <w:rPr>
                <w:sz w:val="24"/>
                <w:szCs w:val="24"/>
              </w:rPr>
              <w:t>984</w:t>
            </w:r>
          </w:p>
        </w:tc>
        <w:tc>
          <w:tcPr>
            <w:tcW w:w="1090" w:type="dxa"/>
          </w:tcPr>
          <w:p w:rsidR="002D234B" w:rsidRDefault="008805A7" w:rsidP="008805A7">
            <w:pPr>
              <w:jc w:val="center"/>
              <w:rPr>
                <w:sz w:val="24"/>
                <w:szCs w:val="24"/>
              </w:rPr>
            </w:pPr>
            <w:r>
              <w:rPr>
                <w:sz w:val="24"/>
                <w:szCs w:val="24"/>
              </w:rPr>
              <w:t>9.0</w:t>
            </w:r>
          </w:p>
        </w:tc>
      </w:tr>
      <w:tr w:rsidR="002D234B" w:rsidTr="002D234B">
        <w:tc>
          <w:tcPr>
            <w:tcW w:w="4443" w:type="dxa"/>
          </w:tcPr>
          <w:p w:rsidR="002D234B" w:rsidRDefault="002D234B" w:rsidP="002D234B">
            <w:pPr>
              <w:rPr>
                <w:sz w:val="24"/>
                <w:szCs w:val="24"/>
              </w:rPr>
            </w:pPr>
            <w:r>
              <w:rPr>
                <w:sz w:val="24"/>
                <w:szCs w:val="24"/>
              </w:rPr>
              <w:t>White</w:t>
            </w:r>
          </w:p>
        </w:tc>
        <w:tc>
          <w:tcPr>
            <w:tcW w:w="823" w:type="dxa"/>
          </w:tcPr>
          <w:p w:rsidR="002D234B" w:rsidRPr="008805A7" w:rsidRDefault="002D234B" w:rsidP="008805A7">
            <w:pPr>
              <w:jc w:val="center"/>
              <w:rPr>
                <w:sz w:val="24"/>
                <w:szCs w:val="24"/>
              </w:rPr>
            </w:pPr>
            <w:r w:rsidRPr="008805A7">
              <w:rPr>
                <w:sz w:val="24"/>
                <w:szCs w:val="24"/>
              </w:rPr>
              <w:t>1591</w:t>
            </w:r>
          </w:p>
        </w:tc>
        <w:tc>
          <w:tcPr>
            <w:tcW w:w="1090" w:type="dxa"/>
          </w:tcPr>
          <w:p w:rsidR="002D234B" w:rsidRDefault="008805A7" w:rsidP="008805A7">
            <w:pPr>
              <w:jc w:val="center"/>
              <w:rPr>
                <w:sz w:val="24"/>
                <w:szCs w:val="24"/>
              </w:rPr>
            </w:pPr>
            <w:r>
              <w:rPr>
                <w:sz w:val="24"/>
                <w:szCs w:val="24"/>
              </w:rPr>
              <w:t>14.5</w:t>
            </w:r>
          </w:p>
        </w:tc>
      </w:tr>
      <w:tr w:rsidR="002D234B" w:rsidTr="002D234B">
        <w:tc>
          <w:tcPr>
            <w:tcW w:w="4443" w:type="dxa"/>
          </w:tcPr>
          <w:p w:rsidR="002D234B" w:rsidRDefault="002D234B" w:rsidP="002D234B">
            <w:pPr>
              <w:rPr>
                <w:sz w:val="24"/>
                <w:szCs w:val="24"/>
              </w:rPr>
            </w:pPr>
            <w:r>
              <w:rPr>
                <w:sz w:val="24"/>
                <w:szCs w:val="24"/>
              </w:rPr>
              <w:t>Other</w:t>
            </w:r>
          </w:p>
        </w:tc>
        <w:tc>
          <w:tcPr>
            <w:tcW w:w="823" w:type="dxa"/>
          </w:tcPr>
          <w:p w:rsidR="002D234B" w:rsidRPr="008805A7" w:rsidRDefault="002D234B" w:rsidP="008805A7">
            <w:pPr>
              <w:jc w:val="center"/>
              <w:rPr>
                <w:sz w:val="24"/>
                <w:szCs w:val="24"/>
              </w:rPr>
            </w:pPr>
            <w:r>
              <w:rPr>
                <w:sz w:val="24"/>
                <w:szCs w:val="24"/>
              </w:rPr>
              <w:t>22</w:t>
            </w:r>
          </w:p>
        </w:tc>
        <w:tc>
          <w:tcPr>
            <w:tcW w:w="1090" w:type="dxa"/>
          </w:tcPr>
          <w:p w:rsidR="002D234B" w:rsidRDefault="008805A7" w:rsidP="008805A7">
            <w:pPr>
              <w:jc w:val="center"/>
              <w:rPr>
                <w:sz w:val="24"/>
                <w:szCs w:val="24"/>
              </w:rPr>
            </w:pPr>
            <w:r>
              <w:rPr>
                <w:sz w:val="24"/>
                <w:szCs w:val="24"/>
              </w:rPr>
              <w:t>0.2</w:t>
            </w:r>
          </w:p>
        </w:tc>
      </w:tr>
      <w:tr w:rsidR="002D234B" w:rsidTr="002D234B">
        <w:tc>
          <w:tcPr>
            <w:tcW w:w="4443" w:type="dxa"/>
          </w:tcPr>
          <w:p w:rsidR="002D234B" w:rsidRDefault="002D234B" w:rsidP="002D234B">
            <w:pPr>
              <w:rPr>
                <w:sz w:val="24"/>
                <w:szCs w:val="24"/>
              </w:rPr>
            </w:pPr>
            <w:r>
              <w:rPr>
                <w:sz w:val="24"/>
                <w:szCs w:val="24"/>
              </w:rPr>
              <w:t>Not Asked</w:t>
            </w:r>
          </w:p>
        </w:tc>
        <w:tc>
          <w:tcPr>
            <w:tcW w:w="823" w:type="dxa"/>
          </w:tcPr>
          <w:p w:rsidR="002D234B" w:rsidRPr="008805A7" w:rsidRDefault="00650C95" w:rsidP="008805A7">
            <w:pPr>
              <w:jc w:val="center"/>
              <w:rPr>
                <w:sz w:val="24"/>
                <w:szCs w:val="24"/>
              </w:rPr>
            </w:pPr>
            <w:r w:rsidRPr="008805A7">
              <w:rPr>
                <w:sz w:val="24"/>
                <w:szCs w:val="24"/>
              </w:rPr>
              <w:t>2680</w:t>
            </w:r>
          </w:p>
        </w:tc>
        <w:tc>
          <w:tcPr>
            <w:tcW w:w="1090" w:type="dxa"/>
          </w:tcPr>
          <w:p w:rsidR="002D234B" w:rsidRPr="008805A7" w:rsidRDefault="00650C95" w:rsidP="008805A7">
            <w:pPr>
              <w:jc w:val="center"/>
              <w:rPr>
                <w:sz w:val="24"/>
                <w:szCs w:val="24"/>
              </w:rPr>
            </w:pPr>
            <w:r w:rsidRPr="008805A7">
              <w:rPr>
                <w:sz w:val="24"/>
                <w:szCs w:val="24"/>
              </w:rPr>
              <w:t>24.4</w:t>
            </w:r>
          </w:p>
        </w:tc>
      </w:tr>
      <w:tr w:rsidR="002D234B" w:rsidTr="002D234B">
        <w:tc>
          <w:tcPr>
            <w:tcW w:w="4443" w:type="dxa"/>
          </w:tcPr>
          <w:p w:rsidR="002D234B" w:rsidRDefault="002D234B" w:rsidP="002D234B">
            <w:pPr>
              <w:rPr>
                <w:sz w:val="24"/>
                <w:szCs w:val="24"/>
              </w:rPr>
            </w:pPr>
            <w:r>
              <w:rPr>
                <w:sz w:val="24"/>
                <w:szCs w:val="24"/>
              </w:rPr>
              <w:t>Prefer not to answer</w:t>
            </w:r>
          </w:p>
        </w:tc>
        <w:tc>
          <w:tcPr>
            <w:tcW w:w="823" w:type="dxa"/>
          </w:tcPr>
          <w:p w:rsidR="002D234B" w:rsidRPr="008805A7" w:rsidRDefault="002D234B" w:rsidP="008805A7">
            <w:pPr>
              <w:jc w:val="center"/>
              <w:rPr>
                <w:sz w:val="24"/>
                <w:szCs w:val="24"/>
              </w:rPr>
            </w:pPr>
            <w:r w:rsidRPr="008805A7">
              <w:rPr>
                <w:sz w:val="24"/>
                <w:szCs w:val="24"/>
              </w:rPr>
              <w:t>779</w:t>
            </w:r>
          </w:p>
        </w:tc>
        <w:tc>
          <w:tcPr>
            <w:tcW w:w="1090" w:type="dxa"/>
          </w:tcPr>
          <w:p w:rsidR="002D234B" w:rsidRPr="008805A7" w:rsidRDefault="00650C95" w:rsidP="008805A7">
            <w:pPr>
              <w:jc w:val="center"/>
              <w:rPr>
                <w:sz w:val="24"/>
                <w:szCs w:val="24"/>
              </w:rPr>
            </w:pPr>
            <w:r w:rsidRPr="008805A7">
              <w:rPr>
                <w:sz w:val="24"/>
                <w:szCs w:val="24"/>
              </w:rPr>
              <w:t>7.1</w:t>
            </w:r>
          </w:p>
        </w:tc>
      </w:tr>
    </w:tbl>
    <w:p w:rsidR="00AB765B" w:rsidRDefault="00AB765B">
      <w:pPr>
        <w:rPr>
          <w:sz w:val="24"/>
          <w:szCs w:val="24"/>
        </w:rPr>
      </w:pPr>
    </w:p>
    <w:p w:rsidR="00AB765B" w:rsidRDefault="00E1257F">
      <w:pPr>
        <w:pStyle w:val="Heading3"/>
        <w:rPr>
          <w:rFonts w:ascii="Calibri" w:eastAsia="Calibri" w:hAnsi="Calibri" w:cs="Calibri"/>
        </w:rPr>
      </w:pPr>
      <w:r>
        <w:rPr>
          <w:rFonts w:ascii="Calibri" w:eastAsia="Calibri" w:hAnsi="Calibri" w:cs="Calibri"/>
        </w:rPr>
        <w:t>Table 3. Frequency and percent for values for income variable</w:t>
      </w:r>
    </w:p>
    <w:tbl>
      <w:tblPr>
        <w:tblStyle w:val="a5"/>
        <w:tblW w:w="3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2"/>
        <w:gridCol w:w="703"/>
        <w:gridCol w:w="984"/>
      </w:tblGrid>
      <w:tr w:rsidR="00AB765B">
        <w:tc>
          <w:tcPr>
            <w:tcW w:w="2232" w:type="dxa"/>
          </w:tcPr>
          <w:p w:rsidR="00AB765B" w:rsidRDefault="00E1257F">
            <w:pPr>
              <w:rPr>
                <w:b/>
                <w:sz w:val="24"/>
                <w:szCs w:val="24"/>
              </w:rPr>
            </w:pPr>
            <w:r>
              <w:rPr>
                <w:b/>
                <w:sz w:val="24"/>
                <w:szCs w:val="24"/>
              </w:rPr>
              <w:t>Household income</w:t>
            </w:r>
          </w:p>
        </w:tc>
        <w:tc>
          <w:tcPr>
            <w:tcW w:w="703" w:type="dxa"/>
          </w:tcPr>
          <w:p w:rsidR="00AB765B" w:rsidRDefault="00E1257F">
            <w:pPr>
              <w:jc w:val="center"/>
              <w:rPr>
                <w:b/>
                <w:sz w:val="24"/>
                <w:szCs w:val="24"/>
              </w:rPr>
            </w:pPr>
            <w:r>
              <w:rPr>
                <w:b/>
                <w:sz w:val="24"/>
                <w:szCs w:val="24"/>
              </w:rPr>
              <w:t>N</w:t>
            </w:r>
          </w:p>
        </w:tc>
        <w:tc>
          <w:tcPr>
            <w:tcW w:w="984" w:type="dxa"/>
          </w:tcPr>
          <w:p w:rsidR="00AB765B" w:rsidRDefault="00E1257F">
            <w:pPr>
              <w:jc w:val="right"/>
              <w:rPr>
                <w:b/>
                <w:sz w:val="24"/>
                <w:szCs w:val="24"/>
              </w:rPr>
            </w:pPr>
            <w:r>
              <w:rPr>
                <w:b/>
                <w:sz w:val="24"/>
                <w:szCs w:val="24"/>
              </w:rPr>
              <w:t>Percent</w:t>
            </w:r>
          </w:p>
        </w:tc>
      </w:tr>
      <w:tr w:rsidR="00C3230C">
        <w:tc>
          <w:tcPr>
            <w:tcW w:w="2232" w:type="dxa"/>
          </w:tcPr>
          <w:p w:rsidR="00C3230C" w:rsidRDefault="00C3230C" w:rsidP="00C3230C">
            <w:pPr>
              <w:rPr>
                <w:sz w:val="24"/>
                <w:szCs w:val="24"/>
              </w:rPr>
            </w:pPr>
            <w:r>
              <w:rPr>
                <w:sz w:val="24"/>
                <w:szCs w:val="24"/>
              </w:rPr>
              <w:t>$0 - $29,999</w:t>
            </w:r>
          </w:p>
        </w:tc>
        <w:tc>
          <w:tcPr>
            <w:tcW w:w="703" w:type="dxa"/>
          </w:tcPr>
          <w:p w:rsidR="00C3230C" w:rsidRPr="00C3230C" w:rsidRDefault="00C3230C" w:rsidP="00C3230C">
            <w:pPr>
              <w:jc w:val="right"/>
              <w:rPr>
                <w:sz w:val="24"/>
                <w:szCs w:val="24"/>
              </w:rPr>
            </w:pPr>
            <w:r w:rsidRPr="00C3230C">
              <w:rPr>
                <w:sz w:val="24"/>
                <w:szCs w:val="24"/>
              </w:rPr>
              <w:t>1092</w:t>
            </w:r>
          </w:p>
        </w:tc>
        <w:tc>
          <w:tcPr>
            <w:tcW w:w="984" w:type="dxa"/>
          </w:tcPr>
          <w:p w:rsidR="00C3230C" w:rsidRPr="00C3230C" w:rsidRDefault="00C3230C" w:rsidP="00C3230C">
            <w:pPr>
              <w:jc w:val="right"/>
              <w:rPr>
                <w:sz w:val="24"/>
                <w:szCs w:val="24"/>
              </w:rPr>
            </w:pPr>
            <w:r>
              <w:rPr>
                <w:sz w:val="24"/>
                <w:szCs w:val="24"/>
              </w:rPr>
              <w:t>10.0</w:t>
            </w:r>
          </w:p>
        </w:tc>
      </w:tr>
      <w:tr w:rsidR="00C3230C">
        <w:tc>
          <w:tcPr>
            <w:tcW w:w="2232" w:type="dxa"/>
          </w:tcPr>
          <w:p w:rsidR="00C3230C" w:rsidRDefault="00C3230C" w:rsidP="00C3230C">
            <w:pPr>
              <w:rPr>
                <w:sz w:val="24"/>
                <w:szCs w:val="24"/>
              </w:rPr>
            </w:pPr>
            <w:r>
              <w:rPr>
                <w:sz w:val="24"/>
                <w:szCs w:val="24"/>
              </w:rPr>
              <w:t>$30,000-$49,999</w:t>
            </w:r>
          </w:p>
        </w:tc>
        <w:tc>
          <w:tcPr>
            <w:tcW w:w="703" w:type="dxa"/>
          </w:tcPr>
          <w:p w:rsidR="00C3230C" w:rsidRPr="00C3230C" w:rsidRDefault="00C3230C" w:rsidP="00C3230C">
            <w:pPr>
              <w:jc w:val="right"/>
              <w:rPr>
                <w:sz w:val="24"/>
                <w:szCs w:val="24"/>
              </w:rPr>
            </w:pPr>
            <w:r w:rsidRPr="00C3230C">
              <w:rPr>
                <w:sz w:val="24"/>
                <w:szCs w:val="24"/>
              </w:rPr>
              <w:t>1010</w:t>
            </w:r>
          </w:p>
        </w:tc>
        <w:tc>
          <w:tcPr>
            <w:tcW w:w="984" w:type="dxa"/>
          </w:tcPr>
          <w:p w:rsidR="00C3230C" w:rsidRPr="00C3230C" w:rsidRDefault="00C3230C" w:rsidP="00C3230C">
            <w:pPr>
              <w:jc w:val="right"/>
              <w:rPr>
                <w:sz w:val="24"/>
                <w:szCs w:val="24"/>
              </w:rPr>
            </w:pPr>
            <w:r>
              <w:rPr>
                <w:sz w:val="24"/>
                <w:szCs w:val="24"/>
              </w:rPr>
              <w:t>9.2</w:t>
            </w:r>
          </w:p>
        </w:tc>
      </w:tr>
      <w:tr w:rsidR="00C3230C">
        <w:tc>
          <w:tcPr>
            <w:tcW w:w="2232" w:type="dxa"/>
          </w:tcPr>
          <w:p w:rsidR="00C3230C" w:rsidRDefault="00C3230C" w:rsidP="00C3230C">
            <w:pPr>
              <w:rPr>
                <w:sz w:val="24"/>
                <w:szCs w:val="24"/>
              </w:rPr>
            </w:pPr>
            <w:r>
              <w:rPr>
                <w:sz w:val="24"/>
                <w:szCs w:val="24"/>
              </w:rPr>
              <w:t>$50,000-$69,999</w:t>
            </w:r>
          </w:p>
        </w:tc>
        <w:tc>
          <w:tcPr>
            <w:tcW w:w="703" w:type="dxa"/>
          </w:tcPr>
          <w:p w:rsidR="00C3230C" w:rsidRPr="00C3230C" w:rsidRDefault="00C3230C" w:rsidP="00C3230C">
            <w:pPr>
              <w:jc w:val="right"/>
              <w:rPr>
                <w:sz w:val="24"/>
                <w:szCs w:val="24"/>
              </w:rPr>
            </w:pPr>
            <w:r w:rsidRPr="00C3230C">
              <w:rPr>
                <w:sz w:val="24"/>
                <w:szCs w:val="24"/>
              </w:rPr>
              <w:t>666</w:t>
            </w:r>
          </w:p>
        </w:tc>
        <w:tc>
          <w:tcPr>
            <w:tcW w:w="984" w:type="dxa"/>
          </w:tcPr>
          <w:p w:rsidR="00C3230C" w:rsidRPr="00C3230C" w:rsidRDefault="00C3230C" w:rsidP="00C3230C">
            <w:pPr>
              <w:jc w:val="right"/>
              <w:rPr>
                <w:sz w:val="24"/>
                <w:szCs w:val="24"/>
              </w:rPr>
            </w:pPr>
            <w:r>
              <w:rPr>
                <w:sz w:val="24"/>
                <w:szCs w:val="24"/>
              </w:rPr>
              <w:t>6.1</w:t>
            </w:r>
          </w:p>
        </w:tc>
      </w:tr>
      <w:tr w:rsidR="00C3230C">
        <w:tc>
          <w:tcPr>
            <w:tcW w:w="2232" w:type="dxa"/>
          </w:tcPr>
          <w:p w:rsidR="00C3230C" w:rsidRDefault="00C3230C" w:rsidP="00C3230C">
            <w:pPr>
              <w:rPr>
                <w:sz w:val="24"/>
                <w:szCs w:val="24"/>
              </w:rPr>
            </w:pPr>
            <w:r>
              <w:rPr>
                <w:sz w:val="24"/>
                <w:szCs w:val="24"/>
              </w:rPr>
              <w:t>$70,000-$99,999</w:t>
            </w:r>
          </w:p>
        </w:tc>
        <w:tc>
          <w:tcPr>
            <w:tcW w:w="703" w:type="dxa"/>
          </w:tcPr>
          <w:p w:rsidR="00C3230C" w:rsidRPr="00C3230C" w:rsidRDefault="00C3230C" w:rsidP="00C3230C">
            <w:pPr>
              <w:jc w:val="right"/>
              <w:rPr>
                <w:sz w:val="24"/>
                <w:szCs w:val="24"/>
              </w:rPr>
            </w:pPr>
            <w:r w:rsidRPr="00C3230C">
              <w:rPr>
                <w:sz w:val="24"/>
                <w:szCs w:val="24"/>
              </w:rPr>
              <w:t>648</w:t>
            </w:r>
          </w:p>
        </w:tc>
        <w:tc>
          <w:tcPr>
            <w:tcW w:w="984" w:type="dxa"/>
          </w:tcPr>
          <w:p w:rsidR="00C3230C" w:rsidRPr="00C3230C" w:rsidRDefault="00C3230C" w:rsidP="00C3230C">
            <w:pPr>
              <w:jc w:val="right"/>
              <w:rPr>
                <w:sz w:val="24"/>
                <w:szCs w:val="24"/>
              </w:rPr>
            </w:pPr>
            <w:r>
              <w:rPr>
                <w:sz w:val="24"/>
                <w:szCs w:val="24"/>
              </w:rPr>
              <w:t>5.9</w:t>
            </w:r>
          </w:p>
        </w:tc>
      </w:tr>
      <w:tr w:rsidR="00C3230C">
        <w:tc>
          <w:tcPr>
            <w:tcW w:w="2232" w:type="dxa"/>
          </w:tcPr>
          <w:p w:rsidR="00C3230C" w:rsidRDefault="00C3230C" w:rsidP="00C3230C">
            <w:pPr>
              <w:rPr>
                <w:sz w:val="24"/>
                <w:szCs w:val="24"/>
              </w:rPr>
            </w:pPr>
            <w:r>
              <w:rPr>
                <w:sz w:val="24"/>
                <w:szCs w:val="24"/>
              </w:rPr>
              <w:t>$100,000-$149,999</w:t>
            </w:r>
          </w:p>
        </w:tc>
        <w:tc>
          <w:tcPr>
            <w:tcW w:w="703" w:type="dxa"/>
          </w:tcPr>
          <w:p w:rsidR="00C3230C" w:rsidRPr="00C3230C" w:rsidRDefault="00C3230C" w:rsidP="00C3230C">
            <w:pPr>
              <w:jc w:val="right"/>
              <w:rPr>
                <w:sz w:val="24"/>
                <w:szCs w:val="24"/>
              </w:rPr>
            </w:pPr>
            <w:r w:rsidRPr="00C3230C">
              <w:rPr>
                <w:sz w:val="24"/>
                <w:szCs w:val="24"/>
              </w:rPr>
              <w:t>472</w:t>
            </w:r>
          </w:p>
        </w:tc>
        <w:tc>
          <w:tcPr>
            <w:tcW w:w="984" w:type="dxa"/>
          </w:tcPr>
          <w:p w:rsidR="00C3230C" w:rsidRPr="00C3230C" w:rsidRDefault="00C3230C" w:rsidP="00C3230C">
            <w:pPr>
              <w:jc w:val="right"/>
              <w:rPr>
                <w:sz w:val="24"/>
                <w:szCs w:val="24"/>
              </w:rPr>
            </w:pPr>
            <w:r>
              <w:rPr>
                <w:sz w:val="24"/>
                <w:szCs w:val="24"/>
              </w:rPr>
              <w:t>4.3</w:t>
            </w:r>
          </w:p>
        </w:tc>
      </w:tr>
      <w:tr w:rsidR="00C3230C">
        <w:tc>
          <w:tcPr>
            <w:tcW w:w="2232" w:type="dxa"/>
          </w:tcPr>
          <w:p w:rsidR="00C3230C" w:rsidRDefault="00C3230C" w:rsidP="00C3230C">
            <w:pPr>
              <w:rPr>
                <w:sz w:val="24"/>
                <w:szCs w:val="24"/>
              </w:rPr>
            </w:pPr>
            <w:r>
              <w:rPr>
                <w:sz w:val="24"/>
                <w:szCs w:val="24"/>
              </w:rPr>
              <w:t>$150,000 or more</w:t>
            </w:r>
          </w:p>
        </w:tc>
        <w:tc>
          <w:tcPr>
            <w:tcW w:w="703" w:type="dxa"/>
          </w:tcPr>
          <w:p w:rsidR="00C3230C" w:rsidRPr="00C3230C" w:rsidRDefault="00C3230C" w:rsidP="00C3230C">
            <w:pPr>
              <w:jc w:val="right"/>
              <w:rPr>
                <w:sz w:val="24"/>
                <w:szCs w:val="24"/>
              </w:rPr>
            </w:pPr>
            <w:r w:rsidRPr="00C3230C">
              <w:rPr>
                <w:sz w:val="24"/>
                <w:szCs w:val="24"/>
              </w:rPr>
              <w:t>353</w:t>
            </w:r>
          </w:p>
        </w:tc>
        <w:tc>
          <w:tcPr>
            <w:tcW w:w="984" w:type="dxa"/>
          </w:tcPr>
          <w:p w:rsidR="00C3230C" w:rsidRPr="00C3230C" w:rsidRDefault="00C3230C" w:rsidP="00C3230C">
            <w:pPr>
              <w:jc w:val="right"/>
              <w:rPr>
                <w:sz w:val="24"/>
                <w:szCs w:val="24"/>
              </w:rPr>
            </w:pPr>
            <w:r>
              <w:rPr>
                <w:sz w:val="24"/>
                <w:szCs w:val="24"/>
              </w:rPr>
              <w:t>3.2</w:t>
            </w:r>
          </w:p>
        </w:tc>
      </w:tr>
      <w:tr w:rsidR="009648BA">
        <w:tc>
          <w:tcPr>
            <w:tcW w:w="2232" w:type="dxa"/>
          </w:tcPr>
          <w:p w:rsidR="009648BA" w:rsidRDefault="009648BA" w:rsidP="009648BA">
            <w:pPr>
              <w:rPr>
                <w:sz w:val="24"/>
                <w:szCs w:val="24"/>
              </w:rPr>
            </w:pPr>
            <w:r>
              <w:rPr>
                <w:sz w:val="24"/>
                <w:szCs w:val="24"/>
              </w:rPr>
              <w:t>Don't know</w:t>
            </w:r>
          </w:p>
        </w:tc>
        <w:tc>
          <w:tcPr>
            <w:tcW w:w="703" w:type="dxa"/>
          </w:tcPr>
          <w:p w:rsidR="009648BA" w:rsidRDefault="009648BA" w:rsidP="009648BA">
            <w:pPr>
              <w:jc w:val="right"/>
              <w:rPr>
                <w:sz w:val="24"/>
                <w:szCs w:val="24"/>
              </w:rPr>
            </w:pPr>
            <w:r>
              <w:rPr>
                <w:sz w:val="24"/>
                <w:szCs w:val="24"/>
              </w:rPr>
              <w:t>1629</w:t>
            </w:r>
          </w:p>
        </w:tc>
        <w:tc>
          <w:tcPr>
            <w:tcW w:w="984" w:type="dxa"/>
          </w:tcPr>
          <w:p w:rsidR="009648BA" w:rsidRDefault="009648BA" w:rsidP="009648BA">
            <w:pPr>
              <w:jc w:val="right"/>
              <w:rPr>
                <w:sz w:val="24"/>
                <w:szCs w:val="24"/>
              </w:rPr>
            </w:pPr>
            <w:r>
              <w:rPr>
                <w:sz w:val="24"/>
                <w:szCs w:val="24"/>
              </w:rPr>
              <w:t>14.8</w:t>
            </w:r>
          </w:p>
        </w:tc>
      </w:tr>
      <w:tr w:rsidR="009648BA">
        <w:tc>
          <w:tcPr>
            <w:tcW w:w="2232" w:type="dxa"/>
          </w:tcPr>
          <w:p w:rsidR="009648BA" w:rsidRDefault="009648BA" w:rsidP="009648BA">
            <w:pPr>
              <w:rPr>
                <w:sz w:val="24"/>
                <w:szCs w:val="24"/>
              </w:rPr>
            </w:pPr>
            <w:r>
              <w:rPr>
                <w:sz w:val="24"/>
                <w:szCs w:val="24"/>
              </w:rPr>
              <w:t>Not Asked</w:t>
            </w:r>
          </w:p>
        </w:tc>
        <w:tc>
          <w:tcPr>
            <w:tcW w:w="703" w:type="dxa"/>
          </w:tcPr>
          <w:p w:rsidR="009648BA" w:rsidRDefault="009648BA" w:rsidP="009648BA">
            <w:pPr>
              <w:jc w:val="right"/>
              <w:rPr>
                <w:sz w:val="24"/>
                <w:szCs w:val="24"/>
              </w:rPr>
            </w:pPr>
            <w:r>
              <w:rPr>
                <w:sz w:val="24"/>
                <w:szCs w:val="24"/>
              </w:rPr>
              <w:t>2967</w:t>
            </w:r>
          </w:p>
        </w:tc>
        <w:tc>
          <w:tcPr>
            <w:tcW w:w="984" w:type="dxa"/>
          </w:tcPr>
          <w:p w:rsidR="009648BA" w:rsidRDefault="009648BA" w:rsidP="009648BA">
            <w:pPr>
              <w:jc w:val="right"/>
              <w:rPr>
                <w:sz w:val="24"/>
                <w:szCs w:val="24"/>
              </w:rPr>
            </w:pPr>
            <w:r>
              <w:rPr>
                <w:sz w:val="24"/>
                <w:szCs w:val="24"/>
              </w:rPr>
              <w:t>27.0</w:t>
            </w:r>
          </w:p>
        </w:tc>
      </w:tr>
      <w:tr w:rsidR="009648BA">
        <w:tc>
          <w:tcPr>
            <w:tcW w:w="2232" w:type="dxa"/>
          </w:tcPr>
          <w:p w:rsidR="009648BA" w:rsidRDefault="009648BA" w:rsidP="009648BA">
            <w:pPr>
              <w:rPr>
                <w:sz w:val="24"/>
                <w:szCs w:val="24"/>
              </w:rPr>
            </w:pPr>
            <w:r>
              <w:rPr>
                <w:sz w:val="24"/>
                <w:szCs w:val="24"/>
              </w:rPr>
              <w:t>Prefer not to answer</w:t>
            </w:r>
          </w:p>
        </w:tc>
        <w:tc>
          <w:tcPr>
            <w:tcW w:w="703" w:type="dxa"/>
          </w:tcPr>
          <w:p w:rsidR="009648BA" w:rsidRDefault="009648BA" w:rsidP="009648BA">
            <w:pPr>
              <w:jc w:val="right"/>
              <w:rPr>
                <w:sz w:val="24"/>
                <w:szCs w:val="24"/>
              </w:rPr>
            </w:pPr>
            <w:r>
              <w:rPr>
                <w:sz w:val="24"/>
                <w:szCs w:val="24"/>
              </w:rPr>
              <w:t>2141</w:t>
            </w:r>
          </w:p>
        </w:tc>
        <w:tc>
          <w:tcPr>
            <w:tcW w:w="984" w:type="dxa"/>
          </w:tcPr>
          <w:p w:rsidR="009648BA" w:rsidRDefault="009648BA" w:rsidP="009648BA">
            <w:pPr>
              <w:jc w:val="right"/>
              <w:rPr>
                <w:sz w:val="24"/>
                <w:szCs w:val="24"/>
              </w:rPr>
            </w:pPr>
            <w:r>
              <w:rPr>
                <w:sz w:val="24"/>
                <w:szCs w:val="24"/>
              </w:rPr>
              <w:t>19.5</w:t>
            </w:r>
          </w:p>
        </w:tc>
      </w:tr>
    </w:tbl>
    <w:p w:rsidR="00AB765B" w:rsidRDefault="00AB765B">
      <w:pPr>
        <w:rPr>
          <w:sz w:val="24"/>
          <w:szCs w:val="24"/>
        </w:rPr>
      </w:pPr>
    </w:p>
    <w:p w:rsidR="00AB765B" w:rsidRDefault="00E1257F">
      <w:pPr>
        <w:pStyle w:val="Heading3"/>
        <w:rPr>
          <w:rFonts w:ascii="Calibri" w:eastAsia="Calibri" w:hAnsi="Calibri" w:cs="Calibri"/>
        </w:rPr>
      </w:pPr>
      <w:r>
        <w:rPr>
          <w:rFonts w:ascii="Calibri" w:eastAsia="Calibri" w:hAnsi="Calibri" w:cs="Calibri"/>
        </w:rPr>
        <w:t xml:space="preserve">Table 4. Frequency and percent for values for household size variable </w:t>
      </w:r>
    </w:p>
    <w:tbl>
      <w:tblPr>
        <w:tblStyle w:val="a6"/>
        <w:tblW w:w="4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4"/>
        <w:gridCol w:w="703"/>
        <w:gridCol w:w="984"/>
      </w:tblGrid>
      <w:tr w:rsidR="00AB765B">
        <w:tc>
          <w:tcPr>
            <w:tcW w:w="2904" w:type="dxa"/>
          </w:tcPr>
          <w:p w:rsidR="00AB765B" w:rsidRDefault="00E1257F">
            <w:pPr>
              <w:rPr>
                <w:b/>
                <w:sz w:val="24"/>
                <w:szCs w:val="24"/>
              </w:rPr>
            </w:pPr>
            <w:r>
              <w:rPr>
                <w:b/>
                <w:sz w:val="24"/>
                <w:szCs w:val="24"/>
              </w:rPr>
              <w:t>Household Size</w:t>
            </w:r>
          </w:p>
        </w:tc>
        <w:tc>
          <w:tcPr>
            <w:tcW w:w="703" w:type="dxa"/>
          </w:tcPr>
          <w:p w:rsidR="00AB765B" w:rsidRDefault="00E1257F">
            <w:pPr>
              <w:jc w:val="right"/>
              <w:rPr>
                <w:b/>
                <w:sz w:val="24"/>
                <w:szCs w:val="24"/>
              </w:rPr>
            </w:pPr>
            <w:r>
              <w:rPr>
                <w:b/>
                <w:sz w:val="24"/>
                <w:szCs w:val="24"/>
              </w:rPr>
              <w:t>N</w:t>
            </w:r>
          </w:p>
        </w:tc>
        <w:tc>
          <w:tcPr>
            <w:tcW w:w="984" w:type="dxa"/>
          </w:tcPr>
          <w:p w:rsidR="00AB765B" w:rsidRDefault="00E1257F">
            <w:pPr>
              <w:jc w:val="right"/>
              <w:rPr>
                <w:b/>
                <w:sz w:val="24"/>
                <w:szCs w:val="24"/>
              </w:rPr>
            </w:pPr>
            <w:r>
              <w:rPr>
                <w:b/>
                <w:sz w:val="24"/>
                <w:szCs w:val="24"/>
              </w:rPr>
              <w:t>Percent</w:t>
            </w:r>
          </w:p>
        </w:tc>
      </w:tr>
      <w:tr w:rsidR="002311D6">
        <w:tc>
          <w:tcPr>
            <w:tcW w:w="2904" w:type="dxa"/>
          </w:tcPr>
          <w:p w:rsidR="002311D6" w:rsidRDefault="002311D6" w:rsidP="002311D6">
            <w:pPr>
              <w:rPr>
                <w:sz w:val="24"/>
                <w:szCs w:val="24"/>
              </w:rPr>
            </w:pPr>
            <w:r>
              <w:rPr>
                <w:sz w:val="24"/>
                <w:szCs w:val="24"/>
              </w:rPr>
              <w:t>1</w:t>
            </w:r>
          </w:p>
        </w:tc>
        <w:tc>
          <w:tcPr>
            <w:tcW w:w="703" w:type="dxa"/>
          </w:tcPr>
          <w:p w:rsidR="002311D6" w:rsidRPr="00B051F9" w:rsidRDefault="002311D6" w:rsidP="002311D6">
            <w:r w:rsidRPr="00B051F9">
              <w:t>1194</w:t>
            </w:r>
          </w:p>
        </w:tc>
        <w:tc>
          <w:tcPr>
            <w:tcW w:w="984" w:type="dxa"/>
          </w:tcPr>
          <w:p w:rsidR="002311D6" w:rsidRDefault="00227C1B" w:rsidP="002311D6">
            <w:pPr>
              <w:jc w:val="right"/>
              <w:rPr>
                <w:sz w:val="24"/>
                <w:szCs w:val="24"/>
              </w:rPr>
            </w:pPr>
            <w:r>
              <w:rPr>
                <w:sz w:val="24"/>
                <w:szCs w:val="24"/>
              </w:rPr>
              <w:t>10.9</w:t>
            </w:r>
          </w:p>
        </w:tc>
      </w:tr>
      <w:tr w:rsidR="002311D6">
        <w:tc>
          <w:tcPr>
            <w:tcW w:w="2904" w:type="dxa"/>
          </w:tcPr>
          <w:p w:rsidR="002311D6" w:rsidRDefault="002311D6" w:rsidP="002311D6">
            <w:pPr>
              <w:rPr>
                <w:sz w:val="24"/>
                <w:szCs w:val="24"/>
              </w:rPr>
            </w:pPr>
            <w:r>
              <w:rPr>
                <w:sz w:val="24"/>
                <w:szCs w:val="24"/>
              </w:rPr>
              <w:t>2</w:t>
            </w:r>
          </w:p>
        </w:tc>
        <w:tc>
          <w:tcPr>
            <w:tcW w:w="703" w:type="dxa"/>
          </w:tcPr>
          <w:p w:rsidR="002311D6" w:rsidRPr="00B051F9" w:rsidRDefault="002311D6" w:rsidP="002311D6">
            <w:r w:rsidRPr="00B051F9">
              <w:t>1708</w:t>
            </w:r>
          </w:p>
        </w:tc>
        <w:tc>
          <w:tcPr>
            <w:tcW w:w="984" w:type="dxa"/>
          </w:tcPr>
          <w:p w:rsidR="002311D6" w:rsidRDefault="00227C1B" w:rsidP="002311D6">
            <w:pPr>
              <w:jc w:val="right"/>
              <w:rPr>
                <w:sz w:val="24"/>
                <w:szCs w:val="24"/>
              </w:rPr>
            </w:pPr>
            <w:r>
              <w:rPr>
                <w:sz w:val="24"/>
                <w:szCs w:val="24"/>
              </w:rPr>
              <w:t>15.5</w:t>
            </w:r>
          </w:p>
        </w:tc>
      </w:tr>
      <w:tr w:rsidR="002311D6">
        <w:tc>
          <w:tcPr>
            <w:tcW w:w="2904" w:type="dxa"/>
          </w:tcPr>
          <w:p w:rsidR="002311D6" w:rsidRDefault="002311D6" w:rsidP="002311D6">
            <w:pPr>
              <w:rPr>
                <w:sz w:val="24"/>
                <w:szCs w:val="24"/>
              </w:rPr>
            </w:pPr>
            <w:r>
              <w:rPr>
                <w:sz w:val="24"/>
                <w:szCs w:val="24"/>
              </w:rPr>
              <w:t>3</w:t>
            </w:r>
          </w:p>
        </w:tc>
        <w:tc>
          <w:tcPr>
            <w:tcW w:w="703" w:type="dxa"/>
          </w:tcPr>
          <w:p w:rsidR="002311D6" w:rsidRPr="00B051F9" w:rsidRDefault="002311D6" w:rsidP="002311D6">
            <w:r w:rsidRPr="00B051F9">
              <w:t>1489</w:t>
            </w:r>
          </w:p>
        </w:tc>
        <w:tc>
          <w:tcPr>
            <w:tcW w:w="984" w:type="dxa"/>
          </w:tcPr>
          <w:p w:rsidR="002311D6" w:rsidRDefault="00227C1B" w:rsidP="002311D6">
            <w:pPr>
              <w:jc w:val="right"/>
              <w:rPr>
                <w:sz w:val="24"/>
                <w:szCs w:val="24"/>
              </w:rPr>
            </w:pPr>
            <w:r>
              <w:rPr>
                <w:sz w:val="24"/>
                <w:szCs w:val="24"/>
              </w:rPr>
              <w:t>13.6</w:t>
            </w:r>
          </w:p>
        </w:tc>
      </w:tr>
      <w:tr w:rsidR="002311D6">
        <w:tc>
          <w:tcPr>
            <w:tcW w:w="2904" w:type="dxa"/>
          </w:tcPr>
          <w:p w:rsidR="002311D6" w:rsidRDefault="002311D6" w:rsidP="002311D6">
            <w:pPr>
              <w:rPr>
                <w:sz w:val="24"/>
                <w:szCs w:val="24"/>
              </w:rPr>
            </w:pPr>
            <w:r>
              <w:rPr>
                <w:sz w:val="24"/>
                <w:szCs w:val="24"/>
              </w:rPr>
              <w:t>4</w:t>
            </w:r>
          </w:p>
        </w:tc>
        <w:tc>
          <w:tcPr>
            <w:tcW w:w="703" w:type="dxa"/>
          </w:tcPr>
          <w:p w:rsidR="002311D6" w:rsidRDefault="002311D6" w:rsidP="002311D6">
            <w:r w:rsidRPr="00B051F9">
              <w:t>1576</w:t>
            </w:r>
          </w:p>
        </w:tc>
        <w:tc>
          <w:tcPr>
            <w:tcW w:w="984" w:type="dxa"/>
          </w:tcPr>
          <w:p w:rsidR="002311D6" w:rsidRDefault="00227C1B" w:rsidP="002311D6">
            <w:pPr>
              <w:jc w:val="right"/>
              <w:rPr>
                <w:sz w:val="24"/>
                <w:szCs w:val="24"/>
              </w:rPr>
            </w:pPr>
            <w:r>
              <w:rPr>
                <w:sz w:val="24"/>
                <w:szCs w:val="24"/>
              </w:rPr>
              <w:t>14.4</w:t>
            </w:r>
          </w:p>
        </w:tc>
      </w:tr>
      <w:tr w:rsidR="002311D6">
        <w:tc>
          <w:tcPr>
            <w:tcW w:w="2904" w:type="dxa"/>
          </w:tcPr>
          <w:p w:rsidR="002311D6" w:rsidRDefault="002311D6" w:rsidP="002311D6">
            <w:pPr>
              <w:rPr>
                <w:sz w:val="24"/>
                <w:szCs w:val="24"/>
              </w:rPr>
            </w:pPr>
            <w:r>
              <w:rPr>
                <w:sz w:val="24"/>
                <w:szCs w:val="24"/>
              </w:rPr>
              <w:t>5</w:t>
            </w:r>
          </w:p>
        </w:tc>
        <w:tc>
          <w:tcPr>
            <w:tcW w:w="703" w:type="dxa"/>
          </w:tcPr>
          <w:p w:rsidR="002311D6" w:rsidRPr="00B051F9" w:rsidRDefault="00DB3781" w:rsidP="002311D6">
            <w:r>
              <w:t>1028</w:t>
            </w:r>
          </w:p>
        </w:tc>
        <w:tc>
          <w:tcPr>
            <w:tcW w:w="984" w:type="dxa"/>
          </w:tcPr>
          <w:p w:rsidR="002311D6" w:rsidRDefault="00DB3781" w:rsidP="002311D6">
            <w:pPr>
              <w:jc w:val="right"/>
              <w:rPr>
                <w:sz w:val="24"/>
                <w:szCs w:val="24"/>
              </w:rPr>
            </w:pPr>
            <w:r>
              <w:rPr>
                <w:sz w:val="24"/>
                <w:szCs w:val="24"/>
              </w:rPr>
              <w:t>9.4</w:t>
            </w:r>
          </w:p>
        </w:tc>
      </w:tr>
      <w:tr w:rsidR="00AB765B">
        <w:tc>
          <w:tcPr>
            <w:tcW w:w="2904" w:type="dxa"/>
          </w:tcPr>
          <w:p w:rsidR="00AB765B" w:rsidRDefault="00E1257F">
            <w:pPr>
              <w:rPr>
                <w:sz w:val="24"/>
                <w:szCs w:val="24"/>
              </w:rPr>
            </w:pPr>
            <w:r>
              <w:rPr>
                <w:sz w:val="24"/>
                <w:szCs w:val="24"/>
              </w:rPr>
              <w:lastRenderedPageBreak/>
              <w:t>More than 5, please specify</w:t>
            </w:r>
          </w:p>
        </w:tc>
        <w:tc>
          <w:tcPr>
            <w:tcW w:w="703" w:type="dxa"/>
          </w:tcPr>
          <w:p w:rsidR="00AB765B" w:rsidRDefault="00DB3781">
            <w:pPr>
              <w:jc w:val="right"/>
              <w:rPr>
                <w:sz w:val="24"/>
                <w:szCs w:val="24"/>
              </w:rPr>
            </w:pPr>
            <w:r>
              <w:rPr>
                <w:sz w:val="24"/>
                <w:szCs w:val="24"/>
              </w:rPr>
              <w:t>995</w:t>
            </w:r>
          </w:p>
        </w:tc>
        <w:tc>
          <w:tcPr>
            <w:tcW w:w="984" w:type="dxa"/>
          </w:tcPr>
          <w:p w:rsidR="00AB765B" w:rsidRDefault="00EB5CD2">
            <w:pPr>
              <w:jc w:val="right"/>
              <w:rPr>
                <w:sz w:val="24"/>
                <w:szCs w:val="24"/>
              </w:rPr>
            </w:pPr>
            <w:r>
              <w:rPr>
                <w:sz w:val="24"/>
                <w:szCs w:val="24"/>
              </w:rPr>
              <w:t>9.1</w:t>
            </w:r>
          </w:p>
        </w:tc>
      </w:tr>
      <w:tr w:rsidR="00AB765B">
        <w:tc>
          <w:tcPr>
            <w:tcW w:w="2904" w:type="dxa"/>
          </w:tcPr>
          <w:p w:rsidR="00AB765B" w:rsidRDefault="00E1257F">
            <w:pPr>
              <w:rPr>
                <w:sz w:val="24"/>
                <w:szCs w:val="24"/>
              </w:rPr>
            </w:pPr>
            <w:r>
              <w:rPr>
                <w:sz w:val="24"/>
                <w:szCs w:val="24"/>
              </w:rPr>
              <w:t>Not Asked</w:t>
            </w:r>
          </w:p>
        </w:tc>
        <w:tc>
          <w:tcPr>
            <w:tcW w:w="703" w:type="dxa"/>
          </w:tcPr>
          <w:p w:rsidR="00AB765B" w:rsidRDefault="00BF6330">
            <w:pPr>
              <w:jc w:val="right"/>
              <w:rPr>
                <w:sz w:val="24"/>
                <w:szCs w:val="24"/>
              </w:rPr>
            </w:pPr>
            <w:r>
              <w:rPr>
                <w:sz w:val="24"/>
                <w:szCs w:val="24"/>
              </w:rPr>
              <w:t>2478</w:t>
            </w:r>
          </w:p>
        </w:tc>
        <w:tc>
          <w:tcPr>
            <w:tcW w:w="984" w:type="dxa"/>
          </w:tcPr>
          <w:p w:rsidR="00AB765B" w:rsidRDefault="00DB3781">
            <w:pPr>
              <w:jc w:val="right"/>
              <w:rPr>
                <w:sz w:val="24"/>
                <w:szCs w:val="24"/>
              </w:rPr>
            </w:pPr>
            <w:r>
              <w:rPr>
                <w:sz w:val="24"/>
                <w:szCs w:val="24"/>
              </w:rPr>
              <w:t>22.6</w:t>
            </w:r>
          </w:p>
        </w:tc>
      </w:tr>
      <w:tr w:rsidR="00AB765B">
        <w:tc>
          <w:tcPr>
            <w:tcW w:w="2904" w:type="dxa"/>
          </w:tcPr>
          <w:p w:rsidR="00AB765B" w:rsidRDefault="00E1257F">
            <w:pPr>
              <w:rPr>
                <w:sz w:val="24"/>
                <w:szCs w:val="24"/>
              </w:rPr>
            </w:pPr>
            <w:r>
              <w:rPr>
                <w:sz w:val="24"/>
                <w:szCs w:val="24"/>
              </w:rPr>
              <w:t>Prefer not to answer</w:t>
            </w:r>
          </w:p>
        </w:tc>
        <w:tc>
          <w:tcPr>
            <w:tcW w:w="703" w:type="dxa"/>
          </w:tcPr>
          <w:p w:rsidR="00AB765B" w:rsidRDefault="00227C1B">
            <w:pPr>
              <w:jc w:val="right"/>
              <w:rPr>
                <w:sz w:val="24"/>
                <w:szCs w:val="24"/>
              </w:rPr>
            </w:pPr>
            <w:r>
              <w:rPr>
                <w:sz w:val="24"/>
                <w:szCs w:val="24"/>
              </w:rPr>
              <w:t>510</w:t>
            </w:r>
          </w:p>
        </w:tc>
        <w:tc>
          <w:tcPr>
            <w:tcW w:w="984" w:type="dxa"/>
          </w:tcPr>
          <w:p w:rsidR="00AB765B" w:rsidRDefault="00DB3781">
            <w:pPr>
              <w:jc w:val="right"/>
              <w:rPr>
                <w:sz w:val="24"/>
                <w:szCs w:val="24"/>
              </w:rPr>
            </w:pPr>
            <w:r>
              <w:rPr>
                <w:sz w:val="24"/>
                <w:szCs w:val="24"/>
              </w:rPr>
              <w:t>4</w:t>
            </w:r>
            <w:r w:rsidR="00E1257F">
              <w:rPr>
                <w:sz w:val="24"/>
                <w:szCs w:val="24"/>
              </w:rPr>
              <w:t>.7</w:t>
            </w:r>
          </w:p>
        </w:tc>
      </w:tr>
    </w:tbl>
    <w:p w:rsidR="00AB765B" w:rsidRDefault="00AB765B"/>
    <w:p w:rsidR="00AB765B" w:rsidRDefault="00AB765B"/>
    <w:p w:rsidR="00AB765B" w:rsidRDefault="00E1257F">
      <w:pPr>
        <w:pStyle w:val="Heading2"/>
        <w:rPr>
          <w:rFonts w:ascii="Calibri" w:eastAsia="Calibri" w:hAnsi="Calibri" w:cs="Calibri"/>
        </w:rPr>
      </w:pPr>
      <w:r>
        <w:rPr>
          <w:rFonts w:ascii="Calibri" w:eastAsia="Calibri" w:hAnsi="Calibri" w:cs="Calibri"/>
        </w:rPr>
        <w:t xml:space="preserve">Definitions </w:t>
      </w:r>
    </w:p>
    <w:p w:rsidR="00AB765B" w:rsidRDefault="00E1257F">
      <w:pPr>
        <w:numPr>
          <w:ilvl w:val="0"/>
          <w:numId w:val="5"/>
        </w:numPr>
        <w:pBdr>
          <w:top w:val="nil"/>
          <w:left w:val="nil"/>
          <w:bottom w:val="nil"/>
          <w:right w:val="nil"/>
          <w:between w:val="nil"/>
        </w:pBdr>
        <w:rPr>
          <w:b/>
          <w:color w:val="000000"/>
        </w:rPr>
      </w:pPr>
      <w:r>
        <w:rPr>
          <w:b/>
          <w:color w:val="000000"/>
        </w:rPr>
        <w:t>Cases:</w:t>
      </w:r>
      <w:r>
        <w:rPr>
          <w:color w:val="000000"/>
        </w:rPr>
        <w:t xml:space="preserve"> Includes both confirmed and probable COVID-19 cases reported to Toronto Public Health</w:t>
      </w:r>
    </w:p>
    <w:p w:rsidR="00AB765B" w:rsidRDefault="00E1257F">
      <w:pPr>
        <w:numPr>
          <w:ilvl w:val="0"/>
          <w:numId w:val="5"/>
        </w:numPr>
        <w:pBdr>
          <w:top w:val="nil"/>
          <w:left w:val="nil"/>
          <w:bottom w:val="nil"/>
          <w:right w:val="nil"/>
          <w:between w:val="nil"/>
        </w:pBdr>
        <w:rPr>
          <w:color w:val="000000"/>
        </w:rPr>
      </w:pPr>
      <w:r>
        <w:rPr>
          <w:b/>
          <w:color w:val="000000"/>
        </w:rPr>
        <w:t>Classification date</w:t>
      </w:r>
      <w:r>
        <w:rPr>
          <w:color w:val="000000"/>
        </w:rPr>
        <w:t>: The date on which a decision is made to classify the case with the selected classification value (e.g. the date on which a case was determined to be 'confirmed')</w:t>
      </w:r>
    </w:p>
    <w:p w:rsidR="00AB765B" w:rsidRDefault="00E1257F">
      <w:pPr>
        <w:numPr>
          <w:ilvl w:val="0"/>
          <w:numId w:val="5"/>
        </w:numPr>
        <w:pBdr>
          <w:top w:val="nil"/>
          <w:left w:val="nil"/>
          <w:bottom w:val="nil"/>
          <w:right w:val="nil"/>
          <w:between w:val="nil"/>
        </w:pBdr>
        <w:rPr>
          <w:b/>
          <w:color w:val="000000"/>
        </w:rPr>
      </w:pPr>
      <w:r>
        <w:rPr>
          <w:b/>
          <w:color w:val="000000"/>
        </w:rPr>
        <w:t xml:space="preserve">CORES: </w:t>
      </w:r>
      <w:r>
        <w:rPr>
          <w:color w:val="000000"/>
        </w:rPr>
        <w:t>COVID-19 Rapid Entry System. TPH's in-house tool for collecting data on COVID-19 cases. It was developed to complement data entry in iPHIS. The questions ethno-racial identity and income were added on May 20</w:t>
      </w:r>
      <w:r>
        <w:rPr>
          <w:color w:val="000000"/>
          <w:vertAlign w:val="superscript"/>
        </w:rPr>
        <w:t>th</w:t>
      </w:r>
      <w:r>
        <w:rPr>
          <w:color w:val="000000"/>
        </w:rPr>
        <w:t>, 2020.</w:t>
      </w:r>
    </w:p>
    <w:p w:rsidR="00AB765B" w:rsidRDefault="00E1257F">
      <w:pPr>
        <w:numPr>
          <w:ilvl w:val="0"/>
          <w:numId w:val="5"/>
        </w:numPr>
        <w:pBdr>
          <w:top w:val="nil"/>
          <w:left w:val="nil"/>
          <w:bottom w:val="nil"/>
          <w:right w:val="nil"/>
          <w:between w:val="nil"/>
        </w:pBdr>
        <w:rPr>
          <w:color w:val="000000"/>
        </w:rPr>
      </w:pPr>
      <w:r>
        <w:rPr>
          <w:b/>
          <w:color w:val="000000"/>
        </w:rPr>
        <w:t>Disposition</w:t>
      </w:r>
      <w:r>
        <w:rPr>
          <w:color w:val="000000"/>
        </w:rPr>
        <w:t>: Value reflecting the current state of the investigation (pending, complete, lost-to-follow-up, untraceable, duplicate, does not meet definition, entered in error)</w:t>
      </w:r>
    </w:p>
    <w:p w:rsidR="00AB765B" w:rsidRDefault="00E1257F">
      <w:pPr>
        <w:numPr>
          <w:ilvl w:val="0"/>
          <w:numId w:val="5"/>
        </w:numPr>
        <w:pBdr>
          <w:top w:val="nil"/>
          <w:left w:val="nil"/>
          <w:bottom w:val="nil"/>
          <w:right w:val="nil"/>
          <w:between w:val="nil"/>
        </w:pBdr>
        <w:rPr>
          <w:color w:val="000000"/>
        </w:rPr>
      </w:pPr>
      <w:r>
        <w:rPr>
          <w:b/>
          <w:color w:val="000000"/>
        </w:rPr>
        <w:t>Exposure:</w:t>
      </w:r>
      <w:r>
        <w:rPr>
          <w:color w:val="000000"/>
        </w:rPr>
        <w:t xml:space="preserve"> The most likely way that cases acquired their COVID-19 infection. Only the most likely exposure for each case is reported. Exposures that occurred up to 14 days before symptoms start are potential acquisition sources, and can include:  </w:t>
      </w:r>
    </w:p>
    <w:p w:rsidR="00AB765B" w:rsidRDefault="00E1257F">
      <w:pPr>
        <w:numPr>
          <w:ilvl w:val="1"/>
          <w:numId w:val="5"/>
        </w:numPr>
        <w:pBdr>
          <w:top w:val="nil"/>
          <w:left w:val="nil"/>
          <w:bottom w:val="nil"/>
          <w:right w:val="nil"/>
          <w:between w:val="nil"/>
        </w:pBdr>
        <w:rPr>
          <w:color w:val="000000"/>
        </w:rPr>
      </w:pPr>
      <w:r>
        <w:rPr>
          <w:color w:val="000000"/>
        </w:rPr>
        <w:t>Travel: Travel outside of Ontario.</w:t>
      </w:r>
    </w:p>
    <w:p w:rsidR="00AB765B" w:rsidRDefault="00E1257F">
      <w:pPr>
        <w:numPr>
          <w:ilvl w:val="1"/>
          <w:numId w:val="5"/>
        </w:numPr>
        <w:pBdr>
          <w:top w:val="nil"/>
          <w:left w:val="nil"/>
          <w:bottom w:val="nil"/>
          <w:right w:val="nil"/>
          <w:between w:val="nil"/>
        </w:pBdr>
        <w:rPr>
          <w:color w:val="000000"/>
        </w:rPr>
      </w:pPr>
      <w:r>
        <w:rPr>
          <w:color w:val="000000"/>
        </w:rPr>
        <w:t>Close contact with a case: Was in close contact with a confirmed or probable COVID-19 case (e.g. reside in the same household)</w:t>
      </w:r>
      <w:proofErr w:type="gramStart"/>
      <w:r>
        <w:rPr>
          <w:color w:val="000000"/>
        </w:rPr>
        <w:t>.</w:t>
      </w:r>
      <w:proofErr w:type="gramEnd"/>
    </w:p>
    <w:p w:rsidR="00AB765B" w:rsidRDefault="00E1257F">
      <w:pPr>
        <w:numPr>
          <w:ilvl w:val="1"/>
          <w:numId w:val="5"/>
        </w:numPr>
        <w:pBdr>
          <w:top w:val="nil"/>
          <w:left w:val="nil"/>
          <w:bottom w:val="nil"/>
          <w:right w:val="nil"/>
          <w:between w:val="nil"/>
        </w:pBdr>
        <w:rPr>
          <w:color w:val="000000"/>
        </w:rPr>
      </w:pPr>
      <w:r>
        <w:rPr>
          <w:color w:val="000000"/>
        </w:rPr>
        <w:t xml:space="preserve">Institutional setting: Institutional settings includes, but not limited to: long-term care homes, acute care hospitals, complex case hospitals, special care facilities, retirement homes, rehabilitation hospitals.  </w:t>
      </w:r>
    </w:p>
    <w:p w:rsidR="00AB765B" w:rsidRDefault="00E1257F">
      <w:pPr>
        <w:numPr>
          <w:ilvl w:val="1"/>
          <w:numId w:val="5"/>
        </w:numPr>
        <w:pBdr>
          <w:top w:val="nil"/>
          <w:left w:val="nil"/>
          <w:bottom w:val="nil"/>
          <w:right w:val="nil"/>
          <w:between w:val="nil"/>
        </w:pBdr>
        <w:rPr>
          <w:color w:val="000000"/>
        </w:rPr>
      </w:pPr>
      <w:r>
        <w:rPr>
          <w:color w:val="000000"/>
        </w:rPr>
        <w:t xml:space="preserve">Healthcare setting: Healthcare settings includes, but not limited to: family physician, dentist, ophthalmologist, sports doctor.     </w:t>
      </w:r>
    </w:p>
    <w:p w:rsidR="00AB765B" w:rsidRDefault="00E1257F">
      <w:pPr>
        <w:numPr>
          <w:ilvl w:val="1"/>
          <w:numId w:val="5"/>
        </w:numPr>
        <w:pBdr>
          <w:top w:val="nil"/>
          <w:left w:val="nil"/>
          <w:bottom w:val="nil"/>
          <w:right w:val="nil"/>
          <w:between w:val="nil"/>
        </w:pBdr>
        <w:rPr>
          <w:color w:val="000000"/>
        </w:rPr>
      </w:pPr>
      <w:r>
        <w:rPr>
          <w:color w:val="000000"/>
        </w:rPr>
        <w:t xml:space="preserve">Community: Cases with no reported travel outside of Ontario, no known close contact with a COVID-19 case, and no reported infection acquired in an institutional or healthcare setting.  </w:t>
      </w:r>
    </w:p>
    <w:p w:rsidR="00AB765B" w:rsidRDefault="00E1257F">
      <w:pPr>
        <w:numPr>
          <w:ilvl w:val="0"/>
          <w:numId w:val="5"/>
        </w:numPr>
        <w:pBdr>
          <w:top w:val="nil"/>
          <w:left w:val="nil"/>
          <w:bottom w:val="nil"/>
          <w:right w:val="nil"/>
          <w:between w:val="nil"/>
        </w:pBdr>
        <w:rPr>
          <w:b/>
          <w:color w:val="000000"/>
        </w:rPr>
      </w:pPr>
      <w:proofErr w:type="gramStart"/>
      <w:r>
        <w:rPr>
          <w:b/>
          <w:color w:val="000000"/>
        </w:rPr>
        <w:t>iPHIS</w:t>
      </w:r>
      <w:proofErr w:type="gramEnd"/>
      <w:r>
        <w:rPr>
          <w:b/>
          <w:color w:val="000000"/>
        </w:rPr>
        <w:t>:</w:t>
      </w:r>
      <w:r>
        <w:rPr>
          <w:color w:val="000000"/>
        </w:rPr>
        <w:t xml:space="preserve"> integrated Public Health Information System. Tool used by TPH to collect data on COVID-19 cases prior to the introduction of CORES.</w:t>
      </w:r>
    </w:p>
    <w:p w:rsidR="00AB765B" w:rsidRDefault="00E1257F">
      <w:pPr>
        <w:numPr>
          <w:ilvl w:val="0"/>
          <w:numId w:val="5"/>
        </w:numPr>
        <w:pBdr>
          <w:top w:val="nil"/>
          <w:left w:val="nil"/>
          <w:bottom w:val="nil"/>
          <w:right w:val="nil"/>
          <w:between w:val="nil"/>
        </w:pBdr>
        <w:rPr>
          <w:color w:val="000000"/>
        </w:rPr>
      </w:pPr>
      <w:r>
        <w:rPr>
          <w:b/>
          <w:color w:val="000000"/>
        </w:rPr>
        <w:t>Outbreak cases</w:t>
      </w:r>
      <w:r>
        <w:rPr>
          <w:color w:val="000000"/>
        </w:rPr>
        <w:t>: Outbreak associated cases include persons with COVID-19 within a defined group or setting.  For the purpose of this analysis, they would refer to healthcare setting (e.g. hospitals) and residential or congregate settings (e.g., homeless shelters, group homes). They can also be in workplaces and other settings.</w:t>
      </w:r>
    </w:p>
    <w:p w:rsidR="00AB765B" w:rsidRDefault="00E1257F">
      <w:pPr>
        <w:numPr>
          <w:ilvl w:val="0"/>
          <w:numId w:val="5"/>
        </w:numPr>
        <w:pBdr>
          <w:top w:val="nil"/>
          <w:left w:val="nil"/>
          <w:bottom w:val="nil"/>
          <w:right w:val="nil"/>
          <w:between w:val="nil"/>
        </w:pBdr>
        <w:rPr>
          <w:color w:val="000000"/>
        </w:rPr>
      </w:pPr>
      <w:r>
        <w:rPr>
          <w:b/>
          <w:color w:val="000000"/>
        </w:rPr>
        <w:t>Reported date</w:t>
      </w:r>
      <w:r>
        <w:rPr>
          <w:color w:val="000000"/>
        </w:rPr>
        <w:t>:  The date on which the case was reported to the health unit. When the case is reported by a laboratory, this is the date on which the result was received, and may be later than the test reported date if the test result was reported outside of business hours.</w:t>
      </w:r>
    </w:p>
    <w:p w:rsidR="00AB765B" w:rsidRDefault="00E1257F">
      <w:pPr>
        <w:numPr>
          <w:ilvl w:val="0"/>
          <w:numId w:val="5"/>
        </w:numPr>
        <w:pBdr>
          <w:top w:val="nil"/>
          <w:left w:val="nil"/>
          <w:bottom w:val="nil"/>
          <w:right w:val="nil"/>
          <w:between w:val="nil"/>
        </w:pBdr>
        <w:rPr>
          <w:color w:val="000000"/>
        </w:rPr>
      </w:pPr>
      <w:r>
        <w:rPr>
          <w:b/>
          <w:color w:val="000000"/>
        </w:rPr>
        <w:t>Severe cases</w:t>
      </w:r>
      <w:r>
        <w:rPr>
          <w:color w:val="000000"/>
        </w:rPr>
        <w:t>: Cases who were hospitalized (including those who had been admitted to ICU, intubated) or were deceased were flagged as severe.</w:t>
      </w:r>
    </w:p>
    <w:p w:rsidR="00AB765B" w:rsidRDefault="00E1257F">
      <w:pPr>
        <w:numPr>
          <w:ilvl w:val="0"/>
          <w:numId w:val="5"/>
        </w:numPr>
        <w:pBdr>
          <w:top w:val="nil"/>
          <w:left w:val="nil"/>
          <w:bottom w:val="nil"/>
          <w:right w:val="nil"/>
          <w:between w:val="nil"/>
        </w:pBdr>
        <w:rPr>
          <w:color w:val="000000"/>
        </w:rPr>
      </w:pPr>
      <w:r>
        <w:rPr>
          <w:b/>
          <w:color w:val="000000"/>
        </w:rPr>
        <w:t>Sporadic cases</w:t>
      </w:r>
      <w:r>
        <w:rPr>
          <w:color w:val="000000"/>
        </w:rPr>
        <w:t>: Sporadic cases (as contrasted to outbreak cases) refer to all other cases in members of the general population.</w:t>
      </w:r>
    </w:p>
    <w:p w:rsidR="00AB765B" w:rsidRDefault="00AB765B"/>
    <w:p w:rsidR="00AB765B" w:rsidRDefault="00E1257F">
      <w:r>
        <w:t xml:space="preserve">For more information on the data or if you need help with interpreting this document, please contact us at </w:t>
      </w:r>
      <w:hyperlink r:id="rId9">
        <w:r>
          <w:rPr>
            <w:color w:val="0563C1"/>
            <w:u w:val="single"/>
          </w:rPr>
          <w:t>seu@toronto.ca</w:t>
        </w:r>
      </w:hyperlink>
      <w:r>
        <w:t xml:space="preserve"> or 416-338-7600.</w:t>
      </w:r>
    </w:p>
    <w:p w:rsidR="00AB765B" w:rsidRDefault="00AB765B"/>
    <w:p w:rsidR="00AB765B" w:rsidRDefault="00E1257F">
      <w:pPr>
        <w:pStyle w:val="Heading2"/>
        <w:rPr>
          <w:rFonts w:ascii="Calibri" w:eastAsia="Calibri" w:hAnsi="Calibri" w:cs="Calibri"/>
        </w:rPr>
      </w:pPr>
      <w:r>
        <w:rPr>
          <w:rFonts w:ascii="Calibri" w:eastAsia="Calibri" w:hAnsi="Calibri" w:cs="Calibri"/>
        </w:rPr>
        <w:t>Acknowledgement</w:t>
      </w:r>
    </w:p>
    <w:p w:rsidR="00AB765B" w:rsidRDefault="00E1257F">
      <w:r>
        <w:t>We would like to acknowledge the Wellesley Institute for their helpful advice and input on interpreting and presenting the findings.</w:t>
      </w:r>
    </w:p>
    <w:p w:rsidR="00AB765B" w:rsidRDefault="00AB765B">
      <w:pPr>
        <w:pBdr>
          <w:top w:val="nil"/>
          <w:left w:val="nil"/>
          <w:bottom w:val="nil"/>
          <w:right w:val="nil"/>
          <w:between w:val="nil"/>
        </w:pBdr>
        <w:ind w:left="405"/>
        <w:rPr>
          <w:color w:val="000000"/>
        </w:rPr>
      </w:pPr>
    </w:p>
    <w:sectPr w:rsidR="00AB765B">
      <w:footerReference w:type="default" r:id="rId10"/>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949" w:rsidRDefault="001A5949">
      <w:r>
        <w:separator/>
      </w:r>
    </w:p>
  </w:endnote>
  <w:endnote w:type="continuationSeparator" w:id="0">
    <w:p w:rsidR="001A5949" w:rsidRDefault="001A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949" w:rsidRDefault="001A594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20056">
      <w:rPr>
        <w:noProof/>
        <w:color w:val="000000"/>
      </w:rPr>
      <w:t>8</w:t>
    </w:r>
    <w:r>
      <w:rPr>
        <w:color w:val="000000"/>
      </w:rPr>
      <w:fldChar w:fldCharType="end"/>
    </w:r>
  </w:p>
  <w:p w:rsidR="001A5949" w:rsidRDefault="001A594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949" w:rsidRDefault="001A5949">
      <w:r>
        <w:separator/>
      </w:r>
    </w:p>
  </w:footnote>
  <w:footnote w:type="continuationSeparator" w:id="0">
    <w:p w:rsidR="001A5949" w:rsidRDefault="001A5949">
      <w:r>
        <w:continuationSeparator/>
      </w:r>
    </w:p>
  </w:footnote>
  <w:footnote w:id="1">
    <w:p w:rsidR="001A5949" w:rsidRDefault="001A5949">
      <w:pPr>
        <w:pBdr>
          <w:top w:val="nil"/>
          <w:left w:val="nil"/>
          <w:bottom w:val="nil"/>
          <w:right w:val="nil"/>
          <w:between w:val="nil"/>
        </w:pBdr>
        <w:rPr>
          <w:color w:val="000000"/>
          <w:sz w:val="18"/>
          <w:szCs w:val="18"/>
        </w:rPr>
      </w:pPr>
      <w:r>
        <w:rPr>
          <w:rStyle w:val="FootnoteReference"/>
        </w:rPr>
        <w:footnoteRef/>
      </w:r>
      <w:r>
        <w:rPr>
          <w:color w:val="000000"/>
          <w:sz w:val="20"/>
          <w:szCs w:val="20"/>
        </w:rPr>
        <w:t xml:space="preserve"> </w:t>
      </w:r>
      <w:r>
        <w:rPr>
          <w:color w:val="000000"/>
          <w:sz w:val="18"/>
          <w:szCs w:val="18"/>
        </w:rPr>
        <w:t>Census data on ethno-racial groups was obtained from Statistics Canada, 2016 Census of Canada</w:t>
      </w:r>
    </w:p>
  </w:footnote>
  <w:footnote w:id="2">
    <w:p w:rsidR="001A5949" w:rsidRDefault="001A5949">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sidRPr="00376298">
        <w:rPr>
          <w:color w:val="000000"/>
          <w:sz w:val="18"/>
          <w:szCs w:val="18"/>
        </w:rPr>
        <w:t>Census data on income groups was obtained from a customized data request to the Statistics Canada</w:t>
      </w:r>
    </w:p>
  </w:footnote>
  <w:footnote w:id="3">
    <w:p w:rsidR="001A5949" w:rsidRDefault="001A5949">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Census data for counts on Indigenous identity was accessed from the Household &amp; Family TGP of the Aboriginal identity population, 2016 Census, Target Group Profiles.</w:t>
      </w:r>
    </w:p>
  </w:footnote>
  <w:footnote w:id="4">
    <w:p w:rsidR="001A5949" w:rsidRDefault="001A5949">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914FE"/>
    <w:multiLevelType w:val="multilevel"/>
    <w:tmpl w:val="042A06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ED5078"/>
    <w:multiLevelType w:val="multilevel"/>
    <w:tmpl w:val="C9D8F0A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EEC18E3"/>
    <w:multiLevelType w:val="multilevel"/>
    <w:tmpl w:val="D458F3FA"/>
    <w:lvl w:ilvl="0">
      <w:start w:val="1"/>
      <w:numFmt w:val="bullet"/>
      <w:lvlText w:val="-"/>
      <w:lvlJc w:val="left"/>
      <w:pPr>
        <w:ind w:left="405" w:hanging="360"/>
      </w:pPr>
      <w:rPr>
        <w:rFonts w:ascii="Calibri" w:eastAsia="Calibri" w:hAnsi="Calibri" w:cs="Calibri"/>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56C50AC7"/>
    <w:multiLevelType w:val="multilevel"/>
    <w:tmpl w:val="3A3C58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AD15CB9"/>
    <w:multiLevelType w:val="multilevel"/>
    <w:tmpl w:val="EB887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620391"/>
    <w:multiLevelType w:val="multilevel"/>
    <w:tmpl w:val="F8DE22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0F45B2"/>
    <w:multiLevelType w:val="multilevel"/>
    <w:tmpl w:val="1838A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1052A5A"/>
    <w:multiLevelType w:val="multilevel"/>
    <w:tmpl w:val="D9F88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F46C63"/>
    <w:multiLevelType w:val="multilevel"/>
    <w:tmpl w:val="D55CCD6C"/>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5B"/>
    <w:rsid w:val="00020AC8"/>
    <w:rsid w:val="00063E09"/>
    <w:rsid w:val="000822B0"/>
    <w:rsid w:val="0010726E"/>
    <w:rsid w:val="00160B55"/>
    <w:rsid w:val="001739D3"/>
    <w:rsid w:val="00176FBC"/>
    <w:rsid w:val="001A5949"/>
    <w:rsid w:val="001B032B"/>
    <w:rsid w:val="001B49F2"/>
    <w:rsid w:val="001D0890"/>
    <w:rsid w:val="00227C1B"/>
    <w:rsid w:val="002311D6"/>
    <w:rsid w:val="00243993"/>
    <w:rsid w:val="00251BCF"/>
    <w:rsid w:val="0026424F"/>
    <w:rsid w:val="002837D1"/>
    <w:rsid w:val="002B5EB4"/>
    <w:rsid w:val="002D234B"/>
    <w:rsid w:val="0035567D"/>
    <w:rsid w:val="00376298"/>
    <w:rsid w:val="00420056"/>
    <w:rsid w:val="00461996"/>
    <w:rsid w:val="0048446B"/>
    <w:rsid w:val="005F6C38"/>
    <w:rsid w:val="00650C95"/>
    <w:rsid w:val="00654298"/>
    <w:rsid w:val="00677C29"/>
    <w:rsid w:val="00707199"/>
    <w:rsid w:val="00760A06"/>
    <w:rsid w:val="00785749"/>
    <w:rsid w:val="00794F21"/>
    <w:rsid w:val="007D1830"/>
    <w:rsid w:val="00804C3C"/>
    <w:rsid w:val="00831E81"/>
    <w:rsid w:val="008805A7"/>
    <w:rsid w:val="00884871"/>
    <w:rsid w:val="008D480B"/>
    <w:rsid w:val="00907ADE"/>
    <w:rsid w:val="00924F7D"/>
    <w:rsid w:val="009416F2"/>
    <w:rsid w:val="00943065"/>
    <w:rsid w:val="009648BA"/>
    <w:rsid w:val="00995046"/>
    <w:rsid w:val="009D0229"/>
    <w:rsid w:val="009D4C9E"/>
    <w:rsid w:val="009D7BED"/>
    <w:rsid w:val="00A013C8"/>
    <w:rsid w:val="00A116BA"/>
    <w:rsid w:val="00A37FED"/>
    <w:rsid w:val="00A61003"/>
    <w:rsid w:val="00AA031A"/>
    <w:rsid w:val="00AA6F6B"/>
    <w:rsid w:val="00AB765B"/>
    <w:rsid w:val="00AF14BB"/>
    <w:rsid w:val="00AF195B"/>
    <w:rsid w:val="00AF5287"/>
    <w:rsid w:val="00BB2173"/>
    <w:rsid w:val="00BE433B"/>
    <w:rsid w:val="00BF6330"/>
    <w:rsid w:val="00C3230C"/>
    <w:rsid w:val="00C40A7C"/>
    <w:rsid w:val="00C5334A"/>
    <w:rsid w:val="00CD1BE5"/>
    <w:rsid w:val="00CE0262"/>
    <w:rsid w:val="00CF190A"/>
    <w:rsid w:val="00D023DB"/>
    <w:rsid w:val="00D12FEB"/>
    <w:rsid w:val="00D247D7"/>
    <w:rsid w:val="00D65936"/>
    <w:rsid w:val="00D74EBB"/>
    <w:rsid w:val="00DA0781"/>
    <w:rsid w:val="00DA593D"/>
    <w:rsid w:val="00DB3781"/>
    <w:rsid w:val="00DC5BE4"/>
    <w:rsid w:val="00DD7860"/>
    <w:rsid w:val="00E1257F"/>
    <w:rsid w:val="00E33085"/>
    <w:rsid w:val="00EA439A"/>
    <w:rsid w:val="00EB5CD2"/>
    <w:rsid w:val="00EE4118"/>
    <w:rsid w:val="00EF2AE1"/>
    <w:rsid w:val="00F31837"/>
    <w:rsid w:val="00F77F8D"/>
    <w:rsid w:val="00FB3189"/>
    <w:rsid w:val="00FD1D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51D38-CBB0-4577-BB33-9715B4B8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AE2"/>
  </w:style>
  <w:style w:type="paragraph" w:styleId="Heading1">
    <w:name w:val="heading 1"/>
    <w:basedOn w:val="Normal"/>
    <w:next w:val="Normal"/>
    <w:link w:val="Heading1Char"/>
    <w:uiPriority w:val="9"/>
    <w:qFormat/>
    <w:rsid w:val="00CB572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9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8C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43AE2"/>
    <w:pPr>
      <w:ind w:left="720"/>
    </w:pPr>
  </w:style>
  <w:style w:type="character" w:customStyle="1" w:styleId="Heading1Char">
    <w:name w:val="Heading 1 Char"/>
    <w:basedOn w:val="DefaultParagraphFont"/>
    <w:link w:val="Heading1"/>
    <w:uiPriority w:val="9"/>
    <w:rsid w:val="00CB57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91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60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0AB0"/>
    <w:rPr>
      <w:sz w:val="16"/>
      <w:szCs w:val="16"/>
    </w:rPr>
  </w:style>
  <w:style w:type="paragraph" w:styleId="CommentText">
    <w:name w:val="annotation text"/>
    <w:basedOn w:val="Normal"/>
    <w:link w:val="CommentTextChar"/>
    <w:uiPriority w:val="99"/>
    <w:semiHidden/>
    <w:unhideWhenUsed/>
    <w:rsid w:val="00970AB0"/>
    <w:rPr>
      <w:sz w:val="20"/>
      <w:szCs w:val="20"/>
    </w:rPr>
  </w:style>
  <w:style w:type="character" w:customStyle="1" w:styleId="CommentTextChar">
    <w:name w:val="Comment Text Char"/>
    <w:basedOn w:val="DefaultParagraphFont"/>
    <w:link w:val="CommentText"/>
    <w:uiPriority w:val="99"/>
    <w:semiHidden/>
    <w:rsid w:val="00970AB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970AB0"/>
    <w:rPr>
      <w:b/>
      <w:bCs/>
    </w:rPr>
  </w:style>
  <w:style w:type="character" w:customStyle="1" w:styleId="CommentSubjectChar">
    <w:name w:val="Comment Subject Char"/>
    <w:basedOn w:val="CommentTextChar"/>
    <w:link w:val="CommentSubject"/>
    <w:uiPriority w:val="99"/>
    <w:semiHidden/>
    <w:rsid w:val="00970AB0"/>
    <w:rPr>
      <w:rFonts w:ascii="Calibri" w:hAnsi="Calibri" w:cs="Calibri"/>
      <w:b/>
      <w:bCs/>
      <w:sz w:val="20"/>
      <w:szCs w:val="20"/>
    </w:rPr>
  </w:style>
  <w:style w:type="paragraph" w:styleId="BalloonText">
    <w:name w:val="Balloon Text"/>
    <w:basedOn w:val="Normal"/>
    <w:link w:val="BalloonTextChar"/>
    <w:uiPriority w:val="99"/>
    <w:semiHidden/>
    <w:unhideWhenUsed/>
    <w:rsid w:val="00970A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AB0"/>
    <w:rPr>
      <w:rFonts w:ascii="Segoe UI" w:hAnsi="Segoe UI" w:cs="Segoe UI"/>
      <w:sz w:val="18"/>
      <w:szCs w:val="18"/>
    </w:rPr>
  </w:style>
  <w:style w:type="paragraph" w:styleId="Header">
    <w:name w:val="header"/>
    <w:basedOn w:val="Normal"/>
    <w:link w:val="HeaderChar"/>
    <w:uiPriority w:val="99"/>
    <w:unhideWhenUsed/>
    <w:rsid w:val="006B43AE"/>
    <w:pPr>
      <w:tabs>
        <w:tab w:val="center" w:pos="4680"/>
        <w:tab w:val="right" w:pos="9360"/>
      </w:tabs>
    </w:pPr>
  </w:style>
  <w:style w:type="character" w:customStyle="1" w:styleId="HeaderChar">
    <w:name w:val="Header Char"/>
    <w:basedOn w:val="DefaultParagraphFont"/>
    <w:link w:val="Header"/>
    <w:uiPriority w:val="99"/>
    <w:rsid w:val="006B43AE"/>
    <w:rPr>
      <w:rFonts w:ascii="Calibri" w:hAnsi="Calibri" w:cs="Calibri"/>
    </w:rPr>
  </w:style>
  <w:style w:type="paragraph" w:styleId="Footer">
    <w:name w:val="footer"/>
    <w:basedOn w:val="Normal"/>
    <w:link w:val="FooterChar"/>
    <w:uiPriority w:val="99"/>
    <w:unhideWhenUsed/>
    <w:rsid w:val="006B43AE"/>
    <w:pPr>
      <w:tabs>
        <w:tab w:val="center" w:pos="4680"/>
        <w:tab w:val="right" w:pos="9360"/>
      </w:tabs>
    </w:pPr>
  </w:style>
  <w:style w:type="character" w:customStyle="1" w:styleId="FooterChar">
    <w:name w:val="Footer Char"/>
    <w:basedOn w:val="DefaultParagraphFont"/>
    <w:link w:val="Footer"/>
    <w:uiPriority w:val="99"/>
    <w:rsid w:val="006B43AE"/>
    <w:rPr>
      <w:rFonts w:ascii="Calibri" w:hAnsi="Calibri" w:cs="Calibri"/>
    </w:rPr>
  </w:style>
  <w:style w:type="character" w:customStyle="1" w:styleId="Heading3Char">
    <w:name w:val="Heading 3 Char"/>
    <w:basedOn w:val="DefaultParagraphFont"/>
    <w:link w:val="Heading3"/>
    <w:uiPriority w:val="9"/>
    <w:rsid w:val="003258C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2364E"/>
    <w:rPr>
      <w:color w:val="0563C1" w:themeColor="hyperlink"/>
      <w:u w:val="single"/>
    </w:rPr>
  </w:style>
  <w:style w:type="paragraph" w:styleId="FootnoteText">
    <w:name w:val="footnote text"/>
    <w:basedOn w:val="Normal"/>
    <w:link w:val="FootnoteTextChar"/>
    <w:uiPriority w:val="99"/>
    <w:semiHidden/>
    <w:unhideWhenUsed/>
    <w:rsid w:val="00F14866"/>
    <w:rPr>
      <w:sz w:val="20"/>
      <w:szCs w:val="20"/>
    </w:rPr>
  </w:style>
  <w:style w:type="character" w:customStyle="1" w:styleId="FootnoteTextChar">
    <w:name w:val="Footnote Text Char"/>
    <w:basedOn w:val="DefaultParagraphFont"/>
    <w:link w:val="FootnoteText"/>
    <w:uiPriority w:val="99"/>
    <w:semiHidden/>
    <w:rsid w:val="00F14866"/>
    <w:rPr>
      <w:rFonts w:ascii="Calibri" w:hAnsi="Calibri" w:cs="Calibri"/>
      <w:sz w:val="20"/>
      <w:szCs w:val="20"/>
    </w:rPr>
  </w:style>
  <w:style w:type="character" w:styleId="FootnoteReference">
    <w:name w:val="footnote reference"/>
    <w:basedOn w:val="DefaultParagraphFont"/>
    <w:uiPriority w:val="99"/>
    <w:semiHidden/>
    <w:unhideWhenUsed/>
    <w:rsid w:val="00F14866"/>
    <w:rPr>
      <w:vertAlign w:val="superscript"/>
    </w:rPr>
  </w:style>
  <w:style w:type="paragraph" w:styleId="Revision">
    <w:name w:val="Revision"/>
    <w:hidden/>
    <w:uiPriority w:val="99"/>
    <w:semiHidden/>
    <w:rsid w:val="00224C7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se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Asevph/60A4dx2vbWnf/LlftKA==">AMUW2mUX6s4UkZjAoPWtnlwBr9Cp2gJrtyTzQ4JlTZr+LdyiQ0cxkcJXkKzWObe8SOlbp8vNN+E+26/RdWmUezuIA0DqIM7Q1s4gEv3SUVjEfx/QLl7kIjYfdsecwbyy+NlXl+ZzL+Zr</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D073DF5-9AE3-4074-A1AC-26CBA63E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8</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18344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Corson</dc:creator>
  <cp:lastModifiedBy>Heather Rilkoff</cp:lastModifiedBy>
  <cp:revision>33</cp:revision>
  <dcterms:created xsi:type="dcterms:W3CDTF">2020-10-27T00:30:00Z</dcterms:created>
  <dcterms:modified xsi:type="dcterms:W3CDTF">2020-11-06T16:10:00Z</dcterms:modified>
</cp:coreProperties>
</file>