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0B2" w:rsidRPr="00B00748" w:rsidRDefault="00EB43DA" w:rsidP="00580EAD">
      <w:pPr>
        <w:spacing w:after="0" w:line="240" w:lineRule="auto"/>
        <w:rPr>
          <w:rFonts w:asciiTheme="majorHAnsi" w:hAnsiTheme="majorHAnsi" w:cstheme="majorHAnsi"/>
          <w:sz w:val="28"/>
          <w:szCs w:val="24"/>
        </w:rPr>
      </w:pPr>
      <w:bookmarkStart w:id="0" w:name="_GoBack"/>
      <w:bookmarkEnd w:id="0"/>
      <w:r w:rsidRPr="00B00748">
        <w:rPr>
          <w:rFonts w:asciiTheme="majorHAnsi" w:hAnsiTheme="majorHAnsi" w:cstheme="majorHAnsi"/>
          <w:b/>
          <w:sz w:val="28"/>
          <w:szCs w:val="24"/>
        </w:rPr>
        <w:t>External Dashboard Summary</w:t>
      </w:r>
      <w:r w:rsidR="00A164E5">
        <w:rPr>
          <w:rFonts w:asciiTheme="majorHAnsi" w:hAnsiTheme="majorHAnsi" w:cstheme="majorHAnsi"/>
          <w:b/>
          <w:sz w:val="28"/>
          <w:szCs w:val="24"/>
        </w:rPr>
        <w:t xml:space="preserve"> Notes </w:t>
      </w:r>
      <w:r w:rsidR="00422D7D" w:rsidRPr="00067268">
        <w:rPr>
          <w:rFonts w:asciiTheme="majorHAnsi" w:hAnsiTheme="majorHAnsi" w:cstheme="majorHAnsi"/>
          <w:sz w:val="20"/>
          <w:szCs w:val="20"/>
        </w:rPr>
        <w:t>(</w:t>
      </w:r>
      <w:r w:rsidR="00590E60">
        <w:rPr>
          <w:rFonts w:asciiTheme="majorHAnsi" w:hAnsiTheme="majorHAnsi" w:cstheme="majorHAnsi"/>
          <w:sz w:val="20"/>
          <w:szCs w:val="20"/>
        </w:rPr>
        <w:t>August 31</w:t>
      </w:r>
      <w:r w:rsidR="003B4AAC" w:rsidRPr="00067268">
        <w:rPr>
          <w:rFonts w:asciiTheme="majorHAnsi" w:hAnsiTheme="majorHAnsi" w:cstheme="majorHAnsi"/>
          <w:sz w:val="20"/>
          <w:szCs w:val="20"/>
        </w:rPr>
        <w:t>, 2020</w:t>
      </w:r>
      <w:r w:rsidR="004140B2" w:rsidRPr="00067268">
        <w:rPr>
          <w:rFonts w:asciiTheme="majorHAnsi" w:hAnsiTheme="majorHAnsi" w:cstheme="majorHAnsi"/>
          <w:sz w:val="20"/>
          <w:szCs w:val="20"/>
        </w:rPr>
        <w:t>)</w:t>
      </w:r>
    </w:p>
    <w:p w:rsidR="00E016C1" w:rsidRDefault="00E016C1" w:rsidP="00580EAD">
      <w:pPr>
        <w:spacing w:after="0" w:line="240" w:lineRule="auto"/>
        <w:rPr>
          <w:rFonts w:asciiTheme="majorHAnsi" w:hAnsiTheme="majorHAnsi" w:cstheme="majorHAnsi"/>
          <w:b/>
          <w:sz w:val="24"/>
          <w:szCs w:val="24"/>
        </w:rPr>
      </w:pPr>
    </w:p>
    <w:p w:rsidR="00E42758" w:rsidRDefault="00AC1C45" w:rsidP="00580EAD">
      <w:pPr>
        <w:spacing w:after="0" w:line="240" w:lineRule="auto"/>
        <w:rPr>
          <w:rFonts w:asciiTheme="majorHAnsi" w:hAnsiTheme="majorHAnsi" w:cstheme="majorHAnsi"/>
          <w:b/>
          <w:sz w:val="20"/>
          <w:szCs w:val="20"/>
        </w:rPr>
      </w:pPr>
      <w:r w:rsidRPr="00B00748">
        <w:rPr>
          <w:rFonts w:asciiTheme="majorHAnsi" w:hAnsiTheme="majorHAnsi" w:cstheme="majorHAnsi"/>
          <w:b/>
          <w:sz w:val="20"/>
          <w:szCs w:val="20"/>
        </w:rPr>
        <w:t>C</w:t>
      </w:r>
      <w:r w:rsidR="00E42758" w:rsidRPr="00B00748">
        <w:rPr>
          <w:rFonts w:asciiTheme="majorHAnsi" w:hAnsiTheme="majorHAnsi" w:cstheme="majorHAnsi"/>
          <w:b/>
          <w:sz w:val="20"/>
          <w:szCs w:val="20"/>
        </w:rPr>
        <w:t>ity of Toronto COVID-19 Summary</w:t>
      </w:r>
    </w:p>
    <w:p w:rsidR="00B83B57" w:rsidRPr="00B00748" w:rsidRDefault="002F5A61" w:rsidP="00580EAD">
      <w:pPr>
        <w:spacing w:after="0" w:line="240" w:lineRule="auto"/>
        <w:rPr>
          <w:rFonts w:asciiTheme="majorHAnsi" w:hAnsiTheme="majorHAnsi" w:cstheme="majorHAnsi"/>
          <w:b/>
          <w:sz w:val="20"/>
          <w:szCs w:val="20"/>
        </w:rPr>
      </w:pPr>
      <w:r>
        <w:rPr>
          <w:rFonts w:asciiTheme="majorHAnsi" w:hAnsiTheme="majorHAnsi" w:cstheme="majorHAnsi"/>
          <w:b/>
          <w:sz w:val="20"/>
          <w:szCs w:val="20"/>
        </w:rPr>
        <w:t xml:space="preserve">Data downloaded </w:t>
      </w:r>
      <w:r w:rsidR="003C5683">
        <w:rPr>
          <w:rFonts w:asciiTheme="majorHAnsi" w:hAnsiTheme="majorHAnsi" w:cstheme="majorHAnsi"/>
          <w:b/>
          <w:sz w:val="20"/>
          <w:szCs w:val="20"/>
        </w:rPr>
        <w:t>Sunday, Tuesday and Thursday</w:t>
      </w:r>
      <w:r>
        <w:rPr>
          <w:rFonts w:asciiTheme="majorHAnsi" w:hAnsiTheme="majorHAnsi" w:cstheme="majorHAnsi"/>
          <w:b/>
          <w:sz w:val="20"/>
          <w:szCs w:val="20"/>
        </w:rPr>
        <w:t xml:space="preserve"> at </w:t>
      </w:r>
      <w:r w:rsidR="00590E60">
        <w:rPr>
          <w:rFonts w:asciiTheme="majorHAnsi" w:hAnsiTheme="majorHAnsi" w:cstheme="majorHAnsi"/>
          <w:b/>
          <w:sz w:val="20"/>
          <w:szCs w:val="20"/>
        </w:rPr>
        <w:t>2</w:t>
      </w:r>
      <w:r w:rsidR="003B4AAC">
        <w:rPr>
          <w:rFonts w:asciiTheme="majorHAnsi" w:hAnsiTheme="majorHAnsi" w:cstheme="majorHAnsi"/>
          <w:b/>
          <w:sz w:val="20"/>
          <w:szCs w:val="20"/>
        </w:rPr>
        <w:t>:00 PM</w:t>
      </w:r>
      <w:r w:rsidR="00DD31F0">
        <w:rPr>
          <w:rFonts w:asciiTheme="majorHAnsi" w:hAnsiTheme="majorHAnsi" w:cstheme="majorHAnsi"/>
          <w:b/>
          <w:sz w:val="20"/>
          <w:szCs w:val="20"/>
        </w:rPr>
        <w:t xml:space="preserve">, and posted </w:t>
      </w:r>
      <w:r w:rsidR="003B4AAC">
        <w:rPr>
          <w:rFonts w:asciiTheme="majorHAnsi" w:hAnsiTheme="majorHAnsi" w:cstheme="majorHAnsi"/>
          <w:b/>
          <w:sz w:val="20"/>
          <w:szCs w:val="20"/>
        </w:rPr>
        <w:t xml:space="preserve">the next day by </w:t>
      </w:r>
      <w:r w:rsidR="00A46F5C">
        <w:rPr>
          <w:rFonts w:asciiTheme="majorHAnsi" w:hAnsiTheme="majorHAnsi" w:cstheme="majorHAnsi"/>
          <w:b/>
          <w:sz w:val="20"/>
          <w:szCs w:val="20"/>
        </w:rPr>
        <w:t>3</w:t>
      </w:r>
      <w:r w:rsidR="003B4AAC">
        <w:rPr>
          <w:rFonts w:asciiTheme="majorHAnsi" w:hAnsiTheme="majorHAnsi" w:cstheme="majorHAnsi"/>
          <w:b/>
          <w:sz w:val="20"/>
          <w:szCs w:val="20"/>
        </w:rPr>
        <w:t>:00 PM</w:t>
      </w:r>
    </w:p>
    <w:p w:rsidR="00AF54C8" w:rsidRPr="008E1D57" w:rsidRDefault="00AF54C8" w:rsidP="00580EAD">
      <w:pPr>
        <w:spacing w:after="0" w:line="240" w:lineRule="auto"/>
        <w:rPr>
          <w:rFonts w:asciiTheme="majorHAnsi" w:hAnsiTheme="majorHAnsi" w:cstheme="majorHAnsi"/>
          <w:b/>
          <w:sz w:val="20"/>
          <w:szCs w:val="20"/>
        </w:rPr>
      </w:pPr>
      <w:r w:rsidRPr="00B00748">
        <w:rPr>
          <w:rFonts w:asciiTheme="majorHAnsi" w:hAnsiTheme="majorHAnsi" w:cstheme="majorHAnsi"/>
          <w:b/>
          <w:sz w:val="20"/>
          <w:szCs w:val="20"/>
        </w:rPr>
        <w:t>Data source: Ontario Ministry of Health, integrated Public Health Information System</w:t>
      </w:r>
      <w:r w:rsidR="009C674D">
        <w:rPr>
          <w:rFonts w:asciiTheme="majorHAnsi" w:hAnsiTheme="majorHAnsi" w:cstheme="majorHAnsi"/>
          <w:b/>
          <w:sz w:val="20"/>
          <w:szCs w:val="20"/>
        </w:rPr>
        <w:t xml:space="preserve"> (iPHIS)</w:t>
      </w:r>
      <w:r w:rsidR="00E56131">
        <w:rPr>
          <w:rFonts w:asciiTheme="majorHAnsi" w:hAnsiTheme="majorHAnsi" w:cstheme="majorHAnsi"/>
          <w:b/>
          <w:sz w:val="20"/>
          <w:szCs w:val="20"/>
        </w:rPr>
        <w:t xml:space="preserve"> and CORES</w:t>
      </w:r>
      <w:r w:rsidR="008E1D57" w:rsidRPr="008E1D57">
        <w:rPr>
          <w:b/>
        </w:rPr>
        <w:t xml:space="preserve">; </w:t>
      </w:r>
      <w:r w:rsidR="008E1D57" w:rsidRPr="008E1D57">
        <w:rPr>
          <w:rFonts w:asciiTheme="majorHAnsi" w:hAnsiTheme="majorHAnsi" w:cstheme="majorHAnsi"/>
          <w:b/>
          <w:sz w:val="20"/>
          <w:szCs w:val="20"/>
        </w:rPr>
        <w:t>Ontario Ministry of</w:t>
      </w:r>
      <w:r w:rsidR="00A46F5C">
        <w:rPr>
          <w:rFonts w:asciiTheme="majorHAnsi" w:hAnsiTheme="majorHAnsi" w:cstheme="majorHAnsi"/>
          <w:b/>
          <w:sz w:val="20"/>
          <w:szCs w:val="20"/>
        </w:rPr>
        <w:t xml:space="preserve"> Health: </w:t>
      </w:r>
      <w:proofErr w:type="spellStart"/>
      <w:r w:rsidR="00A46F5C">
        <w:rPr>
          <w:rFonts w:asciiTheme="majorHAnsi" w:hAnsiTheme="majorHAnsi" w:cstheme="majorHAnsi"/>
          <w:b/>
          <w:sz w:val="20"/>
          <w:szCs w:val="20"/>
        </w:rPr>
        <w:t>IntelliHEALTH</w:t>
      </w:r>
      <w:proofErr w:type="spellEnd"/>
      <w:r w:rsidR="00A46F5C">
        <w:rPr>
          <w:rFonts w:asciiTheme="majorHAnsi" w:hAnsiTheme="majorHAnsi" w:cstheme="majorHAnsi"/>
          <w:b/>
          <w:sz w:val="20"/>
          <w:szCs w:val="20"/>
        </w:rPr>
        <w:t xml:space="preserve"> ONTARIO </w:t>
      </w:r>
      <w:r w:rsidR="008E1D57" w:rsidRPr="008E1D57">
        <w:rPr>
          <w:rFonts w:asciiTheme="majorHAnsi" w:hAnsiTheme="majorHAnsi" w:cstheme="majorHAnsi"/>
          <w:b/>
          <w:sz w:val="20"/>
          <w:szCs w:val="20"/>
        </w:rPr>
        <w:t>population</w:t>
      </w:r>
      <w:r w:rsidR="00A46F5C">
        <w:rPr>
          <w:rFonts w:asciiTheme="majorHAnsi" w:hAnsiTheme="majorHAnsi" w:cstheme="majorHAnsi"/>
          <w:b/>
          <w:sz w:val="20"/>
          <w:szCs w:val="20"/>
        </w:rPr>
        <w:t xml:space="preserve"> estimates</w:t>
      </w:r>
    </w:p>
    <w:p w:rsidR="00AF54C8" w:rsidRPr="00B00748" w:rsidRDefault="00AF54C8" w:rsidP="00580EAD">
      <w:pPr>
        <w:spacing w:after="0" w:line="240" w:lineRule="auto"/>
        <w:rPr>
          <w:rFonts w:asciiTheme="majorHAnsi" w:hAnsiTheme="majorHAnsi" w:cstheme="majorHAnsi"/>
          <w:b/>
          <w:sz w:val="20"/>
          <w:szCs w:val="20"/>
        </w:rPr>
      </w:pPr>
    </w:p>
    <w:p w:rsidR="00AC1C45" w:rsidRPr="00B00748" w:rsidRDefault="00E87456" w:rsidP="008B3CC1">
      <w:pPr>
        <w:spacing w:after="0" w:line="240" w:lineRule="auto"/>
        <w:jc w:val="both"/>
        <w:rPr>
          <w:rFonts w:asciiTheme="majorHAnsi" w:hAnsiTheme="majorHAnsi" w:cstheme="majorHAnsi"/>
          <w:sz w:val="20"/>
          <w:szCs w:val="20"/>
        </w:rPr>
      </w:pPr>
      <w:r w:rsidRPr="00B00748">
        <w:rPr>
          <w:rFonts w:asciiTheme="majorHAnsi" w:hAnsiTheme="majorHAnsi" w:cstheme="majorHAnsi"/>
          <w:sz w:val="20"/>
          <w:szCs w:val="20"/>
        </w:rPr>
        <w:t xml:space="preserve">This </w:t>
      </w:r>
      <w:r w:rsidR="00AF54C8" w:rsidRPr="00B00748">
        <w:rPr>
          <w:rFonts w:asciiTheme="majorHAnsi" w:hAnsiTheme="majorHAnsi" w:cstheme="majorHAnsi"/>
          <w:sz w:val="20"/>
          <w:szCs w:val="20"/>
        </w:rPr>
        <w:t>summary provides</w:t>
      </w:r>
      <w:r w:rsidR="00AA150A" w:rsidRPr="00B00748">
        <w:rPr>
          <w:rFonts w:asciiTheme="majorHAnsi" w:hAnsiTheme="majorHAnsi" w:cstheme="majorHAnsi"/>
          <w:sz w:val="20"/>
          <w:szCs w:val="20"/>
        </w:rPr>
        <w:t xml:space="preserve"> an overview of COVID-19 cases among residents of Toronto</w:t>
      </w:r>
      <w:r w:rsidRPr="00B00748">
        <w:rPr>
          <w:rFonts w:asciiTheme="majorHAnsi" w:hAnsiTheme="majorHAnsi" w:cstheme="majorHAnsi"/>
          <w:sz w:val="20"/>
          <w:szCs w:val="20"/>
        </w:rPr>
        <w:t xml:space="preserve">.  This page is updated </w:t>
      </w:r>
      <w:r w:rsidR="00F74B17">
        <w:rPr>
          <w:rFonts w:asciiTheme="majorHAnsi" w:hAnsiTheme="majorHAnsi" w:cstheme="majorHAnsi"/>
          <w:sz w:val="20"/>
          <w:szCs w:val="20"/>
        </w:rPr>
        <w:t xml:space="preserve">daily </w:t>
      </w:r>
      <w:r w:rsidRPr="00B00748">
        <w:rPr>
          <w:rFonts w:asciiTheme="majorHAnsi" w:hAnsiTheme="majorHAnsi" w:cstheme="majorHAnsi"/>
          <w:sz w:val="20"/>
          <w:szCs w:val="20"/>
        </w:rPr>
        <w:t>with the most up-to-date information</w:t>
      </w:r>
      <w:r w:rsidR="002979F6" w:rsidRPr="00B00748">
        <w:rPr>
          <w:rFonts w:asciiTheme="majorHAnsi" w:hAnsiTheme="majorHAnsi" w:cstheme="majorHAnsi"/>
          <w:sz w:val="20"/>
          <w:szCs w:val="20"/>
        </w:rPr>
        <w:t xml:space="preserve"> from the integrated Public Health Information System (iPHIS)</w:t>
      </w:r>
      <w:r w:rsidR="00E56131">
        <w:rPr>
          <w:rFonts w:asciiTheme="majorHAnsi" w:hAnsiTheme="majorHAnsi" w:cstheme="majorHAnsi"/>
          <w:sz w:val="20"/>
          <w:szCs w:val="20"/>
        </w:rPr>
        <w:t xml:space="preserve"> and CORES</w:t>
      </w:r>
      <w:r w:rsidR="00227D93">
        <w:rPr>
          <w:rFonts w:asciiTheme="majorHAnsi" w:hAnsiTheme="majorHAnsi" w:cstheme="majorHAnsi"/>
          <w:sz w:val="20"/>
          <w:szCs w:val="20"/>
        </w:rPr>
        <w:t xml:space="preserve">, downloaded at </w:t>
      </w:r>
      <w:r w:rsidR="00590E60">
        <w:rPr>
          <w:rFonts w:asciiTheme="majorHAnsi" w:hAnsiTheme="majorHAnsi" w:cstheme="majorHAnsi"/>
          <w:sz w:val="20"/>
          <w:szCs w:val="20"/>
        </w:rPr>
        <w:t>2</w:t>
      </w:r>
      <w:r w:rsidR="00493AF4">
        <w:rPr>
          <w:rFonts w:asciiTheme="majorHAnsi" w:hAnsiTheme="majorHAnsi" w:cstheme="majorHAnsi"/>
          <w:sz w:val="20"/>
          <w:szCs w:val="20"/>
        </w:rPr>
        <w:t>:00 PM</w:t>
      </w:r>
      <w:r w:rsidR="00DD31F0">
        <w:rPr>
          <w:rFonts w:asciiTheme="majorHAnsi" w:hAnsiTheme="majorHAnsi" w:cstheme="majorHAnsi"/>
          <w:sz w:val="20"/>
          <w:szCs w:val="20"/>
        </w:rPr>
        <w:t xml:space="preserve"> </w:t>
      </w:r>
      <w:r w:rsidR="009B24F6" w:rsidRPr="009B24F6">
        <w:rPr>
          <w:rFonts w:asciiTheme="majorHAnsi" w:hAnsiTheme="majorHAnsi" w:cstheme="majorHAnsi"/>
          <w:sz w:val="20"/>
          <w:szCs w:val="20"/>
        </w:rPr>
        <w:t>Sunday, Tuesday and Thursday</w:t>
      </w:r>
      <w:r w:rsidR="009B24F6" w:rsidRPr="009B24F6">
        <w:rPr>
          <w:rFonts w:asciiTheme="majorHAnsi" w:hAnsiTheme="majorHAnsi" w:cstheme="majorHAnsi"/>
          <w:b/>
          <w:sz w:val="20"/>
          <w:szCs w:val="20"/>
        </w:rPr>
        <w:t xml:space="preserve"> </w:t>
      </w:r>
      <w:r w:rsidR="00DD31F0">
        <w:rPr>
          <w:rFonts w:asciiTheme="majorHAnsi" w:hAnsiTheme="majorHAnsi" w:cstheme="majorHAnsi"/>
          <w:sz w:val="20"/>
          <w:szCs w:val="20"/>
        </w:rPr>
        <w:t xml:space="preserve">and posted by </w:t>
      </w:r>
      <w:r w:rsidR="00590E60">
        <w:rPr>
          <w:rFonts w:asciiTheme="majorHAnsi" w:hAnsiTheme="majorHAnsi" w:cstheme="majorHAnsi"/>
          <w:sz w:val="20"/>
          <w:szCs w:val="20"/>
        </w:rPr>
        <w:t>3</w:t>
      </w:r>
      <w:r w:rsidR="00DD31F0">
        <w:rPr>
          <w:rFonts w:asciiTheme="majorHAnsi" w:hAnsiTheme="majorHAnsi" w:cstheme="majorHAnsi"/>
          <w:sz w:val="20"/>
          <w:szCs w:val="20"/>
        </w:rPr>
        <w:t>:0</w:t>
      </w:r>
      <w:r w:rsidR="00227D93">
        <w:rPr>
          <w:rFonts w:asciiTheme="majorHAnsi" w:hAnsiTheme="majorHAnsi" w:cstheme="majorHAnsi"/>
          <w:sz w:val="20"/>
          <w:szCs w:val="20"/>
        </w:rPr>
        <w:t>0 PM</w:t>
      </w:r>
      <w:r w:rsidR="00493AF4">
        <w:rPr>
          <w:rFonts w:asciiTheme="majorHAnsi" w:hAnsiTheme="majorHAnsi" w:cstheme="majorHAnsi"/>
          <w:sz w:val="20"/>
          <w:szCs w:val="20"/>
        </w:rPr>
        <w:t xml:space="preserve"> the following day</w:t>
      </w:r>
      <w:r w:rsidRPr="00B00748">
        <w:rPr>
          <w:rFonts w:asciiTheme="majorHAnsi" w:hAnsiTheme="majorHAnsi" w:cstheme="majorHAnsi"/>
          <w:sz w:val="20"/>
          <w:szCs w:val="20"/>
        </w:rPr>
        <w:t xml:space="preserve">.  </w:t>
      </w:r>
      <w:r w:rsidR="00FC737F" w:rsidRPr="00B00748">
        <w:rPr>
          <w:rFonts w:asciiTheme="majorHAnsi" w:hAnsiTheme="majorHAnsi" w:cstheme="majorHAnsi"/>
          <w:sz w:val="20"/>
          <w:szCs w:val="20"/>
        </w:rPr>
        <w:t>When using the charts below, hover over the bars to view numbers (counts) and other relevant information. You can also download the most current data Excel file directly.</w:t>
      </w:r>
      <w:r w:rsidR="006C7C4F">
        <w:rPr>
          <w:rFonts w:asciiTheme="majorHAnsi" w:hAnsiTheme="majorHAnsi" w:cstheme="majorHAnsi"/>
          <w:sz w:val="20"/>
          <w:szCs w:val="20"/>
        </w:rPr>
        <w:t xml:space="preserve"> </w:t>
      </w:r>
      <w:r w:rsidR="00FC737F" w:rsidRPr="00B00748">
        <w:rPr>
          <w:rFonts w:asciiTheme="majorHAnsi" w:hAnsiTheme="majorHAnsi" w:cstheme="majorHAnsi"/>
          <w:sz w:val="20"/>
          <w:szCs w:val="20"/>
        </w:rPr>
        <w:t xml:space="preserve"> Please note that the data shown here may differ from other sources, as data are extracted at different times. The data in the charts </w:t>
      </w:r>
      <w:r w:rsidR="00A0045C" w:rsidRPr="00B00748">
        <w:rPr>
          <w:rFonts w:asciiTheme="majorHAnsi" w:hAnsiTheme="majorHAnsi" w:cstheme="majorHAnsi"/>
          <w:sz w:val="20"/>
          <w:szCs w:val="20"/>
        </w:rPr>
        <w:t xml:space="preserve">are </w:t>
      </w:r>
      <w:r w:rsidR="00FC737F" w:rsidRPr="00B00748">
        <w:rPr>
          <w:rFonts w:asciiTheme="majorHAnsi" w:hAnsiTheme="majorHAnsi" w:cstheme="majorHAnsi"/>
          <w:sz w:val="20"/>
          <w:szCs w:val="20"/>
        </w:rPr>
        <w:t>subject to change as the public health investigation into reported cases is currently ongoing.</w:t>
      </w:r>
      <w:r w:rsidR="00082062">
        <w:rPr>
          <w:rFonts w:asciiTheme="majorHAnsi" w:hAnsiTheme="majorHAnsi" w:cstheme="majorHAnsi"/>
          <w:sz w:val="20"/>
          <w:szCs w:val="20"/>
        </w:rPr>
        <w:t xml:space="preserve"> </w:t>
      </w:r>
      <w:r w:rsidR="00FC737F" w:rsidRPr="00B00748">
        <w:rPr>
          <w:rFonts w:asciiTheme="majorHAnsi" w:hAnsiTheme="majorHAnsi" w:cstheme="majorHAnsi"/>
          <w:sz w:val="20"/>
          <w:szCs w:val="20"/>
        </w:rPr>
        <w:t xml:space="preserve"> </w:t>
      </w:r>
      <w:r w:rsidR="00082062">
        <w:rPr>
          <w:rFonts w:asciiTheme="majorHAnsi" w:hAnsiTheme="majorHAnsi" w:cstheme="majorHAnsi"/>
          <w:sz w:val="20"/>
          <w:szCs w:val="20"/>
        </w:rPr>
        <w:t xml:space="preserve">It can take up to two weeks for symptomatic individuals to seek care, get tested, and for Toronto Public Health to receive the results.  </w:t>
      </w:r>
      <w:r w:rsidR="00FC737F" w:rsidRPr="00B00748">
        <w:rPr>
          <w:rFonts w:asciiTheme="majorHAnsi" w:hAnsiTheme="majorHAnsi" w:cstheme="majorHAnsi"/>
          <w:sz w:val="20"/>
          <w:szCs w:val="20"/>
        </w:rPr>
        <w:t>Additionally, data definitions are subject to change as the pandemic evolves</w:t>
      </w:r>
      <w:r w:rsidR="002B634A">
        <w:rPr>
          <w:rFonts w:asciiTheme="majorHAnsi" w:hAnsiTheme="majorHAnsi" w:cstheme="majorHAnsi"/>
          <w:sz w:val="20"/>
          <w:szCs w:val="20"/>
        </w:rPr>
        <w:t>.</w:t>
      </w:r>
      <w:r w:rsidR="00A0045C" w:rsidRPr="00B00748">
        <w:rPr>
          <w:rFonts w:asciiTheme="majorHAnsi" w:hAnsiTheme="majorHAnsi" w:cstheme="majorHAnsi"/>
          <w:sz w:val="20"/>
          <w:szCs w:val="20"/>
        </w:rPr>
        <w:t xml:space="preserve"> </w:t>
      </w:r>
    </w:p>
    <w:p w:rsidR="004140B2" w:rsidRPr="00B00748" w:rsidRDefault="004140B2" w:rsidP="00580EAD">
      <w:pPr>
        <w:spacing w:after="0" w:line="240" w:lineRule="auto"/>
        <w:rPr>
          <w:rFonts w:asciiTheme="majorHAnsi" w:hAnsiTheme="majorHAnsi" w:cstheme="majorHAnsi"/>
          <w:sz w:val="20"/>
          <w:szCs w:val="20"/>
        </w:rPr>
      </w:pPr>
    </w:p>
    <w:p w:rsidR="00EB43DA" w:rsidRPr="00B00748" w:rsidRDefault="00EB43DA" w:rsidP="00580EAD">
      <w:pPr>
        <w:spacing w:after="0" w:line="240" w:lineRule="auto"/>
        <w:rPr>
          <w:rFonts w:asciiTheme="majorHAnsi" w:hAnsiTheme="majorHAnsi" w:cstheme="majorHAnsi"/>
          <w:b/>
          <w:sz w:val="20"/>
          <w:szCs w:val="20"/>
        </w:rPr>
      </w:pPr>
      <w:r w:rsidRPr="00B00748">
        <w:rPr>
          <w:rFonts w:asciiTheme="majorHAnsi" w:hAnsiTheme="majorHAnsi" w:cstheme="majorHAnsi"/>
          <w:b/>
          <w:sz w:val="20"/>
          <w:szCs w:val="20"/>
        </w:rPr>
        <w:t>Technical Notes</w:t>
      </w:r>
    </w:p>
    <w:tbl>
      <w:tblPr>
        <w:tblStyle w:val="TableGrid"/>
        <w:tblW w:w="0" w:type="auto"/>
        <w:tblLayout w:type="fixed"/>
        <w:tblLook w:val="04A0" w:firstRow="1" w:lastRow="0" w:firstColumn="1" w:lastColumn="0" w:noHBand="0" w:noVBand="1"/>
      </w:tblPr>
      <w:tblGrid>
        <w:gridCol w:w="1705"/>
        <w:gridCol w:w="7645"/>
      </w:tblGrid>
      <w:tr w:rsidR="00B00748" w:rsidRPr="00B00748" w:rsidTr="00E87456">
        <w:tc>
          <w:tcPr>
            <w:tcW w:w="1705" w:type="dxa"/>
            <w:shd w:val="clear" w:color="auto" w:fill="D5DCE4" w:themeFill="text2" w:themeFillTint="33"/>
          </w:tcPr>
          <w:p w:rsidR="004140B2" w:rsidRPr="00B00748" w:rsidRDefault="00155241" w:rsidP="00155241">
            <w:pPr>
              <w:jc w:val="center"/>
              <w:rPr>
                <w:rFonts w:asciiTheme="majorHAnsi" w:hAnsiTheme="majorHAnsi" w:cstheme="majorHAnsi"/>
                <w:b/>
                <w:sz w:val="20"/>
                <w:szCs w:val="20"/>
              </w:rPr>
            </w:pPr>
            <w:r w:rsidRPr="00B00748">
              <w:rPr>
                <w:rFonts w:asciiTheme="majorHAnsi" w:hAnsiTheme="majorHAnsi" w:cstheme="majorHAnsi"/>
                <w:b/>
                <w:sz w:val="20"/>
                <w:szCs w:val="20"/>
              </w:rPr>
              <w:t>Term</w:t>
            </w:r>
          </w:p>
        </w:tc>
        <w:tc>
          <w:tcPr>
            <w:tcW w:w="7645" w:type="dxa"/>
            <w:shd w:val="clear" w:color="auto" w:fill="D5DCE4" w:themeFill="text2" w:themeFillTint="33"/>
          </w:tcPr>
          <w:p w:rsidR="004140B2" w:rsidRPr="00B00748" w:rsidRDefault="00155241" w:rsidP="00155241">
            <w:pPr>
              <w:jc w:val="center"/>
              <w:rPr>
                <w:rFonts w:asciiTheme="majorHAnsi" w:hAnsiTheme="majorHAnsi" w:cstheme="majorHAnsi"/>
                <w:b/>
                <w:sz w:val="20"/>
                <w:szCs w:val="20"/>
              </w:rPr>
            </w:pPr>
            <w:r w:rsidRPr="00B00748">
              <w:rPr>
                <w:rFonts w:asciiTheme="majorHAnsi" w:hAnsiTheme="majorHAnsi" w:cstheme="majorHAnsi"/>
                <w:b/>
                <w:sz w:val="20"/>
                <w:szCs w:val="20"/>
              </w:rPr>
              <w:t>Definition</w:t>
            </w:r>
          </w:p>
        </w:tc>
      </w:tr>
      <w:tr w:rsidR="004140B2" w:rsidRPr="00B00748" w:rsidTr="00E87456">
        <w:trPr>
          <w:trHeight w:val="692"/>
        </w:trPr>
        <w:tc>
          <w:tcPr>
            <w:tcW w:w="1705" w:type="dxa"/>
          </w:tcPr>
          <w:p w:rsidR="004140B2" w:rsidRPr="00B00748" w:rsidRDefault="00E13D11" w:rsidP="00580EAD">
            <w:pPr>
              <w:rPr>
                <w:rFonts w:asciiTheme="majorHAnsi" w:hAnsiTheme="majorHAnsi" w:cstheme="majorHAnsi"/>
                <w:sz w:val="20"/>
                <w:szCs w:val="20"/>
              </w:rPr>
            </w:pPr>
            <w:r w:rsidRPr="00B00748">
              <w:rPr>
                <w:rFonts w:asciiTheme="majorHAnsi" w:hAnsiTheme="majorHAnsi" w:cstheme="majorHAnsi"/>
                <w:sz w:val="20"/>
                <w:szCs w:val="20"/>
              </w:rPr>
              <w:t>Cases</w:t>
            </w:r>
          </w:p>
        </w:tc>
        <w:tc>
          <w:tcPr>
            <w:tcW w:w="7645" w:type="dxa"/>
          </w:tcPr>
          <w:p w:rsidR="000F16C2" w:rsidRPr="00B00748" w:rsidRDefault="00B43FD9" w:rsidP="00AA150A">
            <w:pPr>
              <w:rPr>
                <w:rFonts w:asciiTheme="majorHAnsi" w:hAnsiTheme="majorHAnsi" w:cstheme="majorHAnsi"/>
                <w:sz w:val="20"/>
                <w:szCs w:val="20"/>
              </w:rPr>
            </w:pPr>
            <w:r w:rsidRPr="00B00748">
              <w:rPr>
                <w:rFonts w:asciiTheme="majorHAnsi" w:hAnsiTheme="majorHAnsi" w:cstheme="majorHAnsi"/>
                <w:sz w:val="20"/>
                <w:szCs w:val="20"/>
              </w:rPr>
              <w:t>Includes both c</w:t>
            </w:r>
            <w:r w:rsidR="000F16C2" w:rsidRPr="00B00748">
              <w:rPr>
                <w:rFonts w:asciiTheme="majorHAnsi" w:hAnsiTheme="majorHAnsi" w:cstheme="majorHAnsi"/>
                <w:sz w:val="20"/>
                <w:szCs w:val="20"/>
              </w:rPr>
              <w:t xml:space="preserve">onfirmed and probable </w:t>
            </w:r>
            <w:r w:rsidR="006E760F">
              <w:rPr>
                <w:rFonts w:asciiTheme="majorHAnsi" w:hAnsiTheme="majorHAnsi" w:cstheme="majorHAnsi"/>
                <w:sz w:val="20"/>
                <w:szCs w:val="20"/>
              </w:rPr>
              <w:t xml:space="preserve">COVID-19 </w:t>
            </w:r>
            <w:r w:rsidR="000F16C2" w:rsidRPr="00B00748">
              <w:rPr>
                <w:rFonts w:asciiTheme="majorHAnsi" w:hAnsiTheme="majorHAnsi" w:cstheme="majorHAnsi"/>
                <w:sz w:val="20"/>
                <w:szCs w:val="20"/>
              </w:rPr>
              <w:t xml:space="preserve">cases </w:t>
            </w:r>
            <w:r w:rsidR="00E016C1" w:rsidRPr="00B00748">
              <w:rPr>
                <w:rFonts w:asciiTheme="majorHAnsi" w:hAnsiTheme="majorHAnsi" w:cstheme="majorHAnsi"/>
                <w:sz w:val="20"/>
                <w:szCs w:val="20"/>
              </w:rPr>
              <w:t xml:space="preserve">reported to Toronto Public Health.  Please </w:t>
            </w:r>
            <w:r w:rsidR="00C90D50">
              <w:rPr>
                <w:rFonts w:asciiTheme="majorHAnsi" w:hAnsiTheme="majorHAnsi" w:cstheme="majorHAnsi"/>
                <w:sz w:val="20"/>
                <w:szCs w:val="20"/>
              </w:rPr>
              <w:t>refer to the</w:t>
            </w:r>
            <w:r w:rsidR="00C90D50" w:rsidRPr="00B00748">
              <w:rPr>
                <w:rFonts w:asciiTheme="majorHAnsi" w:hAnsiTheme="majorHAnsi" w:cstheme="majorHAnsi"/>
                <w:sz w:val="20"/>
                <w:szCs w:val="20"/>
              </w:rPr>
              <w:t xml:space="preserve"> </w:t>
            </w:r>
            <w:r w:rsidR="000F16C2" w:rsidRPr="00B00748">
              <w:rPr>
                <w:rFonts w:asciiTheme="majorHAnsi" w:hAnsiTheme="majorHAnsi" w:cstheme="majorHAnsi"/>
                <w:sz w:val="20"/>
                <w:szCs w:val="20"/>
              </w:rPr>
              <w:t>Ontario Ministry of Health</w:t>
            </w:r>
            <w:r w:rsidRPr="00B00748">
              <w:rPr>
                <w:rFonts w:asciiTheme="majorHAnsi" w:hAnsiTheme="majorHAnsi" w:cstheme="majorHAnsi"/>
                <w:sz w:val="20"/>
                <w:szCs w:val="20"/>
              </w:rPr>
              <w:t xml:space="preserve"> </w:t>
            </w:r>
            <w:r w:rsidR="00C90D50">
              <w:rPr>
                <w:rFonts w:asciiTheme="majorHAnsi" w:hAnsiTheme="majorHAnsi" w:cstheme="majorHAnsi"/>
                <w:sz w:val="20"/>
                <w:szCs w:val="20"/>
              </w:rPr>
              <w:t xml:space="preserve">website </w:t>
            </w:r>
            <w:r w:rsidRPr="00B00748">
              <w:rPr>
                <w:rFonts w:asciiTheme="majorHAnsi" w:hAnsiTheme="majorHAnsi" w:cstheme="majorHAnsi"/>
                <w:sz w:val="20"/>
                <w:szCs w:val="20"/>
              </w:rPr>
              <w:t xml:space="preserve">for </w:t>
            </w:r>
            <w:r w:rsidR="00C90D50">
              <w:rPr>
                <w:rFonts w:asciiTheme="majorHAnsi" w:hAnsiTheme="majorHAnsi" w:cstheme="majorHAnsi"/>
                <w:sz w:val="20"/>
                <w:szCs w:val="20"/>
              </w:rPr>
              <w:t xml:space="preserve">Ontario's current </w:t>
            </w:r>
            <w:r w:rsidRPr="00B00748">
              <w:rPr>
                <w:rFonts w:asciiTheme="majorHAnsi" w:hAnsiTheme="majorHAnsi" w:cstheme="majorHAnsi"/>
                <w:sz w:val="20"/>
                <w:szCs w:val="20"/>
              </w:rPr>
              <w:t>provincial</w:t>
            </w:r>
            <w:r w:rsidR="000F16C2" w:rsidRPr="00B00748">
              <w:rPr>
                <w:rFonts w:asciiTheme="majorHAnsi" w:hAnsiTheme="majorHAnsi" w:cstheme="majorHAnsi"/>
                <w:sz w:val="20"/>
                <w:szCs w:val="20"/>
              </w:rPr>
              <w:t xml:space="preserve"> case definition</w:t>
            </w:r>
            <w:r w:rsidRPr="00B00748">
              <w:rPr>
                <w:rFonts w:asciiTheme="majorHAnsi" w:hAnsiTheme="majorHAnsi" w:cstheme="majorHAnsi"/>
                <w:sz w:val="20"/>
                <w:szCs w:val="20"/>
              </w:rPr>
              <w:t>s</w:t>
            </w:r>
            <w:r w:rsidR="000F16C2" w:rsidRPr="00B00748">
              <w:rPr>
                <w:rFonts w:asciiTheme="majorHAnsi" w:hAnsiTheme="majorHAnsi" w:cstheme="majorHAnsi"/>
                <w:sz w:val="20"/>
                <w:szCs w:val="20"/>
              </w:rPr>
              <w:t xml:space="preserve">: </w:t>
            </w:r>
          </w:p>
          <w:p w:rsidR="004140B2" w:rsidRPr="00B00748" w:rsidRDefault="00715AAA" w:rsidP="00AA150A">
            <w:pPr>
              <w:rPr>
                <w:rFonts w:asciiTheme="majorHAnsi" w:hAnsiTheme="majorHAnsi" w:cstheme="majorHAnsi"/>
                <w:sz w:val="20"/>
                <w:szCs w:val="20"/>
              </w:rPr>
            </w:pPr>
            <w:hyperlink r:id="rId6" w:history="1">
              <w:r w:rsidR="000F16C2" w:rsidRPr="00B00748">
                <w:rPr>
                  <w:rStyle w:val="Hyperlink"/>
                  <w:rFonts w:asciiTheme="majorHAnsi" w:hAnsiTheme="majorHAnsi" w:cstheme="majorHAnsi"/>
                  <w:color w:val="auto"/>
                  <w:sz w:val="20"/>
                  <w:szCs w:val="20"/>
                </w:rPr>
                <w:t>http://www.health.gov.on.ca/en/pro/programs/publichealth/coronavirus/docs/2019_case_definition.pdf</w:t>
              </w:r>
            </w:hyperlink>
          </w:p>
        </w:tc>
      </w:tr>
      <w:tr w:rsidR="009B3310" w:rsidRPr="00B00748" w:rsidTr="00E87456">
        <w:trPr>
          <w:trHeight w:val="692"/>
        </w:trPr>
        <w:tc>
          <w:tcPr>
            <w:tcW w:w="1705" w:type="dxa"/>
          </w:tcPr>
          <w:p w:rsidR="009B3310" w:rsidRPr="00B00748" w:rsidRDefault="009B3310" w:rsidP="00580EAD">
            <w:pPr>
              <w:rPr>
                <w:rFonts w:asciiTheme="majorHAnsi" w:hAnsiTheme="majorHAnsi" w:cstheme="majorHAnsi"/>
                <w:sz w:val="20"/>
                <w:szCs w:val="20"/>
              </w:rPr>
            </w:pPr>
            <w:r>
              <w:rPr>
                <w:rFonts w:asciiTheme="majorHAnsi" w:hAnsiTheme="majorHAnsi" w:cstheme="majorHAnsi"/>
                <w:sz w:val="20"/>
                <w:szCs w:val="20"/>
              </w:rPr>
              <w:t>Outbreak Cases</w:t>
            </w:r>
          </w:p>
        </w:tc>
        <w:tc>
          <w:tcPr>
            <w:tcW w:w="7645" w:type="dxa"/>
          </w:tcPr>
          <w:p w:rsidR="009B3310" w:rsidRPr="00B00748" w:rsidRDefault="00275D7C" w:rsidP="00AA150A">
            <w:pPr>
              <w:rPr>
                <w:rFonts w:asciiTheme="majorHAnsi" w:hAnsiTheme="majorHAnsi" w:cstheme="majorHAnsi"/>
                <w:sz w:val="20"/>
                <w:szCs w:val="20"/>
              </w:rPr>
            </w:pPr>
            <w:r w:rsidRPr="00275D7C">
              <w:rPr>
                <w:rFonts w:asciiTheme="majorHAnsi" w:hAnsiTheme="majorHAnsi" w:cstheme="majorHAnsi"/>
                <w:sz w:val="20"/>
                <w:szCs w:val="20"/>
              </w:rPr>
              <w:t>Outbreak associated cases include persons with COVID-19 within a defined group or setting. These are generally in healthcare (e.g. long-term care homes, hospitals) and residential or congregate settings (e.g., homeless shelters, group homes), but can also be in workplaces and other settings</w:t>
            </w:r>
            <w:r>
              <w:rPr>
                <w:rFonts w:asciiTheme="majorHAnsi" w:hAnsiTheme="majorHAnsi" w:cstheme="majorHAnsi"/>
                <w:sz w:val="20"/>
                <w:szCs w:val="20"/>
              </w:rPr>
              <w:t>.</w:t>
            </w:r>
          </w:p>
        </w:tc>
      </w:tr>
      <w:tr w:rsidR="009B3310" w:rsidRPr="00B00748" w:rsidTr="00E87456">
        <w:tc>
          <w:tcPr>
            <w:tcW w:w="1705" w:type="dxa"/>
          </w:tcPr>
          <w:p w:rsidR="009B3310" w:rsidRPr="00B00748" w:rsidRDefault="009B3310" w:rsidP="00580EAD">
            <w:pPr>
              <w:rPr>
                <w:rFonts w:asciiTheme="majorHAnsi" w:hAnsiTheme="majorHAnsi" w:cstheme="majorHAnsi"/>
                <w:sz w:val="20"/>
                <w:szCs w:val="20"/>
              </w:rPr>
            </w:pPr>
            <w:r>
              <w:rPr>
                <w:rFonts w:asciiTheme="majorHAnsi" w:hAnsiTheme="majorHAnsi" w:cstheme="majorHAnsi"/>
                <w:sz w:val="20"/>
                <w:szCs w:val="20"/>
              </w:rPr>
              <w:t>Sporadic Cases</w:t>
            </w:r>
          </w:p>
        </w:tc>
        <w:tc>
          <w:tcPr>
            <w:tcW w:w="7645" w:type="dxa"/>
          </w:tcPr>
          <w:p w:rsidR="009B3310" w:rsidRPr="00B00748" w:rsidRDefault="003506FC" w:rsidP="00E016C1">
            <w:pPr>
              <w:rPr>
                <w:rFonts w:asciiTheme="majorHAnsi" w:hAnsiTheme="majorHAnsi" w:cstheme="majorHAnsi"/>
                <w:color w:val="1A1A1A"/>
                <w:sz w:val="20"/>
                <w:szCs w:val="20"/>
                <w:shd w:val="clear" w:color="auto" w:fill="FFFFFF"/>
              </w:rPr>
            </w:pPr>
            <w:r w:rsidRPr="003506FC">
              <w:rPr>
                <w:rFonts w:asciiTheme="majorHAnsi" w:hAnsiTheme="majorHAnsi" w:cstheme="majorHAnsi"/>
                <w:color w:val="1A1A1A"/>
                <w:sz w:val="20"/>
                <w:szCs w:val="20"/>
                <w:shd w:val="clear" w:color="auto" w:fill="FFFFFF"/>
              </w:rPr>
              <w:t>Sporadic cases refer to all other cases in general members of the population.</w:t>
            </w:r>
          </w:p>
        </w:tc>
      </w:tr>
      <w:tr w:rsidR="00114BDA" w:rsidRPr="00B00748" w:rsidTr="00E87456">
        <w:tc>
          <w:tcPr>
            <w:tcW w:w="1705" w:type="dxa"/>
          </w:tcPr>
          <w:p w:rsidR="00114BDA" w:rsidRDefault="00114BDA" w:rsidP="00114BDA">
            <w:pPr>
              <w:rPr>
                <w:rFonts w:asciiTheme="majorHAnsi" w:hAnsiTheme="majorHAnsi" w:cstheme="majorHAnsi"/>
                <w:sz w:val="20"/>
                <w:szCs w:val="20"/>
              </w:rPr>
            </w:pPr>
            <w:r>
              <w:rPr>
                <w:rFonts w:asciiTheme="majorHAnsi" w:hAnsiTheme="majorHAnsi" w:cstheme="majorHAnsi"/>
                <w:sz w:val="20"/>
                <w:szCs w:val="20"/>
              </w:rPr>
              <w:t>Recent Cases</w:t>
            </w:r>
          </w:p>
        </w:tc>
        <w:tc>
          <w:tcPr>
            <w:tcW w:w="7645" w:type="dxa"/>
          </w:tcPr>
          <w:p w:rsidR="00114BDA" w:rsidRPr="003506FC" w:rsidRDefault="00114BDA" w:rsidP="00114BDA">
            <w:pPr>
              <w:rPr>
                <w:rFonts w:asciiTheme="majorHAnsi" w:hAnsiTheme="majorHAnsi" w:cstheme="majorHAnsi"/>
                <w:color w:val="1A1A1A"/>
                <w:sz w:val="20"/>
                <w:szCs w:val="20"/>
                <w:shd w:val="clear" w:color="auto" w:fill="FFFFFF"/>
              </w:rPr>
            </w:pPr>
            <w:r>
              <w:rPr>
                <w:rFonts w:asciiTheme="majorHAnsi" w:hAnsiTheme="majorHAnsi" w:cstheme="majorHAnsi"/>
                <w:color w:val="1A1A1A"/>
                <w:sz w:val="20"/>
                <w:szCs w:val="20"/>
                <w:shd w:val="clear" w:color="auto" w:fill="FFFFFF"/>
              </w:rPr>
              <w:t xml:space="preserve">Cases with an episode date within the last 21 days from the refresh date.  </w:t>
            </w:r>
          </w:p>
        </w:tc>
      </w:tr>
      <w:tr w:rsidR="00114BDA" w:rsidRPr="00B00748" w:rsidTr="00E87456">
        <w:tc>
          <w:tcPr>
            <w:tcW w:w="1705" w:type="dxa"/>
          </w:tcPr>
          <w:p w:rsidR="00114BDA" w:rsidRPr="00B00748" w:rsidRDefault="00114BDA" w:rsidP="00114BDA">
            <w:pPr>
              <w:rPr>
                <w:rFonts w:asciiTheme="majorHAnsi" w:hAnsiTheme="majorHAnsi" w:cstheme="majorHAnsi"/>
                <w:sz w:val="20"/>
                <w:szCs w:val="20"/>
              </w:rPr>
            </w:pPr>
            <w:r w:rsidRPr="00B00748">
              <w:rPr>
                <w:rFonts w:asciiTheme="majorHAnsi" w:hAnsiTheme="majorHAnsi" w:cstheme="majorHAnsi"/>
                <w:sz w:val="20"/>
                <w:szCs w:val="20"/>
              </w:rPr>
              <w:t>Recovered</w:t>
            </w:r>
          </w:p>
        </w:tc>
        <w:tc>
          <w:tcPr>
            <w:tcW w:w="7645" w:type="dxa"/>
          </w:tcPr>
          <w:p w:rsidR="00114BDA" w:rsidRPr="00042E36" w:rsidRDefault="00114BDA" w:rsidP="00114BDA">
            <w:pPr>
              <w:rPr>
                <w:rFonts w:asciiTheme="majorHAnsi" w:hAnsiTheme="majorHAnsi" w:cstheme="majorHAnsi"/>
                <w:color w:val="1A1A1A"/>
                <w:sz w:val="20"/>
                <w:szCs w:val="20"/>
                <w:shd w:val="clear" w:color="auto" w:fill="FFFFFF"/>
              </w:rPr>
            </w:pPr>
            <w:r w:rsidRPr="00B00748">
              <w:rPr>
                <w:rFonts w:asciiTheme="majorHAnsi" w:hAnsiTheme="majorHAnsi" w:cstheme="majorHAnsi"/>
                <w:color w:val="1A1A1A"/>
                <w:sz w:val="20"/>
                <w:szCs w:val="20"/>
                <w:shd w:val="clear" w:color="auto" w:fill="FFFFFF"/>
              </w:rPr>
              <w:t>C</w:t>
            </w:r>
            <w:r>
              <w:rPr>
                <w:rFonts w:asciiTheme="majorHAnsi" w:hAnsiTheme="majorHAnsi" w:cstheme="majorHAnsi"/>
                <w:color w:val="1A1A1A"/>
                <w:sz w:val="20"/>
                <w:szCs w:val="20"/>
                <w:shd w:val="clear" w:color="auto" w:fill="FFFFFF"/>
              </w:rPr>
              <w:t>OVID-19 cases</w:t>
            </w:r>
            <w:r w:rsidRPr="00042E36">
              <w:rPr>
                <w:rFonts w:asciiTheme="majorHAnsi" w:hAnsiTheme="majorHAnsi" w:cstheme="majorHAnsi"/>
                <w:color w:val="1A1A1A"/>
                <w:sz w:val="20"/>
                <w:szCs w:val="20"/>
                <w:shd w:val="clear" w:color="auto" w:fill="FFFFFF"/>
              </w:rPr>
              <w:t xml:space="preserve"> not reported FATAL in Case Outcome </w:t>
            </w:r>
            <w:r w:rsidRPr="00042E36">
              <w:rPr>
                <w:rFonts w:asciiTheme="majorHAnsi" w:hAnsiTheme="majorHAnsi" w:cstheme="majorHAnsi"/>
                <w:color w:val="1A1A1A"/>
                <w:sz w:val="20"/>
                <w:szCs w:val="20"/>
                <w:shd w:val="clear" w:color="auto" w:fill="FFFFFF"/>
              </w:rPr>
              <w:br/>
              <w:t xml:space="preserve">AND </w:t>
            </w:r>
            <w:r w:rsidRPr="00042E36">
              <w:rPr>
                <w:rFonts w:asciiTheme="majorHAnsi" w:hAnsiTheme="majorHAnsi" w:cstheme="majorHAnsi"/>
                <w:color w:val="1A1A1A"/>
                <w:sz w:val="20"/>
                <w:szCs w:val="20"/>
                <w:shd w:val="clear" w:color="auto" w:fill="FFFFFF"/>
              </w:rPr>
              <w:br/>
              <w:t xml:space="preserve">(Case outcome = recovered, OR, </w:t>
            </w:r>
            <w:r w:rsidRPr="00042E36">
              <w:rPr>
                <w:rFonts w:asciiTheme="majorHAnsi" w:hAnsiTheme="majorHAnsi" w:cstheme="majorHAnsi"/>
                <w:color w:val="1A1A1A"/>
                <w:sz w:val="20"/>
                <w:szCs w:val="20"/>
                <w:shd w:val="clear" w:color="auto" w:fill="FFFFFF"/>
              </w:rPr>
              <w:br/>
              <w:t>today's date is more than 14 days from symptom onset + case is not currently hospitalized)</w:t>
            </w:r>
          </w:p>
        </w:tc>
      </w:tr>
      <w:tr w:rsidR="00114BDA" w:rsidRPr="00B00748" w:rsidTr="00E87456">
        <w:tc>
          <w:tcPr>
            <w:tcW w:w="1705" w:type="dxa"/>
          </w:tcPr>
          <w:p w:rsidR="00114BDA" w:rsidRPr="00B00748" w:rsidRDefault="00114BDA" w:rsidP="00114BDA">
            <w:pPr>
              <w:rPr>
                <w:rFonts w:asciiTheme="majorHAnsi" w:hAnsiTheme="majorHAnsi" w:cstheme="majorHAnsi"/>
                <w:sz w:val="20"/>
                <w:szCs w:val="20"/>
              </w:rPr>
            </w:pPr>
            <w:r w:rsidRPr="00B00748">
              <w:rPr>
                <w:rFonts w:asciiTheme="majorHAnsi" w:hAnsiTheme="majorHAnsi" w:cstheme="majorHAnsi"/>
                <w:sz w:val="20"/>
                <w:szCs w:val="20"/>
              </w:rPr>
              <w:t>Deaths</w:t>
            </w:r>
          </w:p>
        </w:tc>
        <w:tc>
          <w:tcPr>
            <w:tcW w:w="7645" w:type="dxa"/>
          </w:tcPr>
          <w:p w:rsidR="00114BDA" w:rsidRPr="00B00748" w:rsidRDefault="00114BDA" w:rsidP="00114BDA">
            <w:pPr>
              <w:rPr>
                <w:rFonts w:asciiTheme="majorHAnsi" w:hAnsiTheme="majorHAnsi" w:cstheme="majorHAnsi"/>
                <w:color w:val="1A1A1A"/>
                <w:sz w:val="20"/>
                <w:szCs w:val="20"/>
                <w:shd w:val="clear" w:color="auto" w:fill="FFFFFF"/>
              </w:rPr>
            </w:pPr>
            <w:r>
              <w:rPr>
                <w:rFonts w:asciiTheme="majorHAnsi" w:hAnsiTheme="majorHAnsi" w:cstheme="majorHAnsi"/>
                <w:color w:val="1A1A1A"/>
                <w:sz w:val="20"/>
                <w:szCs w:val="20"/>
                <w:shd w:val="clear" w:color="auto" w:fill="FFFFFF"/>
              </w:rPr>
              <w:t>Confirmed and probable COVID-19</w:t>
            </w:r>
            <w:r w:rsidRPr="00B00748">
              <w:rPr>
                <w:rFonts w:asciiTheme="majorHAnsi" w:hAnsiTheme="majorHAnsi" w:cstheme="majorHAnsi"/>
                <w:color w:val="1A1A1A"/>
                <w:sz w:val="20"/>
                <w:szCs w:val="20"/>
                <w:shd w:val="clear" w:color="auto" w:fill="FFFFFF"/>
              </w:rPr>
              <w:t xml:space="preserve"> </w:t>
            </w:r>
            <w:r>
              <w:rPr>
                <w:rFonts w:asciiTheme="majorHAnsi" w:hAnsiTheme="majorHAnsi" w:cstheme="majorHAnsi"/>
                <w:color w:val="1A1A1A"/>
                <w:sz w:val="20"/>
                <w:szCs w:val="20"/>
                <w:shd w:val="clear" w:color="auto" w:fill="FFFFFF"/>
              </w:rPr>
              <w:t xml:space="preserve">cases </w:t>
            </w:r>
            <w:r w:rsidRPr="00B00748">
              <w:rPr>
                <w:rFonts w:asciiTheme="majorHAnsi" w:hAnsiTheme="majorHAnsi" w:cstheme="majorHAnsi"/>
                <w:color w:val="1A1A1A"/>
                <w:sz w:val="20"/>
                <w:szCs w:val="20"/>
                <w:shd w:val="clear" w:color="auto" w:fill="FFFFFF"/>
              </w:rPr>
              <w:t>with a fatal outcome reported</w:t>
            </w:r>
            <w:r>
              <w:rPr>
                <w:rFonts w:asciiTheme="majorHAnsi" w:hAnsiTheme="majorHAnsi" w:cstheme="majorHAnsi"/>
                <w:color w:val="1A1A1A"/>
                <w:sz w:val="20"/>
                <w:szCs w:val="20"/>
                <w:shd w:val="clear" w:color="auto" w:fill="FFFFFF"/>
              </w:rPr>
              <w:t>: includes deaths in institutional outbreaks, as well as deaths among sporadic cases.</w:t>
            </w:r>
          </w:p>
        </w:tc>
      </w:tr>
      <w:tr w:rsidR="00114BDA" w:rsidRPr="00B00748" w:rsidTr="00E87456">
        <w:tc>
          <w:tcPr>
            <w:tcW w:w="1705" w:type="dxa"/>
          </w:tcPr>
          <w:p w:rsidR="00114BDA" w:rsidRPr="00B00748" w:rsidRDefault="00114BDA" w:rsidP="00114BDA">
            <w:pPr>
              <w:rPr>
                <w:rFonts w:asciiTheme="majorHAnsi" w:hAnsiTheme="majorHAnsi" w:cstheme="majorHAnsi"/>
                <w:sz w:val="20"/>
                <w:szCs w:val="20"/>
              </w:rPr>
            </w:pPr>
            <w:r w:rsidRPr="00B00748">
              <w:rPr>
                <w:rFonts w:asciiTheme="majorHAnsi" w:hAnsiTheme="majorHAnsi" w:cstheme="majorHAnsi"/>
                <w:sz w:val="20"/>
                <w:szCs w:val="20"/>
              </w:rPr>
              <w:t>Cumulative Institutional Outbreaks</w:t>
            </w:r>
          </w:p>
        </w:tc>
        <w:tc>
          <w:tcPr>
            <w:tcW w:w="7645" w:type="dxa"/>
          </w:tcPr>
          <w:p w:rsidR="00114BDA" w:rsidRPr="00B00748" w:rsidRDefault="00114BDA" w:rsidP="00114BDA">
            <w:pPr>
              <w:rPr>
                <w:rFonts w:asciiTheme="majorHAnsi" w:hAnsiTheme="majorHAnsi" w:cstheme="majorHAnsi"/>
                <w:sz w:val="20"/>
                <w:szCs w:val="20"/>
              </w:rPr>
            </w:pPr>
            <w:r w:rsidRPr="00B00748">
              <w:rPr>
                <w:rFonts w:asciiTheme="majorHAnsi" w:hAnsiTheme="majorHAnsi" w:cstheme="majorHAnsi"/>
                <w:sz w:val="20"/>
                <w:szCs w:val="20"/>
              </w:rPr>
              <w:t xml:space="preserve">Total number of </w:t>
            </w:r>
            <w:r>
              <w:rPr>
                <w:rFonts w:asciiTheme="majorHAnsi" w:hAnsiTheme="majorHAnsi" w:cstheme="majorHAnsi"/>
                <w:sz w:val="20"/>
                <w:szCs w:val="20"/>
              </w:rPr>
              <w:t xml:space="preserve">currently active and closed </w:t>
            </w:r>
            <w:r w:rsidRPr="00B00748">
              <w:rPr>
                <w:rFonts w:asciiTheme="majorHAnsi" w:hAnsiTheme="majorHAnsi" w:cstheme="majorHAnsi"/>
                <w:sz w:val="20"/>
                <w:szCs w:val="20"/>
              </w:rPr>
              <w:t xml:space="preserve">confirmed COVID-19 outbreaks in </w:t>
            </w:r>
            <w:r>
              <w:rPr>
                <w:rFonts w:asciiTheme="majorHAnsi" w:hAnsiTheme="majorHAnsi" w:cstheme="majorHAnsi"/>
                <w:sz w:val="20"/>
                <w:szCs w:val="20"/>
              </w:rPr>
              <w:t xml:space="preserve">Toronto </w:t>
            </w:r>
            <w:r w:rsidRPr="00B00748">
              <w:rPr>
                <w:rFonts w:asciiTheme="majorHAnsi" w:hAnsiTheme="majorHAnsi" w:cstheme="majorHAnsi"/>
                <w:sz w:val="20"/>
                <w:szCs w:val="20"/>
              </w:rPr>
              <w:t>healthcare institutions, including: long-term care homes, retirement homes, hospitals (acute, chronic</w:t>
            </w:r>
            <w:r>
              <w:rPr>
                <w:rFonts w:asciiTheme="majorHAnsi" w:hAnsiTheme="majorHAnsi" w:cstheme="majorHAnsi"/>
                <w:sz w:val="20"/>
                <w:szCs w:val="20"/>
              </w:rPr>
              <w:t>,</w:t>
            </w:r>
            <w:r w:rsidRPr="00B00748">
              <w:rPr>
                <w:rFonts w:asciiTheme="majorHAnsi" w:hAnsiTheme="majorHAnsi" w:cstheme="majorHAnsi"/>
                <w:sz w:val="20"/>
                <w:szCs w:val="20"/>
              </w:rPr>
              <w:t xml:space="preserve"> and psychiatric).  This includes outbreaks that are currently ongoing and those that have been declared over.  </w:t>
            </w:r>
          </w:p>
        </w:tc>
      </w:tr>
      <w:tr w:rsidR="00114BDA" w:rsidRPr="00B00748" w:rsidTr="00E87456">
        <w:tc>
          <w:tcPr>
            <w:tcW w:w="1705" w:type="dxa"/>
          </w:tcPr>
          <w:p w:rsidR="00114BDA" w:rsidRPr="00CD3A52" w:rsidRDefault="00114BDA" w:rsidP="00114BDA">
            <w:pPr>
              <w:rPr>
                <w:rFonts w:asciiTheme="majorHAnsi" w:hAnsiTheme="majorHAnsi" w:cstheme="majorHAnsi"/>
                <w:sz w:val="20"/>
                <w:szCs w:val="20"/>
              </w:rPr>
            </w:pPr>
            <w:r w:rsidRPr="00CD3A52">
              <w:rPr>
                <w:rFonts w:asciiTheme="majorHAnsi" w:hAnsiTheme="majorHAnsi" w:cstheme="majorHAnsi"/>
                <w:sz w:val="20"/>
                <w:szCs w:val="20"/>
              </w:rPr>
              <w:t>Episode Date</w:t>
            </w:r>
          </w:p>
        </w:tc>
        <w:tc>
          <w:tcPr>
            <w:tcW w:w="7645" w:type="dxa"/>
          </w:tcPr>
          <w:p w:rsidR="00114BDA" w:rsidRPr="00D7518E" w:rsidRDefault="00CD3A52" w:rsidP="003D398A">
            <w:pPr>
              <w:rPr>
                <w:rFonts w:asciiTheme="majorHAnsi" w:hAnsiTheme="majorHAnsi" w:cstheme="majorHAnsi"/>
                <w:sz w:val="20"/>
                <w:szCs w:val="20"/>
              </w:rPr>
            </w:pPr>
            <w:r w:rsidRPr="00CD3A52">
              <w:rPr>
                <w:rFonts w:ascii="Calibri Light" w:hAnsi="Calibri Light" w:cs="Calibri Light"/>
                <w:sz w:val="20"/>
                <w:szCs w:val="20"/>
                <w:lang w:eastAsia="en-CA"/>
              </w:rPr>
              <w:t>The episode date is a derived variable that best estimates when the disease was acquired, and refers to the earliest available date from: symptom onset (the first day that COVID-19 symptoms occurred), laboratory specimen collection date, or reported date.</w:t>
            </w:r>
          </w:p>
        </w:tc>
      </w:tr>
      <w:tr w:rsidR="00CD3A52" w:rsidRPr="00B00748" w:rsidTr="00D7518E">
        <w:tc>
          <w:tcPr>
            <w:tcW w:w="1705" w:type="dxa"/>
          </w:tcPr>
          <w:p w:rsidR="00CD3A52" w:rsidRDefault="00CD3A52" w:rsidP="00114BDA">
            <w:pPr>
              <w:rPr>
                <w:rFonts w:asciiTheme="majorHAnsi" w:hAnsiTheme="majorHAnsi" w:cstheme="majorHAnsi"/>
                <w:sz w:val="20"/>
                <w:szCs w:val="20"/>
              </w:rPr>
            </w:pPr>
            <w:r>
              <w:rPr>
                <w:rFonts w:asciiTheme="majorHAnsi" w:hAnsiTheme="majorHAnsi" w:cstheme="majorHAnsi"/>
                <w:sz w:val="20"/>
                <w:szCs w:val="20"/>
              </w:rPr>
              <w:t>Lab</w:t>
            </w:r>
            <w:r w:rsidR="00067268">
              <w:rPr>
                <w:rFonts w:asciiTheme="majorHAnsi" w:hAnsiTheme="majorHAnsi" w:cstheme="majorHAnsi"/>
                <w:sz w:val="20"/>
                <w:szCs w:val="20"/>
              </w:rPr>
              <w:t>oratory</w:t>
            </w:r>
            <w:r>
              <w:rPr>
                <w:rFonts w:asciiTheme="majorHAnsi" w:hAnsiTheme="majorHAnsi" w:cstheme="majorHAnsi"/>
                <w:sz w:val="20"/>
                <w:szCs w:val="20"/>
              </w:rPr>
              <w:t xml:space="preserve"> Specimen Collection Date</w:t>
            </w:r>
          </w:p>
        </w:tc>
        <w:tc>
          <w:tcPr>
            <w:tcW w:w="7645" w:type="dxa"/>
            <w:shd w:val="clear" w:color="auto" w:fill="auto"/>
          </w:tcPr>
          <w:p w:rsidR="00CD3A52" w:rsidRPr="00B00748" w:rsidRDefault="00A265A8" w:rsidP="001B14E5">
            <w:pPr>
              <w:jc w:val="both"/>
              <w:rPr>
                <w:rFonts w:asciiTheme="majorHAnsi" w:hAnsiTheme="majorHAnsi" w:cstheme="majorHAnsi"/>
                <w:noProof/>
                <w:sz w:val="20"/>
                <w:szCs w:val="20"/>
                <w:lang w:eastAsia="en-CA"/>
              </w:rPr>
            </w:pPr>
            <w:r>
              <w:rPr>
                <w:rFonts w:asciiTheme="majorHAnsi" w:hAnsiTheme="majorHAnsi" w:cstheme="majorHAnsi"/>
                <w:noProof/>
                <w:sz w:val="20"/>
                <w:szCs w:val="20"/>
                <w:lang w:eastAsia="en-CA"/>
              </w:rPr>
              <w:t xml:space="preserve">The date on which the </w:t>
            </w:r>
            <w:r w:rsidR="001B14E5">
              <w:rPr>
                <w:rFonts w:asciiTheme="majorHAnsi" w:hAnsiTheme="majorHAnsi" w:cstheme="majorHAnsi"/>
                <w:noProof/>
                <w:sz w:val="20"/>
                <w:szCs w:val="20"/>
                <w:lang w:eastAsia="en-CA"/>
              </w:rPr>
              <w:t>earliest</w:t>
            </w:r>
            <w:r>
              <w:rPr>
                <w:rFonts w:asciiTheme="majorHAnsi" w:hAnsiTheme="majorHAnsi" w:cstheme="majorHAnsi"/>
                <w:noProof/>
                <w:sz w:val="20"/>
                <w:szCs w:val="20"/>
                <w:lang w:eastAsia="en-CA"/>
              </w:rPr>
              <w:t xml:space="preserve"> positive specimen (e.g. nasopharyngeal swab) for COVID-19 was collected.</w:t>
            </w:r>
          </w:p>
        </w:tc>
      </w:tr>
      <w:tr w:rsidR="00067268" w:rsidRPr="00B00748" w:rsidTr="00D7518E">
        <w:tc>
          <w:tcPr>
            <w:tcW w:w="1705" w:type="dxa"/>
          </w:tcPr>
          <w:p w:rsidR="00067268" w:rsidRDefault="00067268" w:rsidP="00067268">
            <w:pPr>
              <w:rPr>
                <w:rFonts w:asciiTheme="majorHAnsi" w:hAnsiTheme="majorHAnsi" w:cstheme="majorHAnsi"/>
                <w:sz w:val="20"/>
                <w:szCs w:val="20"/>
              </w:rPr>
            </w:pPr>
            <w:r>
              <w:rPr>
                <w:rFonts w:asciiTheme="majorHAnsi" w:hAnsiTheme="majorHAnsi" w:cstheme="majorHAnsi"/>
                <w:sz w:val="20"/>
                <w:szCs w:val="20"/>
              </w:rPr>
              <w:t>Reported Date</w:t>
            </w:r>
          </w:p>
        </w:tc>
        <w:tc>
          <w:tcPr>
            <w:tcW w:w="7645" w:type="dxa"/>
            <w:shd w:val="clear" w:color="auto" w:fill="auto"/>
          </w:tcPr>
          <w:p w:rsidR="00067268" w:rsidRPr="00067268" w:rsidRDefault="00067268" w:rsidP="00067268">
            <w:pPr>
              <w:jc w:val="both"/>
              <w:rPr>
                <w:rFonts w:asciiTheme="majorHAnsi" w:hAnsiTheme="majorHAnsi" w:cstheme="majorHAnsi"/>
                <w:noProof/>
                <w:sz w:val="20"/>
                <w:szCs w:val="20"/>
                <w:lang w:eastAsia="en-CA"/>
              </w:rPr>
            </w:pPr>
            <w:r>
              <w:rPr>
                <w:rFonts w:asciiTheme="majorHAnsi" w:hAnsiTheme="majorHAnsi" w:cstheme="majorHAnsi"/>
                <w:noProof/>
                <w:sz w:val="20"/>
                <w:szCs w:val="20"/>
                <w:lang w:eastAsia="en-CA"/>
              </w:rPr>
              <w:t>The date on which the case was reported to Toronto Public Health. When the case is reported by a laboratory, this is the date on which the result was received, and may be later than the test reported date if the test result was reported outside of business hours.</w:t>
            </w:r>
          </w:p>
        </w:tc>
      </w:tr>
      <w:tr w:rsidR="00067268" w:rsidRPr="00B00748" w:rsidTr="00E87456">
        <w:tc>
          <w:tcPr>
            <w:tcW w:w="1705" w:type="dxa"/>
          </w:tcPr>
          <w:p w:rsidR="00067268" w:rsidRDefault="00067268" w:rsidP="00067268">
            <w:pPr>
              <w:rPr>
                <w:rFonts w:asciiTheme="majorHAnsi" w:hAnsiTheme="majorHAnsi" w:cstheme="majorHAnsi"/>
                <w:sz w:val="20"/>
                <w:szCs w:val="20"/>
              </w:rPr>
            </w:pPr>
            <w:r>
              <w:rPr>
                <w:rFonts w:asciiTheme="majorHAnsi" w:hAnsiTheme="majorHAnsi" w:cstheme="majorHAnsi"/>
                <w:sz w:val="20"/>
                <w:szCs w:val="20"/>
              </w:rPr>
              <w:t>Highlighted Area of Graphs by Episode Date</w:t>
            </w:r>
          </w:p>
        </w:tc>
        <w:tc>
          <w:tcPr>
            <w:tcW w:w="7645" w:type="dxa"/>
          </w:tcPr>
          <w:p w:rsidR="00067268" w:rsidRPr="00B00748" w:rsidRDefault="00067268" w:rsidP="00067268">
            <w:pPr>
              <w:jc w:val="both"/>
              <w:rPr>
                <w:rFonts w:asciiTheme="majorHAnsi" w:hAnsiTheme="majorHAnsi" w:cstheme="majorHAnsi"/>
                <w:noProof/>
                <w:sz w:val="20"/>
                <w:szCs w:val="20"/>
                <w:lang w:eastAsia="en-CA"/>
              </w:rPr>
            </w:pPr>
            <w:r w:rsidRPr="009B3310">
              <w:rPr>
                <w:rFonts w:asciiTheme="majorHAnsi" w:hAnsiTheme="majorHAnsi" w:cstheme="majorHAnsi"/>
                <w:noProof/>
                <w:sz w:val="20"/>
                <w:szCs w:val="20"/>
                <w:lang w:eastAsia="en-CA"/>
              </w:rPr>
              <w:t>Cases whose symptoms began in the previous 14 days are likely under-reported due to the time for individuals to seek medical attention, availability of laboratory testing, and for test results to be reported. Therefore, data for this time period will change as additional information is available.</w:t>
            </w:r>
          </w:p>
        </w:tc>
      </w:tr>
      <w:tr w:rsidR="00067268" w:rsidRPr="00B00748" w:rsidTr="00E87456">
        <w:tc>
          <w:tcPr>
            <w:tcW w:w="1705" w:type="dxa"/>
          </w:tcPr>
          <w:p w:rsidR="00067268" w:rsidRPr="00B00748" w:rsidRDefault="00067268" w:rsidP="00067268">
            <w:pPr>
              <w:rPr>
                <w:rFonts w:asciiTheme="majorHAnsi" w:hAnsiTheme="majorHAnsi" w:cstheme="majorHAnsi"/>
                <w:sz w:val="20"/>
                <w:szCs w:val="20"/>
              </w:rPr>
            </w:pPr>
            <w:r w:rsidRPr="00B00748">
              <w:rPr>
                <w:rFonts w:asciiTheme="majorHAnsi" w:hAnsiTheme="majorHAnsi" w:cstheme="majorHAnsi"/>
                <w:sz w:val="20"/>
                <w:szCs w:val="20"/>
              </w:rPr>
              <w:lastRenderedPageBreak/>
              <w:t>Ever Hospitalized</w:t>
            </w:r>
          </w:p>
        </w:tc>
        <w:tc>
          <w:tcPr>
            <w:tcW w:w="7645" w:type="dxa"/>
          </w:tcPr>
          <w:p w:rsidR="00067268" w:rsidRPr="00B00748" w:rsidRDefault="00067268" w:rsidP="00067268">
            <w:pPr>
              <w:jc w:val="both"/>
              <w:rPr>
                <w:rFonts w:asciiTheme="majorHAnsi" w:hAnsiTheme="majorHAnsi" w:cstheme="majorHAnsi"/>
                <w:noProof/>
                <w:sz w:val="20"/>
                <w:szCs w:val="20"/>
                <w:lang w:eastAsia="en-CA"/>
              </w:rPr>
            </w:pPr>
            <w:r w:rsidRPr="00B00748">
              <w:rPr>
                <w:rFonts w:asciiTheme="majorHAnsi" w:hAnsiTheme="majorHAnsi" w:cstheme="majorHAnsi"/>
                <w:noProof/>
                <w:sz w:val="20"/>
                <w:szCs w:val="20"/>
                <w:lang w:eastAsia="en-CA"/>
              </w:rPr>
              <w:t xml:space="preserve">Cases that were hospitalized </w:t>
            </w:r>
            <w:r>
              <w:rPr>
                <w:rFonts w:asciiTheme="majorHAnsi" w:hAnsiTheme="majorHAnsi" w:cstheme="majorHAnsi"/>
                <w:noProof/>
                <w:sz w:val="20"/>
                <w:szCs w:val="20"/>
                <w:lang w:eastAsia="en-CA"/>
              </w:rPr>
              <w:t>related to their</w:t>
            </w:r>
            <w:r w:rsidRPr="00B00748">
              <w:rPr>
                <w:rFonts w:asciiTheme="majorHAnsi" w:hAnsiTheme="majorHAnsi" w:cstheme="majorHAnsi"/>
                <w:noProof/>
                <w:sz w:val="20"/>
                <w:szCs w:val="20"/>
                <w:lang w:eastAsia="en-CA"/>
              </w:rPr>
              <w:t xml:space="preserve"> COVID-19 </w:t>
            </w:r>
            <w:r>
              <w:rPr>
                <w:rFonts w:asciiTheme="majorHAnsi" w:hAnsiTheme="majorHAnsi" w:cstheme="majorHAnsi"/>
                <w:noProof/>
                <w:sz w:val="20"/>
                <w:szCs w:val="20"/>
                <w:lang w:eastAsia="en-CA"/>
              </w:rPr>
              <w:t xml:space="preserve">infection </w:t>
            </w:r>
            <w:r w:rsidRPr="00B00748">
              <w:rPr>
                <w:rFonts w:asciiTheme="majorHAnsi" w:hAnsiTheme="majorHAnsi" w:cstheme="majorHAnsi"/>
                <w:noProof/>
                <w:sz w:val="20"/>
                <w:szCs w:val="20"/>
                <w:lang w:eastAsia="en-CA"/>
              </w:rPr>
              <w:t>(includes cases that are currently hospitalized and those that have been discharged</w:t>
            </w:r>
            <w:r>
              <w:rPr>
                <w:rFonts w:asciiTheme="majorHAnsi" w:hAnsiTheme="majorHAnsi" w:cstheme="majorHAnsi"/>
                <w:noProof/>
                <w:sz w:val="20"/>
                <w:szCs w:val="20"/>
                <w:lang w:eastAsia="en-CA"/>
              </w:rPr>
              <w:t xml:space="preserve"> or are deceased</w:t>
            </w:r>
            <w:r w:rsidRPr="00B00748">
              <w:rPr>
                <w:rFonts w:asciiTheme="majorHAnsi" w:hAnsiTheme="majorHAnsi" w:cstheme="majorHAnsi"/>
                <w:noProof/>
                <w:sz w:val="20"/>
                <w:szCs w:val="20"/>
                <w:lang w:eastAsia="en-CA"/>
              </w:rPr>
              <w:t xml:space="preserve">).  </w:t>
            </w:r>
          </w:p>
        </w:tc>
      </w:tr>
      <w:tr w:rsidR="00067268" w:rsidRPr="00B00748" w:rsidTr="00E87456">
        <w:tc>
          <w:tcPr>
            <w:tcW w:w="1705" w:type="dxa"/>
          </w:tcPr>
          <w:p w:rsidR="00067268" w:rsidRPr="00B00748" w:rsidRDefault="00067268" w:rsidP="00067268">
            <w:pPr>
              <w:rPr>
                <w:rFonts w:asciiTheme="majorHAnsi" w:hAnsiTheme="majorHAnsi" w:cstheme="majorHAnsi"/>
                <w:sz w:val="20"/>
                <w:szCs w:val="20"/>
              </w:rPr>
            </w:pPr>
            <w:r>
              <w:rPr>
                <w:rFonts w:asciiTheme="majorHAnsi" w:hAnsiTheme="majorHAnsi" w:cstheme="majorHAnsi"/>
                <w:sz w:val="20"/>
                <w:szCs w:val="20"/>
              </w:rPr>
              <w:t>Ever Hospitalized – ICU</w:t>
            </w:r>
          </w:p>
        </w:tc>
        <w:tc>
          <w:tcPr>
            <w:tcW w:w="7645" w:type="dxa"/>
          </w:tcPr>
          <w:p w:rsidR="00067268" w:rsidRPr="00B00748" w:rsidRDefault="00067268" w:rsidP="00067268">
            <w:pPr>
              <w:jc w:val="both"/>
              <w:rPr>
                <w:rFonts w:asciiTheme="majorHAnsi" w:hAnsiTheme="majorHAnsi" w:cstheme="majorHAnsi"/>
                <w:noProof/>
                <w:sz w:val="20"/>
                <w:szCs w:val="20"/>
                <w:lang w:eastAsia="en-CA"/>
              </w:rPr>
            </w:pPr>
            <w:r>
              <w:rPr>
                <w:rFonts w:asciiTheme="majorHAnsi" w:hAnsiTheme="majorHAnsi" w:cstheme="majorHAnsi"/>
                <w:noProof/>
                <w:sz w:val="20"/>
                <w:szCs w:val="20"/>
                <w:lang w:eastAsia="en-CA"/>
              </w:rPr>
              <w:t>Cases that were admitted to the intensive care unit (ICU) related to their COVID-19 infection (includes cases that are currently in ICU and those that have been discharged or are deceased)</w:t>
            </w:r>
          </w:p>
        </w:tc>
      </w:tr>
      <w:tr w:rsidR="00067268" w:rsidRPr="00B00748" w:rsidTr="00E87456">
        <w:tc>
          <w:tcPr>
            <w:tcW w:w="1705" w:type="dxa"/>
          </w:tcPr>
          <w:p w:rsidR="00067268" w:rsidRPr="00B00748" w:rsidRDefault="00067268" w:rsidP="00067268">
            <w:pPr>
              <w:rPr>
                <w:rFonts w:asciiTheme="majorHAnsi" w:hAnsiTheme="majorHAnsi" w:cstheme="majorHAnsi"/>
                <w:sz w:val="20"/>
                <w:szCs w:val="20"/>
              </w:rPr>
            </w:pPr>
            <w:r>
              <w:rPr>
                <w:rFonts w:asciiTheme="majorHAnsi" w:hAnsiTheme="majorHAnsi" w:cstheme="majorHAnsi"/>
                <w:sz w:val="20"/>
                <w:szCs w:val="20"/>
              </w:rPr>
              <w:t>Ever Hospitalized – Intubation</w:t>
            </w:r>
          </w:p>
        </w:tc>
        <w:tc>
          <w:tcPr>
            <w:tcW w:w="7645" w:type="dxa"/>
          </w:tcPr>
          <w:p w:rsidR="00067268" w:rsidRPr="00B00748" w:rsidRDefault="00067268" w:rsidP="00067268">
            <w:pPr>
              <w:jc w:val="both"/>
              <w:rPr>
                <w:rFonts w:asciiTheme="majorHAnsi" w:hAnsiTheme="majorHAnsi" w:cstheme="majorHAnsi"/>
                <w:noProof/>
                <w:sz w:val="20"/>
                <w:szCs w:val="20"/>
                <w:lang w:eastAsia="en-CA"/>
              </w:rPr>
            </w:pPr>
            <w:r>
              <w:rPr>
                <w:rFonts w:asciiTheme="majorHAnsi" w:hAnsiTheme="majorHAnsi" w:cstheme="majorHAnsi"/>
                <w:noProof/>
                <w:sz w:val="20"/>
                <w:szCs w:val="20"/>
                <w:lang w:eastAsia="en-CA"/>
              </w:rPr>
              <w:t>Cases that were intubated related to their COVID-19 infection (includes cases that are currently intubated and those that have been discharged or deceased)</w:t>
            </w:r>
          </w:p>
        </w:tc>
      </w:tr>
      <w:tr w:rsidR="00067268" w:rsidRPr="00B00748" w:rsidTr="00E87456">
        <w:tc>
          <w:tcPr>
            <w:tcW w:w="1705" w:type="dxa"/>
          </w:tcPr>
          <w:p w:rsidR="00067268" w:rsidRPr="00B00748" w:rsidRDefault="00067268" w:rsidP="00067268">
            <w:pPr>
              <w:rPr>
                <w:rFonts w:asciiTheme="majorHAnsi" w:hAnsiTheme="majorHAnsi" w:cstheme="majorHAnsi"/>
                <w:sz w:val="20"/>
                <w:szCs w:val="20"/>
              </w:rPr>
            </w:pPr>
            <w:r w:rsidRPr="00B00748">
              <w:rPr>
                <w:rFonts w:asciiTheme="majorHAnsi" w:hAnsiTheme="majorHAnsi" w:cstheme="majorHAnsi"/>
                <w:sz w:val="20"/>
                <w:szCs w:val="20"/>
              </w:rPr>
              <w:t>Currently Hospitalized</w:t>
            </w:r>
          </w:p>
        </w:tc>
        <w:tc>
          <w:tcPr>
            <w:tcW w:w="7645" w:type="dxa"/>
          </w:tcPr>
          <w:p w:rsidR="00067268" w:rsidRPr="00B00748" w:rsidRDefault="00067268" w:rsidP="00067268">
            <w:pPr>
              <w:jc w:val="both"/>
              <w:rPr>
                <w:rFonts w:asciiTheme="majorHAnsi" w:hAnsiTheme="majorHAnsi" w:cstheme="majorHAnsi"/>
                <w:noProof/>
                <w:sz w:val="20"/>
                <w:szCs w:val="20"/>
                <w:lang w:eastAsia="en-CA"/>
              </w:rPr>
            </w:pPr>
            <w:r w:rsidRPr="00B00748">
              <w:rPr>
                <w:rFonts w:asciiTheme="majorHAnsi" w:hAnsiTheme="majorHAnsi" w:cstheme="majorHAnsi"/>
                <w:noProof/>
                <w:sz w:val="20"/>
                <w:szCs w:val="20"/>
                <w:lang w:eastAsia="en-CA"/>
              </w:rPr>
              <w:t>Cases that are currently admitted to hospital (</w:t>
            </w:r>
            <w:r>
              <w:rPr>
                <w:rFonts w:asciiTheme="majorHAnsi" w:hAnsiTheme="majorHAnsi" w:cstheme="majorHAnsi"/>
                <w:noProof/>
                <w:sz w:val="20"/>
                <w:szCs w:val="20"/>
                <w:lang w:eastAsia="en-CA"/>
              </w:rPr>
              <w:t>i.e., no discharge date reported)</w:t>
            </w:r>
          </w:p>
        </w:tc>
      </w:tr>
      <w:tr w:rsidR="00067268" w:rsidRPr="00B00748" w:rsidTr="00E87456">
        <w:tc>
          <w:tcPr>
            <w:tcW w:w="1705" w:type="dxa"/>
          </w:tcPr>
          <w:p w:rsidR="00067268" w:rsidRPr="00B00748" w:rsidRDefault="00067268" w:rsidP="00067268">
            <w:pPr>
              <w:rPr>
                <w:rFonts w:asciiTheme="majorHAnsi" w:hAnsiTheme="majorHAnsi" w:cstheme="majorHAnsi"/>
                <w:sz w:val="20"/>
                <w:szCs w:val="20"/>
              </w:rPr>
            </w:pPr>
            <w:r>
              <w:rPr>
                <w:rFonts w:asciiTheme="majorHAnsi" w:hAnsiTheme="majorHAnsi" w:cstheme="majorHAnsi"/>
                <w:sz w:val="20"/>
                <w:szCs w:val="20"/>
              </w:rPr>
              <w:t>Currently Hospitalized – ICU</w:t>
            </w:r>
          </w:p>
        </w:tc>
        <w:tc>
          <w:tcPr>
            <w:tcW w:w="7645" w:type="dxa"/>
          </w:tcPr>
          <w:p w:rsidR="00067268" w:rsidRPr="00B00748" w:rsidRDefault="00067268" w:rsidP="00067268">
            <w:pPr>
              <w:rPr>
                <w:rFonts w:asciiTheme="majorHAnsi" w:hAnsiTheme="majorHAnsi" w:cstheme="majorHAnsi"/>
                <w:sz w:val="20"/>
                <w:szCs w:val="20"/>
              </w:rPr>
            </w:pPr>
            <w:r>
              <w:rPr>
                <w:rFonts w:asciiTheme="majorHAnsi" w:hAnsiTheme="majorHAnsi" w:cstheme="majorHAnsi"/>
                <w:sz w:val="20"/>
                <w:szCs w:val="20"/>
              </w:rPr>
              <w:t>Cases that are currently admitted to the intensive care unit (ICU) (i.e. no discharge date reported)</w:t>
            </w:r>
          </w:p>
        </w:tc>
      </w:tr>
      <w:tr w:rsidR="00067268" w:rsidRPr="00B00748" w:rsidTr="00E87456">
        <w:tc>
          <w:tcPr>
            <w:tcW w:w="1705" w:type="dxa"/>
          </w:tcPr>
          <w:p w:rsidR="00067268" w:rsidRPr="00B00748" w:rsidRDefault="00067268" w:rsidP="00067268">
            <w:pPr>
              <w:rPr>
                <w:rFonts w:asciiTheme="majorHAnsi" w:hAnsiTheme="majorHAnsi" w:cstheme="majorHAnsi"/>
                <w:sz w:val="20"/>
                <w:szCs w:val="20"/>
              </w:rPr>
            </w:pPr>
            <w:r>
              <w:rPr>
                <w:rFonts w:asciiTheme="majorHAnsi" w:hAnsiTheme="majorHAnsi" w:cstheme="majorHAnsi"/>
                <w:sz w:val="20"/>
                <w:szCs w:val="20"/>
              </w:rPr>
              <w:t>Currently Hospitalized – Intubation</w:t>
            </w:r>
          </w:p>
        </w:tc>
        <w:tc>
          <w:tcPr>
            <w:tcW w:w="7645" w:type="dxa"/>
          </w:tcPr>
          <w:p w:rsidR="00067268" w:rsidRPr="00B00748" w:rsidRDefault="00067268" w:rsidP="00067268">
            <w:pPr>
              <w:rPr>
                <w:rFonts w:asciiTheme="majorHAnsi" w:hAnsiTheme="majorHAnsi" w:cstheme="majorHAnsi"/>
                <w:sz w:val="20"/>
                <w:szCs w:val="20"/>
              </w:rPr>
            </w:pPr>
            <w:r>
              <w:rPr>
                <w:rFonts w:asciiTheme="majorHAnsi" w:hAnsiTheme="majorHAnsi" w:cstheme="majorHAnsi"/>
                <w:sz w:val="20"/>
                <w:szCs w:val="20"/>
              </w:rPr>
              <w:t>Cases that are currently intubated (i.e. no discharge date reported)</w:t>
            </w:r>
          </w:p>
        </w:tc>
      </w:tr>
      <w:tr w:rsidR="00067268" w:rsidRPr="00B00748" w:rsidTr="00E87456">
        <w:tc>
          <w:tcPr>
            <w:tcW w:w="1705" w:type="dxa"/>
          </w:tcPr>
          <w:p w:rsidR="00067268" w:rsidRPr="00B00748" w:rsidRDefault="00067268" w:rsidP="00067268">
            <w:pPr>
              <w:rPr>
                <w:rFonts w:asciiTheme="majorHAnsi" w:hAnsiTheme="majorHAnsi" w:cstheme="majorHAnsi"/>
                <w:sz w:val="20"/>
                <w:szCs w:val="20"/>
              </w:rPr>
            </w:pPr>
            <w:r w:rsidRPr="00B00748">
              <w:rPr>
                <w:rFonts w:asciiTheme="majorHAnsi" w:hAnsiTheme="majorHAnsi" w:cstheme="majorHAnsi"/>
                <w:sz w:val="20"/>
                <w:szCs w:val="20"/>
              </w:rPr>
              <w:t>Exposures</w:t>
            </w:r>
          </w:p>
        </w:tc>
        <w:tc>
          <w:tcPr>
            <w:tcW w:w="7645" w:type="dxa"/>
          </w:tcPr>
          <w:p w:rsidR="00067268" w:rsidRPr="00B00748" w:rsidRDefault="00067268" w:rsidP="00067268">
            <w:pPr>
              <w:rPr>
                <w:rFonts w:asciiTheme="majorHAnsi" w:hAnsiTheme="majorHAnsi" w:cstheme="majorHAnsi"/>
                <w:sz w:val="20"/>
                <w:szCs w:val="20"/>
              </w:rPr>
            </w:pPr>
            <w:r w:rsidRPr="00B00748">
              <w:rPr>
                <w:rFonts w:asciiTheme="majorHAnsi" w:hAnsiTheme="majorHAnsi" w:cstheme="majorHAnsi"/>
                <w:sz w:val="20"/>
                <w:szCs w:val="20"/>
              </w:rPr>
              <w:t xml:space="preserve">The most </w:t>
            </w:r>
            <w:r>
              <w:rPr>
                <w:rFonts w:asciiTheme="majorHAnsi" w:hAnsiTheme="majorHAnsi" w:cstheme="majorHAnsi"/>
                <w:sz w:val="20"/>
                <w:szCs w:val="20"/>
              </w:rPr>
              <w:t xml:space="preserve">likely way that </w:t>
            </w:r>
            <w:r w:rsidRPr="00B00748">
              <w:rPr>
                <w:rFonts w:asciiTheme="majorHAnsi" w:hAnsiTheme="majorHAnsi" w:cstheme="majorHAnsi"/>
                <w:sz w:val="20"/>
                <w:szCs w:val="20"/>
              </w:rPr>
              <w:t xml:space="preserve">cases </w:t>
            </w:r>
            <w:r>
              <w:rPr>
                <w:rFonts w:asciiTheme="majorHAnsi" w:hAnsiTheme="majorHAnsi" w:cstheme="majorHAnsi"/>
                <w:sz w:val="20"/>
                <w:szCs w:val="20"/>
              </w:rPr>
              <w:t xml:space="preserve">acquired </w:t>
            </w:r>
            <w:r w:rsidRPr="00B00748">
              <w:rPr>
                <w:rFonts w:asciiTheme="majorHAnsi" w:hAnsiTheme="majorHAnsi" w:cstheme="majorHAnsi"/>
                <w:sz w:val="20"/>
                <w:szCs w:val="20"/>
              </w:rPr>
              <w:t>their COVID-19 infection</w:t>
            </w:r>
            <w:r>
              <w:rPr>
                <w:rFonts w:asciiTheme="majorHAnsi" w:hAnsiTheme="majorHAnsi" w:cstheme="majorHAnsi"/>
                <w:sz w:val="20"/>
                <w:szCs w:val="20"/>
              </w:rPr>
              <w:t xml:space="preserve">. Only the most likely exposure for each case is reported. Exposures that occurred up to 14 days before symptoms start are potential acquisition sources, and can include:  </w:t>
            </w:r>
          </w:p>
          <w:p w:rsidR="00067268" w:rsidRPr="00B00748" w:rsidRDefault="00067268" w:rsidP="00067268">
            <w:pPr>
              <w:pStyle w:val="ListParagraph"/>
              <w:numPr>
                <w:ilvl w:val="0"/>
                <w:numId w:val="3"/>
              </w:numPr>
              <w:rPr>
                <w:rFonts w:asciiTheme="majorHAnsi" w:hAnsiTheme="majorHAnsi" w:cstheme="majorHAnsi"/>
                <w:sz w:val="20"/>
                <w:szCs w:val="20"/>
              </w:rPr>
            </w:pPr>
            <w:r w:rsidRPr="00B00748">
              <w:rPr>
                <w:rFonts w:asciiTheme="majorHAnsi" w:hAnsiTheme="majorHAnsi" w:cstheme="majorHAnsi"/>
                <w:b/>
                <w:sz w:val="20"/>
                <w:szCs w:val="20"/>
              </w:rPr>
              <w:t>Travel:</w:t>
            </w:r>
            <w:r w:rsidRPr="00B00748">
              <w:rPr>
                <w:rFonts w:asciiTheme="majorHAnsi" w:hAnsiTheme="majorHAnsi" w:cstheme="majorHAnsi"/>
                <w:sz w:val="20"/>
                <w:szCs w:val="20"/>
              </w:rPr>
              <w:t xml:space="preserve"> T</w:t>
            </w:r>
            <w:r>
              <w:rPr>
                <w:rFonts w:asciiTheme="majorHAnsi" w:hAnsiTheme="majorHAnsi" w:cstheme="majorHAnsi"/>
                <w:sz w:val="20"/>
                <w:szCs w:val="20"/>
              </w:rPr>
              <w:t>ravel outside of Ontario.</w:t>
            </w:r>
          </w:p>
          <w:p w:rsidR="00067268" w:rsidRPr="00B00748" w:rsidRDefault="00067268" w:rsidP="00067268">
            <w:pPr>
              <w:pStyle w:val="ListParagraph"/>
              <w:numPr>
                <w:ilvl w:val="0"/>
                <w:numId w:val="3"/>
              </w:numPr>
              <w:rPr>
                <w:rFonts w:asciiTheme="majorHAnsi" w:hAnsiTheme="majorHAnsi" w:cstheme="majorHAnsi"/>
                <w:sz w:val="20"/>
                <w:szCs w:val="20"/>
              </w:rPr>
            </w:pPr>
            <w:r w:rsidRPr="00B00748">
              <w:rPr>
                <w:rFonts w:asciiTheme="majorHAnsi" w:hAnsiTheme="majorHAnsi" w:cstheme="majorHAnsi"/>
                <w:b/>
                <w:sz w:val="20"/>
                <w:szCs w:val="20"/>
              </w:rPr>
              <w:t>Close contact</w:t>
            </w:r>
            <w:r>
              <w:rPr>
                <w:rFonts w:asciiTheme="majorHAnsi" w:hAnsiTheme="majorHAnsi" w:cstheme="majorHAnsi"/>
                <w:b/>
                <w:sz w:val="20"/>
                <w:szCs w:val="20"/>
              </w:rPr>
              <w:t xml:space="preserve"> with a case</w:t>
            </w:r>
            <w:r w:rsidRPr="00B00748">
              <w:rPr>
                <w:rFonts w:asciiTheme="majorHAnsi" w:hAnsiTheme="majorHAnsi" w:cstheme="majorHAnsi"/>
                <w:b/>
                <w:sz w:val="20"/>
                <w:szCs w:val="20"/>
              </w:rPr>
              <w:t xml:space="preserve">: </w:t>
            </w:r>
            <w:r w:rsidRPr="008B3CC1">
              <w:rPr>
                <w:rFonts w:asciiTheme="majorHAnsi" w:hAnsiTheme="majorHAnsi" w:cstheme="majorHAnsi"/>
                <w:sz w:val="20"/>
                <w:szCs w:val="20"/>
              </w:rPr>
              <w:t>Was in close</w:t>
            </w:r>
            <w:r>
              <w:rPr>
                <w:rFonts w:asciiTheme="majorHAnsi" w:hAnsiTheme="majorHAnsi" w:cstheme="majorHAnsi"/>
                <w:b/>
                <w:sz w:val="20"/>
                <w:szCs w:val="20"/>
              </w:rPr>
              <w:t xml:space="preserve"> </w:t>
            </w:r>
            <w:r>
              <w:rPr>
                <w:rFonts w:asciiTheme="majorHAnsi" w:hAnsiTheme="majorHAnsi" w:cstheme="majorHAnsi"/>
                <w:sz w:val="20"/>
                <w:szCs w:val="20"/>
              </w:rPr>
              <w:t>c</w:t>
            </w:r>
            <w:r w:rsidRPr="00B00748">
              <w:rPr>
                <w:rFonts w:asciiTheme="majorHAnsi" w:hAnsiTheme="majorHAnsi" w:cstheme="majorHAnsi"/>
                <w:sz w:val="20"/>
                <w:szCs w:val="20"/>
              </w:rPr>
              <w:t>ontact with a</w:t>
            </w:r>
            <w:r>
              <w:rPr>
                <w:rFonts w:asciiTheme="majorHAnsi" w:hAnsiTheme="majorHAnsi" w:cstheme="majorHAnsi"/>
                <w:sz w:val="20"/>
                <w:szCs w:val="20"/>
              </w:rPr>
              <w:t xml:space="preserve"> </w:t>
            </w:r>
            <w:r w:rsidRPr="00B00748">
              <w:rPr>
                <w:rFonts w:asciiTheme="majorHAnsi" w:hAnsiTheme="majorHAnsi" w:cstheme="majorHAnsi"/>
                <w:sz w:val="20"/>
                <w:szCs w:val="20"/>
              </w:rPr>
              <w:t xml:space="preserve">confirmed </w:t>
            </w:r>
            <w:r>
              <w:rPr>
                <w:rFonts w:asciiTheme="majorHAnsi" w:hAnsiTheme="majorHAnsi" w:cstheme="majorHAnsi"/>
                <w:sz w:val="20"/>
                <w:szCs w:val="20"/>
              </w:rPr>
              <w:t xml:space="preserve">or probable </w:t>
            </w:r>
            <w:r w:rsidRPr="00B00748">
              <w:rPr>
                <w:rFonts w:asciiTheme="majorHAnsi" w:hAnsiTheme="majorHAnsi" w:cstheme="majorHAnsi"/>
                <w:sz w:val="20"/>
                <w:szCs w:val="20"/>
              </w:rPr>
              <w:t>COVID-19</w:t>
            </w:r>
            <w:r>
              <w:rPr>
                <w:rFonts w:asciiTheme="majorHAnsi" w:hAnsiTheme="majorHAnsi" w:cstheme="majorHAnsi"/>
                <w:sz w:val="20"/>
                <w:szCs w:val="20"/>
              </w:rPr>
              <w:t xml:space="preserve"> case (e.g. reside in the same household).</w:t>
            </w:r>
          </w:p>
          <w:p w:rsidR="00067268" w:rsidRPr="001532F5" w:rsidRDefault="00067268" w:rsidP="00067268">
            <w:pPr>
              <w:pStyle w:val="ListParagraph"/>
              <w:numPr>
                <w:ilvl w:val="0"/>
                <w:numId w:val="3"/>
              </w:numPr>
              <w:rPr>
                <w:rFonts w:asciiTheme="majorHAnsi" w:hAnsiTheme="majorHAnsi" w:cstheme="majorHAnsi"/>
                <w:sz w:val="20"/>
                <w:szCs w:val="20"/>
              </w:rPr>
            </w:pPr>
            <w:r>
              <w:rPr>
                <w:rFonts w:asciiTheme="majorHAnsi" w:hAnsiTheme="majorHAnsi" w:cstheme="majorHAnsi"/>
                <w:b/>
                <w:sz w:val="20"/>
                <w:szCs w:val="20"/>
              </w:rPr>
              <w:t>Institutional setting:</w:t>
            </w:r>
            <w:r w:rsidRPr="00565586">
              <w:rPr>
                <w:rFonts w:asciiTheme="majorHAnsi" w:hAnsiTheme="majorHAnsi" w:cstheme="majorHAnsi"/>
                <w:sz w:val="20"/>
                <w:szCs w:val="20"/>
              </w:rPr>
              <w:t xml:space="preserve"> Institutional settings includes, but not limited to: long-term care homes, acute care hospitals, complex case hospitals, special care facilities, retirement homes, rehabilitation hospitals.  </w:t>
            </w:r>
          </w:p>
          <w:p w:rsidR="00067268" w:rsidRPr="00565586" w:rsidRDefault="00067268" w:rsidP="00067268">
            <w:pPr>
              <w:pStyle w:val="ListParagraph"/>
              <w:numPr>
                <w:ilvl w:val="0"/>
                <w:numId w:val="3"/>
              </w:numPr>
              <w:rPr>
                <w:rFonts w:asciiTheme="majorHAnsi" w:hAnsiTheme="majorHAnsi" w:cstheme="majorHAnsi"/>
                <w:sz w:val="20"/>
                <w:szCs w:val="20"/>
              </w:rPr>
            </w:pPr>
            <w:r>
              <w:rPr>
                <w:rFonts w:asciiTheme="majorHAnsi" w:hAnsiTheme="majorHAnsi" w:cstheme="majorHAnsi"/>
                <w:b/>
                <w:sz w:val="20"/>
                <w:szCs w:val="20"/>
              </w:rPr>
              <w:t>H</w:t>
            </w:r>
            <w:r w:rsidRPr="00565586">
              <w:rPr>
                <w:rFonts w:asciiTheme="majorHAnsi" w:hAnsiTheme="majorHAnsi" w:cstheme="majorHAnsi"/>
                <w:b/>
                <w:sz w:val="20"/>
                <w:szCs w:val="20"/>
              </w:rPr>
              <w:t xml:space="preserve">ealthcare setting: </w:t>
            </w:r>
            <w:r w:rsidRPr="00565586">
              <w:rPr>
                <w:rFonts w:asciiTheme="majorHAnsi" w:hAnsiTheme="majorHAnsi" w:cstheme="majorHAnsi"/>
                <w:sz w:val="20"/>
                <w:szCs w:val="20"/>
              </w:rPr>
              <w:t xml:space="preserve">Healthcare settings includes, but not limited to: family physician, dentist, ophthalmologist, sports doctor.    </w:t>
            </w:r>
            <w:r w:rsidRPr="00565586">
              <w:rPr>
                <w:rFonts w:asciiTheme="majorHAnsi" w:hAnsiTheme="majorHAnsi" w:cstheme="majorHAnsi"/>
                <w:b/>
                <w:sz w:val="20"/>
                <w:szCs w:val="20"/>
              </w:rPr>
              <w:t xml:space="preserve"> </w:t>
            </w:r>
          </w:p>
          <w:p w:rsidR="00067268" w:rsidRDefault="00067268" w:rsidP="00067268">
            <w:pPr>
              <w:pStyle w:val="ListParagraph"/>
              <w:numPr>
                <w:ilvl w:val="0"/>
                <w:numId w:val="3"/>
              </w:numPr>
              <w:rPr>
                <w:rFonts w:asciiTheme="majorHAnsi" w:hAnsiTheme="majorHAnsi" w:cstheme="majorHAnsi"/>
                <w:sz w:val="20"/>
                <w:szCs w:val="20"/>
              </w:rPr>
            </w:pPr>
            <w:r w:rsidRPr="00B00748">
              <w:rPr>
                <w:rFonts w:asciiTheme="majorHAnsi" w:hAnsiTheme="majorHAnsi" w:cstheme="majorHAnsi"/>
                <w:b/>
                <w:sz w:val="20"/>
                <w:szCs w:val="20"/>
              </w:rPr>
              <w:t xml:space="preserve">Community: </w:t>
            </w:r>
            <w:r>
              <w:rPr>
                <w:rFonts w:asciiTheme="majorHAnsi" w:hAnsiTheme="majorHAnsi" w:cstheme="majorHAnsi"/>
                <w:sz w:val="20"/>
                <w:szCs w:val="20"/>
              </w:rPr>
              <w:t>Cases with n</w:t>
            </w:r>
            <w:r w:rsidRPr="00B00748">
              <w:rPr>
                <w:rFonts w:asciiTheme="majorHAnsi" w:hAnsiTheme="majorHAnsi" w:cstheme="majorHAnsi"/>
                <w:sz w:val="20"/>
                <w:szCs w:val="20"/>
              </w:rPr>
              <w:t>o reported travel outside of Ontario, no</w:t>
            </w:r>
            <w:r>
              <w:rPr>
                <w:rFonts w:asciiTheme="majorHAnsi" w:hAnsiTheme="majorHAnsi" w:cstheme="majorHAnsi"/>
                <w:sz w:val="20"/>
                <w:szCs w:val="20"/>
              </w:rPr>
              <w:t xml:space="preserve"> known </w:t>
            </w:r>
            <w:r w:rsidRPr="00B00748">
              <w:rPr>
                <w:rFonts w:asciiTheme="majorHAnsi" w:hAnsiTheme="majorHAnsi" w:cstheme="majorHAnsi"/>
                <w:sz w:val="20"/>
                <w:szCs w:val="20"/>
              </w:rPr>
              <w:t>close contact with a COVID-19 case, and no reported infection acquired in a</w:t>
            </w:r>
            <w:r>
              <w:rPr>
                <w:rFonts w:asciiTheme="majorHAnsi" w:hAnsiTheme="majorHAnsi" w:cstheme="majorHAnsi"/>
                <w:sz w:val="20"/>
                <w:szCs w:val="20"/>
              </w:rPr>
              <w:t xml:space="preserve">n </w:t>
            </w:r>
            <w:r w:rsidRPr="00B00748">
              <w:rPr>
                <w:rFonts w:asciiTheme="majorHAnsi" w:hAnsiTheme="majorHAnsi" w:cstheme="majorHAnsi"/>
                <w:sz w:val="20"/>
                <w:szCs w:val="20"/>
              </w:rPr>
              <w:t xml:space="preserve">institutional </w:t>
            </w:r>
            <w:r>
              <w:rPr>
                <w:rFonts w:asciiTheme="majorHAnsi" w:hAnsiTheme="majorHAnsi" w:cstheme="majorHAnsi"/>
                <w:sz w:val="20"/>
                <w:szCs w:val="20"/>
              </w:rPr>
              <w:t xml:space="preserve">or healthcare </w:t>
            </w:r>
            <w:r w:rsidRPr="00B00748">
              <w:rPr>
                <w:rFonts w:asciiTheme="majorHAnsi" w:hAnsiTheme="majorHAnsi" w:cstheme="majorHAnsi"/>
                <w:sz w:val="20"/>
                <w:szCs w:val="20"/>
              </w:rPr>
              <w:t xml:space="preserve">setting.  </w:t>
            </w:r>
          </w:p>
          <w:p w:rsidR="00FA3CB2" w:rsidRPr="00E77077" w:rsidRDefault="00FA3CB2" w:rsidP="00067268">
            <w:pPr>
              <w:rPr>
                <w:rFonts w:asciiTheme="majorHAnsi" w:hAnsiTheme="majorHAnsi" w:cstheme="majorHAnsi"/>
                <w:sz w:val="20"/>
                <w:szCs w:val="20"/>
              </w:rPr>
            </w:pPr>
            <w:r>
              <w:rPr>
                <w:rFonts w:asciiTheme="majorHAnsi" w:hAnsiTheme="majorHAnsi" w:cstheme="majorHAnsi"/>
                <w:sz w:val="20"/>
                <w:szCs w:val="20"/>
              </w:rPr>
              <w:t xml:space="preserve">Approximately </w:t>
            </w:r>
            <w:r w:rsidR="003D398A">
              <w:rPr>
                <w:rFonts w:asciiTheme="majorHAnsi" w:hAnsiTheme="majorHAnsi" w:cstheme="majorHAnsi"/>
                <w:sz w:val="20"/>
                <w:szCs w:val="20"/>
              </w:rPr>
              <w:t>20</w:t>
            </w:r>
            <w:r>
              <w:rPr>
                <w:rFonts w:asciiTheme="majorHAnsi" w:hAnsiTheme="majorHAnsi" w:cstheme="majorHAnsi"/>
                <w:sz w:val="20"/>
                <w:szCs w:val="20"/>
              </w:rPr>
              <w:t>% of cases overall do not have an exposure.</w:t>
            </w:r>
          </w:p>
        </w:tc>
      </w:tr>
      <w:tr w:rsidR="00067268" w:rsidRPr="00B00748" w:rsidTr="00E87456">
        <w:tc>
          <w:tcPr>
            <w:tcW w:w="1705" w:type="dxa"/>
          </w:tcPr>
          <w:p w:rsidR="00067268" w:rsidRPr="00B00748" w:rsidRDefault="00067268" w:rsidP="00067268">
            <w:pPr>
              <w:rPr>
                <w:rFonts w:asciiTheme="majorHAnsi" w:hAnsiTheme="majorHAnsi" w:cstheme="majorHAnsi"/>
                <w:sz w:val="20"/>
                <w:szCs w:val="20"/>
              </w:rPr>
            </w:pPr>
            <w:r>
              <w:rPr>
                <w:rFonts w:asciiTheme="majorHAnsi" w:hAnsiTheme="majorHAnsi" w:cstheme="majorHAnsi"/>
                <w:sz w:val="20"/>
                <w:szCs w:val="20"/>
              </w:rPr>
              <w:t>Unknown gender</w:t>
            </w:r>
          </w:p>
        </w:tc>
        <w:tc>
          <w:tcPr>
            <w:tcW w:w="7645" w:type="dxa"/>
          </w:tcPr>
          <w:p w:rsidR="00067268" w:rsidRPr="00B00748" w:rsidRDefault="00067268" w:rsidP="00067268">
            <w:pPr>
              <w:rPr>
                <w:rFonts w:asciiTheme="majorHAnsi" w:hAnsiTheme="majorHAnsi" w:cstheme="majorHAnsi"/>
                <w:sz w:val="20"/>
                <w:szCs w:val="20"/>
              </w:rPr>
            </w:pPr>
            <w:r>
              <w:rPr>
                <w:rFonts w:asciiTheme="majorHAnsi" w:hAnsiTheme="majorHAnsi" w:cstheme="majorHAnsi"/>
                <w:sz w:val="20"/>
                <w:szCs w:val="20"/>
              </w:rPr>
              <w:t xml:space="preserve">Information on gender was not available. </w:t>
            </w:r>
          </w:p>
        </w:tc>
      </w:tr>
      <w:tr w:rsidR="00067268" w:rsidRPr="00B00748" w:rsidTr="00E87456">
        <w:tc>
          <w:tcPr>
            <w:tcW w:w="1705" w:type="dxa"/>
          </w:tcPr>
          <w:p w:rsidR="00067268" w:rsidRDefault="00067268" w:rsidP="00067268">
            <w:pPr>
              <w:rPr>
                <w:rFonts w:asciiTheme="majorHAnsi" w:hAnsiTheme="majorHAnsi" w:cstheme="majorHAnsi"/>
                <w:sz w:val="20"/>
                <w:szCs w:val="20"/>
              </w:rPr>
            </w:pPr>
            <w:r>
              <w:rPr>
                <w:rFonts w:asciiTheme="majorHAnsi" w:hAnsiTheme="majorHAnsi" w:cstheme="majorHAnsi"/>
                <w:sz w:val="20"/>
                <w:szCs w:val="20"/>
              </w:rPr>
              <w:t>Rate per 100,000 population</w:t>
            </w:r>
          </w:p>
        </w:tc>
        <w:tc>
          <w:tcPr>
            <w:tcW w:w="7645" w:type="dxa"/>
          </w:tcPr>
          <w:p w:rsidR="00067268" w:rsidRDefault="00067268" w:rsidP="00067268">
            <w:pPr>
              <w:rPr>
                <w:rFonts w:ascii="Cambria Math" w:hAnsi="Cambria Math" w:cs="Cambria Math"/>
                <w:sz w:val="20"/>
                <w:szCs w:val="20"/>
              </w:rPr>
            </w:pPr>
            <w:r w:rsidRPr="008C221F">
              <w:rPr>
                <w:rFonts w:asciiTheme="majorHAnsi" w:hAnsiTheme="majorHAnsi" w:cstheme="majorHAnsi"/>
                <w:sz w:val="20"/>
                <w:szCs w:val="20"/>
              </w:rPr>
              <w:t>COVID-19 rates are crude incidence rates that show the number of COVID</w:t>
            </w:r>
            <w:r>
              <w:rPr>
                <w:rFonts w:asciiTheme="majorHAnsi" w:hAnsiTheme="majorHAnsi" w:cstheme="majorHAnsi"/>
                <w:sz w:val="20"/>
                <w:szCs w:val="20"/>
              </w:rPr>
              <w:t xml:space="preserve">-19 cases </w:t>
            </w:r>
            <w:r w:rsidRPr="008C221F">
              <w:rPr>
                <w:rFonts w:asciiTheme="majorHAnsi" w:hAnsiTheme="majorHAnsi" w:cstheme="majorHAnsi"/>
                <w:sz w:val="20"/>
                <w:szCs w:val="20"/>
              </w:rPr>
              <w:t xml:space="preserve">for every 100,000 </w:t>
            </w:r>
            <w:r>
              <w:rPr>
                <w:rFonts w:asciiTheme="majorHAnsi" w:hAnsiTheme="majorHAnsi" w:cstheme="majorHAnsi"/>
                <w:sz w:val="20"/>
                <w:szCs w:val="20"/>
              </w:rPr>
              <w:t>people. Rates are calculated for each neighbourhood in Toronto</w:t>
            </w:r>
            <w:r w:rsidRPr="008C221F">
              <w:rPr>
                <w:rFonts w:asciiTheme="majorHAnsi" w:hAnsiTheme="majorHAnsi" w:cstheme="majorHAnsi"/>
                <w:sz w:val="20"/>
                <w:szCs w:val="20"/>
              </w:rPr>
              <w:t>. T</w:t>
            </w:r>
            <w:r>
              <w:rPr>
                <w:rFonts w:asciiTheme="majorHAnsi" w:hAnsiTheme="majorHAnsi" w:cstheme="majorHAnsi"/>
                <w:sz w:val="20"/>
                <w:szCs w:val="20"/>
              </w:rPr>
              <w:t xml:space="preserve">hey are calculated by dividing </w:t>
            </w:r>
            <w:r w:rsidRPr="008C221F">
              <w:rPr>
                <w:rFonts w:asciiTheme="majorHAnsi" w:hAnsiTheme="majorHAnsi" w:cstheme="majorHAnsi"/>
                <w:sz w:val="20"/>
                <w:szCs w:val="20"/>
              </w:rPr>
              <w:t xml:space="preserve">COVID-19 </w:t>
            </w:r>
            <w:r>
              <w:rPr>
                <w:rFonts w:asciiTheme="majorHAnsi" w:hAnsiTheme="majorHAnsi" w:cstheme="majorHAnsi"/>
                <w:sz w:val="20"/>
                <w:szCs w:val="20"/>
              </w:rPr>
              <w:t>cases</w:t>
            </w:r>
            <w:r w:rsidRPr="008C221F">
              <w:rPr>
                <w:rFonts w:asciiTheme="majorHAnsi" w:hAnsiTheme="majorHAnsi" w:cstheme="majorHAnsi"/>
                <w:sz w:val="20"/>
                <w:szCs w:val="20"/>
              </w:rPr>
              <w:t xml:space="preserve"> by the total number of people in the applicable population</w:t>
            </w:r>
            <w:r>
              <w:rPr>
                <w:rFonts w:asciiTheme="majorHAnsi" w:hAnsiTheme="majorHAnsi" w:cstheme="majorHAnsi"/>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09"/>
              <w:gridCol w:w="3710"/>
            </w:tblGrid>
            <w:tr w:rsidR="00067268" w:rsidTr="00BC3ECD">
              <w:tc>
                <w:tcPr>
                  <w:tcW w:w="3709" w:type="dxa"/>
                </w:tcPr>
                <w:p w:rsidR="00067268" w:rsidRDefault="00067268" w:rsidP="00067268">
                  <w:pPr>
                    <w:jc w:val="center"/>
                    <w:rPr>
                      <w:rFonts w:asciiTheme="majorHAnsi" w:hAnsiTheme="majorHAnsi" w:cstheme="majorHAnsi"/>
                      <w:i/>
                      <w:sz w:val="20"/>
                      <w:szCs w:val="20"/>
                    </w:rPr>
                  </w:pPr>
                  <w:r w:rsidRPr="00B3475E">
                    <w:rPr>
                      <w:rFonts w:asciiTheme="majorHAnsi" w:hAnsiTheme="majorHAnsi" w:cstheme="majorHAnsi"/>
                      <w:i/>
                      <w:sz w:val="20"/>
                      <w:szCs w:val="20"/>
                    </w:rPr>
                    <w:t>Number of Cases</w:t>
                  </w:r>
                </w:p>
                <w:p w:rsidR="00067268" w:rsidRPr="00B3475E" w:rsidRDefault="00067268" w:rsidP="00067268">
                  <w:pPr>
                    <w:rPr>
                      <w:rFonts w:asciiTheme="majorHAnsi" w:hAnsiTheme="majorHAnsi" w:cstheme="majorHAnsi"/>
                      <w:i/>
                      <w:sz w:val="20"/>
                      <w:szCs w:val="20"/>
                    </w:rPr>
                  </w:pPr>
                  <w:r>
                    <w:rPr>
                      <w:rFonts w:asciiTheme="majorHAnsi" w:hAnsiTheme="majorHAnsi" w:cstheme="majorHAnsi"/>
                      <w:i/>
                      <w:sz w:val="20"/>
                      <w:szCs w:val="20"/>
                    </w:rPr>
                    <w:t xml:space="preserve">  ________________________________</w:t>
                  </w:r>
                </w:p>
              </w:tc>
              <w:tc>
                <w:tcPr>
                  <w:tcW w:w="3710" w:type="dxa"/>
                  <w:vMerge w:val="restart"/>
                </w:tcPr>
                <w:p w:rsidR="00067268" w:rsidRDefault="00067268" w:rsidP="00067268">
                  <w:pPr>
                    <w:rPr>
                      <w:rFonts w:asciiTheme="majorHAnsi" w:hAnsiTheme="majorHAnsi" w:cstheme="majorHAnsi"/>
                      <w:sz w:val="20"/>
                      <w:szCs w:val="20"/>
                    </w:rPr>
                  </w:pPr>
                </w:p>
                <w:p w:rsidR="00067268" w:rsidRDefault="00067268" w:rsidP="00067268">
                  <w:pPr>
                    <w:rPr>
                      <w:rFonts w:asciiTheme="majorHAnsi" w:hAnsiTheme="majorHAnsi" w:cstheme="majorHAnsi"/>
                      <w:sz w:val="20"/>
                      <w:szCs w:val="20"/>
                    </w:rPr>
                  </w:pPr>
                  <w:r>
                    <w:rPr>
                      <w:rFonts w:asciiTheme="majorHAnsi" w:hAnsiTheme="majorHAnsi" w:cstheme="majorHAnsi"/>
                      <w:sz w:val="20"/>
                      <w:szCs w:val="20"/>
                    </w:rPr>
                    <w:t>x 100,000</w:t>
                  </w:r>
                </w:p>
                <w:p w:rsidR="00067268" w:rsidRDefault="00067268" w:rsidP="00067268">
                  <w:pPr>
                    <w:rPr>
                      <w:rFonts w:asciiTheme="majorHAnsi" w:hAnsiTheme="majorHAnsi" w:cstheme="majorHAnsi"/>
                      <w:sz w:val="20"/>
                      <w:szCs w:val="20"/>
                    </w:rPr>
                  </w:pPr>
                </w:p>
                <w:p w:rsidR="00067268" w:rsidRDefault="00067268" w:rsidP="00067268">
                  <w:pPr>
                    <w:rPr>
                      <w:rFonts w:asciiTheme="majorHAnsi" w:hAnsiTheme="majorHAnsi" w:cstheme="majorHAnsi"/>
                      <w:sz w:val="20"/>
                      <w:szCs w:val="20"/>
                    </w:rPr>
                  </w:pPr>
                </w:p>
              </w:tc>
            </w:tr>
            <w:tr w:rsidR="00067268" w:rsidTr="00BC3ECD">
              <w:tc>
                <w:tcPr>
                  <w:tcW w:w="3709" w:type="dxa"/>
                </w:tcPr>
                <w:p w:rsidR="00067268" w:rsidRPr="00B3475E" w:rsidRDefault="00067268" w:rsidP="00067268">
                  <w:pPr>
                    <w:spacing w:before="120"/>
                    <w:jc w:val="center"/>
                    <w:rPr>
                      <w:rFonts w:asciiTheme="majorHAnsi" w:hAnsiTheme="majorHAnsi" w:cstheme="majorHAnsi"/>
                      <w:i/>
                      <w:sz w:val="20"/>
                      <w:szCs w:val="20"/>
                    </w:rPr>
                  </w:pPr>
                  <w:r>
                    <w:rPr>
                      <w:rFonts w:asciiTheme="majorHAnsi" w:hAnsiTheme="majorHAnsi" w:cstheme="majorHAnsi"/>
                      <w:i/>
                      <w:sz w:val="20"/>
                      <w:szCs w:val="20"/>
                    </w:rPr>
                    <w:t>Total number of people in that population</w:t>
                  </w:r>
                </w:p>
              </w:tc>
              <w:tc>
                <w:tcPr>
                  <w:tcW w:w="3710" w:type="dxa"/>
                  <w:vMerge/>
                </w:tcPr>
                <w:p w:rsidR="00067268" w:rsidRDefault="00067268" w:rsidP="00067268">
                  <w:pPr>
                    <w:rPr>
                      <w:rFonts w:asciiTheme="majorHAnsi" w:hAnsiTheme="majorHAnsi" w:cstheme="majorHAnsi"/>
                      <w:sz w:val="20"/>
                      <w:szCs w:val="20"/>
                    </w:rPr>
                  </w:pPr>
                </w:p>
              </w:tc>
            </w:tr>
          </w:tbl>
          <w:p w:rsidR="00067268" w:rsidRDefault="00067268" w:rsidP="00067268">
            <w:pPr>
              <w:rPr>
                <w:rFonts w:asciiTheme="majorHAnsi" w:hAnsiTheme="majorHAnsi" w:cstheme="majorHAnsi"/>
                <w:sz w:val="20"/>
                <w:szCs w:val="20"/>
              </w:rPr>
            </w:pPr>
          </w:p>
        </w:tc>
      </w:tr>
      <w:tr w:rsidR="00067268" w:rsidRPr="00B00748" w:rsidTr="00E87456">
        <w:tc>
          <w:tcPr>
            <w:tcW w:w="1705" w:type="dxa"/>
          </w:tcPr>
          <w:p w:rsidR="00067268" w:rsidRDefault="00067268" w:rsidP="00067268">
            <w:pPr>
              <w:rPr>
                <w:rFonts w:asciiTheme="majorHAnsi" w:hAnsiTheme="majorHAnsi" w:cstheme="majorHAnsi"/>
                <w:sz w:val="20"/>
                <w:szCs w:val="20"/>
              </w:rPr>
            </w:pPr>
            <w:r>
              <w:rPr>
                <w:rFonts w:asciiTheme="majorHAnsi" w:hAnsiTheme="majorHAnsi" w:cstheme="majorHAnsi"/>
                <w:sz w:val="20"/>
                <w:szCs w:val="20"/>
              </w:rPr>
              <w:t>Map</w:t>
            </w:r>
          </w:p>
        </w:tc>
        <w:tc>
          <w:tcPr>
            <w:tcW w:w="7645" w:type="dxa"/>
          </w:tcPr>
          <w:p w:rsidR="00067268" w:rsidRPr="008C221F" w:rsidRDefault="00067268" w:rsidP="00067268">
            <w:pPr>
              <w:rPr>
                <w:rFonts w:asciiTheme="majorHAnsi" w:hAnsiTheme="majorHAnsi" w:cstheme="majorHAnsi"/>
                <w:sz w:val="20"/>
                <w:szCs w:val="20"/>
              </w:rPr>
            </w:pPr>
            <w:r w:rsidRPr="00960C2A">
              <w:rPr>
                <w:rFonts w:asciiTheme="majorHAnsi" w:hAnsiTheme="majorHAnsi" w:cstheme="majorHAnsi"/>
                <w:sz w:val="20"/>
                <w:szCs w:val="20"/>
              </w:rPr>
              <w:t>The cumulative number of COVID-19 cases</w:t>
            </w:r>
            <w:r>
              <w:rPr>
                <w:rFonts w:asciiTheme="majorHAnsi" w:hAnsiTheme="majorHAnsi" w:cstheme="majorHAnsi"/>
                <w:sz w:val="20"/>
                <w:szCs w:val="20"/>
              </w:rPr>
              <w:t xml:space="preserve"> and</w:t>
            </w:r>
            <w:r w:rsidRPr="00960C2A">
              <w:rPr>
                <w:rFonts w:asciiTheme="majorHAnsi" w:hAnsiTheme="majorHAnsi" w:cstheme="majorHAnsi"/>
                <w:sz w:val="20"/>
                <w:szCs w:val="20"/>
              </w:rPr>
              <w:t xml:space="preserve"> corresponding rates per 100,000 population by </w:t>
            </w:r>
            <w:r>
              <w:rPr>
                <w:rFonts w:asciiTheme="majorHAnsi" w:hAnsiTheme="majorHAnsi" w:cstheme="majorHAnsi"/>
                <w:sz w:val="20"/>
                <w:szCs w:val="20"/>
              </w:rPr>
              <w:t>City of Toronto neighbourhood</w:t>
            </w:r>
            <w:r w:rsidRPr="00960C2A">
              <w:rPr>
                <w:rFonts w:asciiTheme="majorHAnsi" w:hAnsiTheme="majorHAnsi" w:cstheme="majorHAnsi"/>
                <w:sz w:val="20"/>
                <w:szCs w:val="20"/>
              </w:rPr>
              <w:t xml:space="preserve"> are presented.</w:t>
            </w:r>
          </w:p>
        </w:tc>
      </w:tr>
      <w:tr w:rsidR="00067268" w:rsidRPr="00B00748" w:rsidTr="00E87456">
        <w:tc>
          <w:tcPr>
            <w:tcW w:w="1705" w:type="dxa"/>
          </w:tcPr>
          <w:p w:rsidR="00067268" w:rsidRDefault="00067268" w:rsidP="00067268">
            <w:pPr>
              <w:rPr>
                <w:rFonts w:asciiTheme="majorHAnsi" w:hAnsiTheme="majorHAnsi" w:cstheme="majorHAnsi"/>
                <w:sz w:val="20"/>
                <w:szCs w:val="20"/>
              </w:rPr>
            </w:pPr>
            <w:r>
              <w:rPr>
                <w:rFonts w:asciiTheme="majorHAnsi" w:hAnsiTheme="majorHAnsi" w:cstheme="majorHAnsi"/>
                <w:sz w:val="20"/>
                <w:szCs w:val="20"/>
              </w:rPr>
              <w:t>Postal Codes</w:t>
            </w:r>
          </w:p>
        </w:tc>
        <w:tc>
          <w:tcPr>
            <w:tcW w:w="7645" w:type="dxa"/>
          </w:tcPr>
          <w:p w:rsidR="00067268" w:rsidRDefault="00067268" w:rsidP="00067268">
            <w:pPr>
              <w:rPr>
                <w:rFonts w:asciiTheme="majorHAnsi" w:hAnsiTheme="majorHAnsi" w:cstheme="majorHAnsi"/>
                <w:sz w:val="20"/>
                <w:szCs w:val="20"/>
              </w:rPr>
            </w:pPr>
            <w:r w:rsidRPr="00183D1B">
              <w:rPr>
                <w:rFonts w:asciiTheme="majorHAnsi" w:hAnsiTheme="majorHAnsi" w:cstheme="majorHAnsi"/>
                <w:sz w:val="20"/>
                <w:szCs w:val="20"/>
              </w:rPr>
              <w:t>We are only able to map those cases with a valid postal code. While this information is being update</w:t>
            </w:r>
            <w:r>
              <w:rPr>
                <w:rFonts w:asciiTheme="majorHAnsi" w:hAnsiTheme="majorHAnsi" w:cstheme="majorHAnsi"/>
                <w:sz w:val="20"/>
                <w:szCs w:val="20"/>
              </w:rPr>
              <w:t>d all the time, approximately 5</w:t>
            </w:r>
            <w:r w:rsidRPr="00183D1B">
              <w:rPr>
                <w:rFonts w:asciiTheme="majorHAnsi" w:hAnsiTheme="majorHAnsi" w:cstheme="majorHAnsi"/>
                <w:sz w:val="20"/>
                <w:szCs w:val="20"/>
              </w:rPr>
              <w:t>% of cases currently have a missing or invalid postal code. During an outbreak, all data are provisional and undergoing continu</w:t>
            </w:r>
            <w:r>
              <w:rPr>
                <w:rFonts w:asciiTheme="majorHAnsi" w:hAnsiTheme="majorHAnsi" w:cstheme="majorHAnsi"/>
                <w:sz w:val="20"/>
                <w:szCs w:val="20"/>
              </w:rPr>
              <w:t>ous validation and improvement.</w:t>
            </w:r>
          </w:p>
        </w:tc>
      </w:tr>
    </w:tbl>
    <w:p w:rsidR="00EB43DA" w:rsidRDefault="00EB43DA" w:rsidP="00F16EBC">
      <w:pPr>
        <w:spacing w:after="0" w:line="240" w:lineRule="auto"/>
        <w:rPr>
          <w:rFonts w:asciiTheme="majorHAnsi" w:hAnsiTheme="majorHAnsi" w:cstheme="majorHAnsi"/>
          <w:sz w:val="24"/>
          <w:szCs w:val="24"/>
        </w:rPr>
      </w:pPr>
    </w:p>
    <w:sectPr w:rsidR="00EB43DA" w:rsidSect="00D21732">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F0E29"/>
    <w:multiLevelType w:val="hybridMultilevel"/>
    <w:tmpl w:val="96DE68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35011D"/>
    <w:multiLevelType w:val="hybridMultilevel"/>
    <w:tmpl w:val="A77A888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7CFA5B52"/>
    <w:multiLevelType w:val="hybridMultilevel"/>
    <w:tmpl w:val="AF921C6E"/>
    <w:lvl w:ilvl="0" w:tplc="FE6ADF12">
      <w:start w:val="1"/>
      <w:numFmt w:val="upperLetter"/>
      <w:lvlText w:val="%1."/>
      <w:lvlJc w:val="left"/>
      <w:pPr>
        <w:ind w:left="108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A90"/>
    <w:rsid w:val="00032BF2"/>
    <w:rsid w:val="00042E36"/>
    <w:rsid w:val="00050778"/>
    <w:rsid w:val="00067268"/>
    <w:rsid w:val="000718A1"/>
    <w:rsid w:val="00076370"/>
    <w:rsid w:val="00082062"/>
    <w:rsid w:val="00094641"/>
    <w:rsid w:val="00094A6A"/>
    <w:rsid w:val="000A135F"/>
    <w:rsid w:val="000D6199"/>
    <w:rsid w:val="000E7032"/>
    <w:rsid w:val="000F16C2"/>
    <w:rsid w:val="00112E54"/>
    <w:rsid w:val="00114BDA"/>
    <w:rsid w:val="00130566"/>
    <w:rsid w:val="00134243"/>
    <w:rsid w:val="001532F5"/>
    <w:rsid w:val="00155241"/>
    <w:rsid w:val="001723E8"/>
    <w:rsid w:val="00173510"/>
    <w:rsid w:val="00183D1B"/>
    <w:rsid w:val="001B14E5"/>
    <w:rsid w:val="001B21FA"/>
    <w:rsid w:val="001D4264"/>
    <w:rsid w:val="00212C01"/>
    <w:rsid w:val="00227D93"/>
    <w:rsid w:val="00234AB4"/>
    <w:rsid w:val="002418BA"/>
    <w:rsid w:val="00271C71"/>
    <w:rsid w:val="00275D7C"/>
    <w:rsid w:val="002973BC"/>
    <w:rsid w:val="002979F6"/>
    <w:rsid w:val="002B51F1"/>
    <w:rsid w:val="002B634A"/>
    <w:rsid w:val="002C367A"/>
    <w:rsid w:val="002D738B"/>
    <w:rsid w:val="002F5A61"/>
    <w:rsid w:val="00305385"/>
    <w:rsid w:val="00325AD7"/>
    <w:rsid w:val="003506FC"/>
    <w:rsid w:val="0036364A"/>
    <w:rsid w:val="003B4AAC"/>
    <w:rsid w:val="003C5683"/>
    <w:rsid w:val="003C7FAA"/>
    <w:rsid w:val="003D398A"/>
    <w:rsid w:val="003E5236"/>
    <w:rsid w:val="004140B2"/>
    <w:rsid w:val="00422D7D"/>
    <w:rsid w:val="00430A90"/>
    <w:rsid w:val="004344CE"/>
    <w:rsid w:val="00464A45"/>
    <w:rsid w:val="00470A9C"/>
    <w:rsid w:val="00483668"/>
    <w:rsid w:val="004865CF"/>
    <w:rsid w:val="00493AF4"/>
    <w:rsid w:val="00497F6A"/>
    <w:rsid w:val="004A6BDF"/>
    <w:rsid w:val="004C5878"/>
    <w:rsid w:val="004C7C15"/>
    <w:rsid w:val="004E1F5D"/>
    <w:rsid w:val="00507E0A"/>
    <w:rsid w:val="0051010C"/>
    <w:rsid w:val="00515A9B"/>
    <w:rsid w:val="00515BFE"/>
    <w:rsid w:val="005538C5"/>
    <w:rsid w:val="00565586"/>
    <w:rsid w:val="00580EAD"/>
    <w:rsid w:val="00590210"/>
    <w:rsid w:val="00590E60"/>
    <w:rsid w:val="005A1A14"/>
    <w:rsid w:val="005A4895"/>
    <w:rsid w:val="005B0054"/>
    <w:rsid w:val="00602306"/>
    <w:rsid w:val="00607820"/>
    <w:rsid w:val="006117FF"/>
    <w:rsid w:val="006159CC"/>
    <w:rsid w:val="00636925"/>
    <w:rsid w:val="00636B38"/>
    <w:rsid w:val="00655F56"/>
    <w:rsid w:val="0067089D"/>
    <w:rsid w:val="006810ED"/>
    <w:rsid w:val="006A0864"/>
    <w:rsid w:val="006A6E90"/>
    <w:rsid w:val="006B10E0"/>
    <w:rsid w:val="006B4DC3"/>
    <w:rsid w:val="006C7C4F"/>
    <w:rsid w:val="006D22FA"/>
    <w:rsid w:val="006E760F"/>
    <w:rsid w:val="006F3A99"/>
    <w:rsid w:val="00715AAA"/>
    <w:rsid w:val="00717002"/>
    <w:rsid w:val="00717D30"/>
    <w:rsid w:val="00722E8E"/>
    <w:rsid w:val="007365FA"/>
    <w:rsid w:val="00774CE6"/>
    <w:rsid w:val="007805B7"/>
    <w:rsid w:val="007A43DB"/>
    <w:rsid w:val="007A4D56"/>
    <w:rsid w:val="007A7E00"/>
    <w:rsid w:val="007D2BE8"/>
    <w:rsid w:val="007D3B10"/>
    <w:rsid w:val="007F2DF5"/>
    <w:rsid w:val="007F3CDC"/>
    <w:rsid w:val="008055E2"/>
    <w:rsid w:val="0084048B"/>
    <w:rsid w:val="00854BDB"/>
    <w:rsid w:val="00856F81"/>
    <w:rsid w:val="00866003"/>
    <w:rsid w:val="008B05E3"/>
    <w:rsid w:val="008B3CC1"/>
    <w:rsid w:val="008C221F"/>
    <w:rsid w:val="008E1D57"/>
    <w:rsid w:val="009005DC"/>
    <w:rsid w:val="0095328F"/>
    <w:rsid w:val="00955359"/>
    <w:rsid w:val="00960C2A"/>
    <w:rsid w:val="009A1018"/>
    <w:rsid w:val="009B0215"/>
    <w:rsid w:val="009B24F6"/>
    <w:rsid w:val="009B3310"/>
    <w:rsid w:val="009C674D"/>
    <w:rsid w:val="009E55F5"/>
    <w:rsid w:val="009E7FA4"/>
    <w:rsid w:val="00A0045C"/>
    <w:rsid w:val="00A00DB5"/>
    <w:rsid w:val="00A039A3"/>
    <w:rsid w:val="00A164E5"/>
    <w:rsid w:val="00A265A8"/>
    <w:rsid w:val="00A276D3"/>
    <w:rsid w:val="00A46F5C"/>
    <w:rsid w:val="00A60035"/>
    <w:rsid w:val="00A6116A"/>
    <w:rsid w:val="00A82F35"/>
    <w:rsid w:val="00AA150A"/>
    <w:rsid w:val="00AA2BAA"/>
    <w:rsid w:val="00AB3AB8"/>
    <w:rsid w:val="00AC1C45"/>
    <w:rsid w:val="00AD40E1"/>
    <w:rsid w:val="00AF54C8"/>
    <w:rsid w:val="00B00748"/>
    <w:rsid w:val="00B2526A"/>
    <w:rsid w:val="00B3475E"/>
    <w:rsid w:val="00B43FD9"/>
    <w:rsid w:val="00B83B57"/>
    <w:rsid w:val="00B94E00"/>
    <w:rsid w:val="00BC2F34"/>
    <w:rsid w:val="00BF0927"/>
    <w:rsid w:val="00C05F02"/>
    <w:rsid w:val="00C13007"/>
    <w:rsid w:val="00C13D46"/>
    <w:rsid w:val="00C60015"/>
    <w:rsid w:val="00C630B6"/>
    <w:rsid w:val="00C657C0"/>
    <w:rsid w:val="00C7146A"/>
    <w:rsid w:val="00C90D50"/>
    <w:rsid w:val="00CA1CB8"/>
    <w:rsid w:val="00CB3950"/>
    <w:rsid w:val="00CB63CE"/>
    <w:rsid w:val="00CD3A52"/>
    <w:rsid w:val="00D064BF"/>
    <w:rsid w:val="00D21732"/>
    <w:rsid w:val="00D401DE"/>
    <w:rsid w:val="00D50DAF"/>
    <w:rsid w:val="00D618E6"/>
    <w:rsid w:val="00D7518E"/>
    <w:rsid w:val="00DD2B31"/>
    <w:rsid w:val="00DD31F0"/>
    <w:rsid w:val="00E016C1"/>
    <w:rsid w:val="00E01C50"/>
    <w:rsid w:val="00E10126"/>
    <w:rsid w:val="00E13D11"/>
    <w:rsid w:val="00E22C7D"/>
    <w:rsid w:val="00E42758"/>
    <w:rsid w:val="00E56131"/>
    <w:rsid w:val="00E77077"/>
    <w:rsid w:val="00E87456"/>
    <w:rsid w:val="00EA4230"/>
    <w:rsid w:val="00EB43DA"/>
    <w:rsid w:val="00F020AA"/>
    <w:rsid w:val="00F0514F"/>
    <w:rsid w:val="00F16EBC"/>
    <w:rsid w:val="00F318CB"/>
    <w:rsid w:val="00F35947"/>
    <w:rsid w:val="00F37A1E"/>
    <w:rsid w:val="00F6589C"/>
    <w:rsid w:val="00F74B17"/>
    <w:rsid w:val="00F8126B"/>
    <w:rsid w:val="00FA3CB2"/>
    <w:rsid w:val="00FC737F"/>
    <w:rsid w:val="00FD4E5D"/>
    <w:rsid w:val="00FE27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F083B0-AEE9-4F6C-A578-53868E99D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4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B43DA"/>
    <w:rPr>
      <w:color w:val="0000FF"/>
      <w:u w:val="single"/>
    </w:rPr>
  </w:style>
  <w:style w:type="character" w:styleId="CommentReference">
    <w:name w:val="annotation reference"/>
    <w:basedOn w:val="DefaultParagraphFont"/>
    <w:uiPriority w:val="99"/>
    <w:semiHidden/>
    <w:unhideWhenUsed/>
    <w:rsid w:val="00607820"/>
    <w:rPr>
      <w:sz w:val="16"/>
      <w:szCs w:val="16"/>
    </w:rPr>
  </w:style>
  <w:style w:type="paragraph" w:styleId="CommentText">
    <w:name w:val="annotation text"/>
    <w:basedOn w:val="Normal"/>
    <w:link w:val="CommentTextChar"/>
    <w:uiPriority w:val="99"/>
    <w:semiHidden/>
    <w:unhideWhenUsed/>
    <w:rsid w:val="00607820"/>
    <w:pPr>
      <w:spacing w:line="240" w:lineRule="auto"/>
    </w:pPr>
    <w:rPr>
      <w:sz w:val="20"/>
      <w:szCs w:val="20"/>
    </w:rPr>
  </w:style>
  <w:style w:type="character" w:customStyle="1" w:styleId="CommentTextChar">
    <w:name w:val="Comment Text Char"/>
    <w:basedOn w:val="DefaultParagraphFont"/>
    <w:link w:val="CommentText"/>
    <w:uiPriority w:val="99"/>
    <w:semiHidden/>
    <w:rsid w:val="00607820"/>
    <w:rPr>
      <w:sz w:val="20"/>
      <w:szCs w:val="20"/>
    </w:rPr>
  </w:style>
  <w:style w:type="paragraph" w:styleId="CommentSubject">
    <w:name w:val="annotation subject"/>
    <w:basedOn w:val="CommentText"/>
    <w:next w:val="CommentText"/>
    <w:link w:val="CommentSubjectChar"/>
    <w:uiPriority w:val="99"/>
    <w:semiHidden/>
    <w:unhideWhenUsed/>
    <w:rsid w:val="00607820"/>
    <w:rPr>
      <w:b/>
      <w:bCs/>
    </w:rPr>
  </w:style>
  <w:style w:type="character" w:customStyle="1" w:styleId="CommentSubjectChar">
    <w:name w:val="Comment Subject Char"/>
    <w:basedOn w:val="CommentTextChar"/>
    <w:link w:val="CommentSubject"/>
    <w:uiPriority w:val="99"/>
    <w:semiHidden/>
    <w:rsid w:val="00607820"/>
    <w:rPr>
      <w:b/>
      <w:bCs/>
      <w:sz w:val="20"/>
      <w:szCs w:val="20"/>
    </w:rPr>
  </w:style>
  <w:style w:type="paragraph" w:styleId="BalloonText">
    <w:name w:val="Balloon Text"/>
    <w:basedOn w:val="Normal"/>
    <w:link w:val="BalloonTextChar"/>
    <w:uiPriority w:val="99"/>
    <w:semiHidden/>
    <w:unhideWhenUsed/>
    <w:rsid w:val="006078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820"/>
    <w:rPr>
      <w:rFonts w:ascii="Segoe UI" w:hAnsi="Segoe UI" w:cs="Segoe UI"/>
      <w:sz w:val="18"/>
      <w:szCs w:val="18"/>
    </w:rPr>
  </w:style>
  <w:style w:type="paragraph" w:styleId="ListParagraph">
    <w:name w:val="List Paragraph"/>
    <w:basedOn w:val="Normal"/>
    <w:uiPriority w:val="34"/>
    <w:qFormat/>
    <w:rsid w:val="005B0054"/>
    <w:pPr>
      <w:ind w:left="720"/>
      <w:contextualSpacing/>
    </w:pPr>
    <w:rPr>
      <w:rFonts w:ascii="Calibri" w:hAnsi="Calibri" w:cs="Arial"/>
      <w:szCs w:val="24"/>
    </w:rPr>
  </w:style>
  <w:style w:type="paragraph" w:customStyle="1" w:styleId="xmsonormal">
    <w:name w:val="x_msonormal"/>
    <w:basedOn w:val="Normal"/>
    <w:rsid w:val="005B0054"/>
    <w:pPr>
      <w:spacing w:after="0" w:line="240" w:lineRule="auto"/>
    </w:pPr>
    <w:rPr>
      <w:rFonts w:ascii="Calibri" w:hAnsi="Calibri" w:cs="Calibri"/>
      <w:lang w:eastAsia="en-CA"/>
    </w:rPr>
  </w:style>
  <w:style w:type="paragraph" w:customStyle="1" w:styleId="Default">
    <w:name w:val="Default"/>
    <w:rsid w:val="005B0054"/>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8E1D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526222">
      <w:bodyDiv w:val="1"/>
      <w:marLeft w:val="0"/>
      <w:marRight w:val="0"/>
      <w:marTop w:val="0"/>
      <w:marBottom w:val="0"/>
      <w:divBdr>
        <w:top w:val="none" w:sz="0" w:space="0" w:color="auto"/>
        <w:left w:val="none" w:sz="0" w:space="0" w:color="auto"/>
        <w:bottom w:val="none" w:sz="0" w:space="0" w:color="auto"/>
        <w:right w:val="none" w:sz="0" w:space="0" w:color="auto"/>
      </w:divBdr>
    </w:div>
    <w:div w:id="1333146123">
      <w:bodyDiv w:val="1"/>
      <w:marLeft w:val="0"/>
      <w:marRight w:val="0"/>
      <w:marTop w:val="0"/>
      <w:marBottom w:val="0"/>
      <w:divBdr>
        <w:top w:val="none" w:sz="0" w:space="0" w:color="auto"/>
        <w:left w:val="none" w:sz="0" w:space="0" w:color="auto"/>
        <w:bottom w:val="none" w:sz="0" w:space="0" w:color="auto"/>
        <w:right w:val="none" w:sz="0" w:space="0" w:color="auto"/>
      </w:divBdr>
    </w:div>
    <w:div w:id="180827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ealth.gov.on.ca/en/pro/programs/publichealth/coronavirus/docs/2019_case_definition.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E6A5D-B85D-4A94-AF3D-33B1A2D0B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1014</Words>
  <Characters>5780</Characters>
  <Application>Microsoft Office Word</Application>
  <DocSecurity>4</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City of Toronto</Company>
  <LinksUpToDate>false</LinksUpToDate>
  <CharactersWithSpaces>6781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Leung</dc:creator>
  <cp:keywords/>
  <dc:description/>
  <cp:lastModifiedBy>Jo Nair</cp:lastModifiedBy>
  <cp:revision>2</cp:revision>
  <dcterms:created xsi:type="dcterms:W3CDTF">2020-08-31T13:14:00Z</dcterms:created>
  <dcterms:modified xsi:type="dcterms:W3CDTF">2020-08-31T13:14:00Z</dcterms:modified>
</cp:coreProperties>
</file>