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B42318"/>
          <w:spacing w:val="40"/>
          <w:sz w:val="18"/>
          <w:szCs w:val="18"/>
        </w:rPr>
        <w:t xml:space="preserve">U1DYNAMICS MANUFACTURING LLC</w:t>
      </w:r>
    </w:p>
    <w:p>
      <w:pPr>
        <w:spacing w:after="20"/>
      </w:pPr>
      <w:r>
        <w:rPr>
          <w:rFonts w:ascii="Aptos" w:cs="Aptos" w:eastAsia="Aptos" w:hAnsi="Aptos"/>
          <w:b/>
          <w:bCs/>
          <w:color w:val="0B1F3A"/>
          <w:sz w:val="40"/>
          <w:szCs w:val="40"/>
        </w:rPr>
        <w:t xml:space="preserve">Presenter's Guide / Guía del Presentador</w:t>
      </w:r>
    </w:p>
    <w:p>
      <w:pPr>
        <w:spacing w:after="20"/>
      </w:pPr>
      <w:r>
        <w:rPr>
          <w:rFonts w:ascii="Aptos" w:cs="Aptos" w:eastAsia="Aptos" w:hAnsi="Aptos"/>
          <w:color w:val="475467"/>
          <w:sz w:val="22"/>
          <w:szCs w:val="22"/>
        </w:rPr>
        <w:t xml:space="preserve">Board Operating Review · April 2026 / Revisión Operativa del Consejo · Abril 2026</w:t>
      </w:r>
    </w:p>
    <w:p>
      <w:pPr>
        <w:spacing w:after="200"/>
      </w:pPr>
      <w:r>
        <w:rPr>
          <w:rFonts w:ascii="Aptos" w:cs="Aptos" w:eastAsia="Aptos" w:hAnsi="Aptos"/>
          <w:color w:val="98A2B3"/>
          <w:sz w:val="19"/>
          <w:szCs w:val="19"/>
        </w:rPr>
        <w:t xml:space="preserve">Presenter / Presenta: Eugenio Piratelli, General Manager  ·  Confidential / Confidencial</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HOW TO USE THIS GUIDE / CÓMO USAR ESTA GUÍA</w:t>
      </w:r>
    </w:p>
    <w:p>
      <w:pPr>
        <w:spacing w:after="100"/>
        <w:jc w:val="both"/>
      </w:pPr>
      <w:r>
        <w:rPr>
          <w:rFonts w:ascii="Aptos" w:cs="Aptos" w:eastAsia="Aptos" w:hAnsi="Aptos"/>
          <w:color w:val="111827"/>
          <w:sz w:val="21"/>
          <w:szCs w:val="21"/>
        </w:rPr>
        <w:t xml:space="preserve">Each board slide (1–9) has a target time, the board action it drives, an English and a Spanish talk track, the exact numbers to hit, and the transition into the next slide. Present from slides 1–9 only; keep slides 10–15 of the deck as your private prep. Total target: about 15 minutes, then open to discussion.</w:t>
      </w:r>
    </w:p>
    <w:p>
      <w:pPr>
        <w:spacing w:after="100"/>
        <w:jc w:val="both"/>
      </w:pPr>
      <w:r>
        <w:rPr>
          <w:rFonts w:ascii="Aptos" w:cs="Aptos" w:eastAsia="Aptos" w:hAnsi="Aptos"/>
          <w:color w:val="475467"/>
          <w:sz w:val="21"/>
          <w:szCs w:val="21"/>
        </w:rPr>
        <w:t xml:space="preserve">Cada lámina del Consejo (1–9) tiene un tiempo objetivo, la acción que impulsa, un guion en inglés y en español, los números exactos a mencionar, y la transición hacia la siguiente lámina. Presente solo las láminas 1–9; mantenga las 10–15 como su preparación privada. Objetivo total: unos 15 minutos, luego abra a discusión.</w:t>
      </w:r>
    </w:p>
    <w:p>
      <w:pPr>
        <w:pBdr>
          <w:bottom w:val="single" w:color="E4E7EC" w:sz="6" w:space="1"/>
        </w:pBdr>
        <w:spacing w:after="120" w:before="120"/>
      </w:pPr>
    </w:p>
    <w:p>
      <w:pPr>
        <w:spacing w:after="40" w:before="200"/>
      </w:pPr>
      <w:r>
        <w:rPr>
          <w:rFonts w:ascii="Aptos" w:cs="Aptos" w:eastAsia="Aptos" w:hAnsi="Aptos"/>
          <w:b/>
          <w:bCs/>
          <w:color w:val="0B1F3A"/>
          <w:spacing w:val="30"/>
          <w:sz w:val="16"/>
          <w:szCs w:val="16"/>
        </w:rPr>
        <w:t xml:space="preserve">90-SECOND OPENING / APERTURA DE 90 SEGUNDOS</w:t>
      </w:r>
    </w:p>
    <w:p>
      <w:pPr>
        <w:spacing w:after="8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April was operationally clean, but the value question is financial and strategic. We can make and ship; now we must convert volume into durable margin, cash, and a diversified customer base. Tonight I'm asking for three approvals: margin recovery, working-capital discipline, and customer diversification.</w:t>
      </w:r>
    </w:p>
    <w:p>
      <w:pPr>
        <w:spacing w:after="80"/>
        <w:jc w:val="both"/>
      </w:pPr>
      <w:r>
        <w:rPr>
          <w:rFonts w:ascii="Aptos" w:cs="Aptos" w:eastAsia="Aptos" w:hAnsi="Aptos"/>
          <w:b/>
          <w:bCs/>
          <w:color w:val="B42318"/>
          <w:spacing w:val="20"/>
          <w:sz w:val="18"/>
          <w:szCs w:val="18"/>
        </w:rPr>
        <w:t xml:space="preserve">ES   </w:t>
      </w:r>
      <w:r>
        <w:rPr>
          <w:rFonts w:ascii="Aptos" w:cs="Aptos" w:eastAsia="Aptos" w:hAnsi="Aptos"/>
          <w:color w:val="111827"/>
          <w:sz w:val="21"/>
          <w:szCs w:val="21"/>
        </w:rPr>
        <w:t xml:space="preserve">Abril fue limpio en lo operativo, pero la pregunta de valor es financiera y estratégica. Podemos fabricar y despachar; ahora debemos convertir el volumen en margen durable, caja y una base de clientes diversificada. Esta noche pido tres aprobaciones: recuperación de margen, disciplina de capital de trabajo y diversificación de clientes.</w:t>
      </w:r>
    </w:p>
    <w:p>
      <w:r>
        <w:br w:type="page"/>
      </w:r>
    </w:p>
    <w:p>
      <w:pPr>
        <w:spacing w:after="120"/>
      </w:pPr>
      <w:r>
        <w:rPr>
          <w:rFonts w:ascii="Aptos" w:cs="Aptos" w:eastAsia="Aptos" w:hAnsi="Aptos"/>
          <w:b/>
          <w:bCs/>
          <w:color w:val="0B1F3A"/>
          <w:sz w:val="30"/>
          <w:szCs w:val="30"/>
        </w:rPr>
        <w:t xml:space="preserve">Slide-by-slide script / Guion lámina por lámina</w:t>
      </w:r>
    </w:p>
    <w:p>
      <w:pPr>
        <w:spacing w:after="40" w:before="200"/>
      </w:pPr>
      <w:r>
        <w:rPr>
          <w:rFonts w:ascii="Aptos" w:cs="Aptos" w:eastAsia="Aptos" w:hAnsi="Aptos"/>
          <w:b/>
          <w:bCs/>
          <w:color w:val="B42318"/>
          <w:spacing w:val="30"/>
          <w:sz w:val="16"/>
          <w:szCs w:val="16"/>
        </w:rPr>
        <w:t xml:space="preserve">SLIDE 1 / LÁMINA 1</w:t>
      </w:r>
    </w:p>
    <w:p>
      <w:pPr>
        <w:spacing w:after="60"/>
      </w:pPr>
      <w:r>
        <w:rPr>
          <w:rFonts w:ascii="Aptos" w:cs="Aptos" w:eastAsia="Aptos" w:hAnsi="Aptos"/>
          <w:b/>
          <w:bCs/>
          <w:color w:val="0B1F3A"/>
          <w:sz w:val="30"/>
          <w:szCs w:val="30"/>
        </w:rPr>
        <w:t xml:space="preserve">Cover — Board Operating Review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~0:30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Set the frame</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Good evening. This is the April board operating review. Before the numbers, one framing: the question tonight is not whether U1Dynamics can make and ship — it can. The question is whether we can convert that volume into durable margin, cash, and a more diversified customer base. I'll be brief, I'll name the risks before you have to find them, and I'll close with three decisions I'm asking you to approve.</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Buenas noches. Esta es la revisión operativa de abril para el Consejo. Antes de los números, un encuadre: la pregunta de esta noche no es si U1Dynamics puede fabricar y despachar — puede. La pregunta es si podemos convertir ese volumen en margen durable, caja y una base de clientes más diversificada. Seré breve, nombraré los riesgos antes de que ustedes tengan que buscarlos, y cerraré con tres decisiones que les pido aprobar.</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None — this is the framing slide.</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Let me start with the decision itself.</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Permítanme empezar por la decisión.</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2 / LÁMINA 2</w:t>
      </w:r>
    </w:p>
    <w:p>
      <w:pPr>
        <w:spacing w:after="60"/>
      </w:pPr>
      <w:r>
        <w:rPr>
          <w:rFonts w:ascii="Aptos" w:cs="Aptos" w:eastAsia="Aptos" w:hAnsi="Aptos"/>
          <w:b/>
          <w:bCs/>
          <w:color w:val="0B1F3A"/>
          <w:sz w:val="30"/>
          <w:szCs w:val="30"/>
        </w:rPr>
        <w:t xml:space="preserve">The decision: convert volume into margin, cash,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~1:00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Approve 3 decisions</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Here is the whole meeting on one slide. Trailing-twelve-month revenue is $9.47M at an 18.2% gross margin. Net income is essentially break-even at $92.9K. Net working capital is negative $202K, with payables at 1.3 times receivables. Our top five customers are 79% of volume. The posture is simple: operationally sound, financially thin, strategically over-concentrated. I'm not here to review the month — I'm asking the board to approve three moves: close the margin gap, protect working capital, and diversify the base. The rest of the deck is the evidence behind each.</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Aquí está toda la reunión en una sola lámina. Los ingresos de los últimos doce meses son 9.47 millones de dólares con un margen bruto de 18.2%. La utilidad neta está prácticamente en punto de equilibrio, 92.9 mil dólares. El capital de trabajo neto es negativo en 202 mil dólares, con cuentas por pagar 1.3 veces las cuentas por cobrar. Nuestros cinco clientes principales representan el 79% del volumen. La postura es simple: sólidos en operación, delgados en lo financiero, sobre-concentrados en lo estratégico. No vengo a revisar el mes — le pido al Consejo aprobar tres movimientos: cerrar la brecha de margen, proteger el capital de trabajo y diversificar la base. El resto de la presentación es la evidencia de cada uno.</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Revenue TTM $9.47M · GM 18.2% · Net income $92.9K · NWC −$202K · AP 1.3× AR · Top-5 79%.</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Start with why concentration is the headline risk.</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Empecemos por qué la concentración es el riesgo principal.</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3 / LÁMINA 3</w:t>
      </w:r>
    </w:p>
    <w:p>
      <w:pPr>
        <w:spacing w:after="60"/>
      </w:pPr>
      <w:r>
        <w:rPr>
          <w:rFonts w:ascii="Aptos" w:cs="Aptos" w:eastAsia="Aptos" w:hAnsi="Aptos"/>
          <w:b/>
          <w:bCs/>
          <w:color w:val="0B1F3A"/>
          <w:sz w:val="30"/>
          <w:szCs w:val="30"/>
        </w:rPr>
        <w:t xml:space="preserve">The enterprise signal: bigger in volume, narrower in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~3:00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Set concentration target</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This is the most important trend in the company. Since 2023 our customer count fell from 311 to 55 — down 82%. Over the same period, top-5 concentration rose from 37% to 79% — up 42 points. And realized price per gallon fell from $15.55 to $10.36 — down 33%. Read together: we got bigger in volume but narrower in customers and cheaper in price. That is a concentration and valuation risk, not a clean growth story. My recommendation is a top-5 ceiling of 60% over four quarters, with explicit external-account growth targets.</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Esta es la tendencia más importante de la compañía. Desde 2023 el número de clientes cayó de 311 a 55 — una baja del 82%. En el mismo periodo, la concentración del top-5 subió de 37% a 79% — 42 puntos más. Y el precio realizado por galón bajó de 15.55 a 10.36 dólares — una caída del 33%. Leído en conjunto: crecimos en volumen pero nos hicimos más angostos en clientes y más baratos en precio. Eso es un riesgo de concentración y de valuación, no una historia de crecimiento limpio. Mi recomendación es un techo del 60% para el top-5 en cuatro trimestres, con metas explícitas de crecimiento de cuentas externas.</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Customers 311 → 55 (−82%) · Top-5 share 37% → 79% (+42 pts) · Realized $/gal $15.55 → $10.36 (−33%).</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Concentration matters because it sits on a thin margin. Let's look at margin.</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La concentración importa porque se asienta sobre un margen delgado. Veamos el margen.</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4 / LÁMINA 4</w:t>
      </w:r>
    </w:p>
    <w:p>
      <w:pPr>
        <w:spacing w:after="60"/>
      </w:pPr>
      <w:r>
        <w:rPr>
          <w:rFonts w:ascii="Aptos" w:cs="Aptos" w:eastAsia="Aptos" w:hAnsi="Aptos"/>
          <w:b/>
          <w:bCs/>
          <w:color w:val="0B1F3A"/>
          <w:sz w:val="30"/>
          <w:szCs w:val="30"/>
        </w:rPr>
        <w:t xml:space="preserve">Margin is recovering, but still below the value-creation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~3:00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Approve price/mix program</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TTM gross margin is 18.2% against a 25% reference. April itself was 19.6%, recovered from a 14.6% low in March — so the direction is right, but we're still below the line. The leverage is real: at this revenue base, every single point of gross margin is about $95K of gross profit. My read is that this gap is a price, mix, and intercompany-classification problem — not a plant-capability problem — until a SKU and customer margin bridge proves otherwise. I'm asking you to approve a Commercial/Finance price-mix program targeting 22% within two quarters, reported monthly by SKU, customer, and channel.</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El margen bruto de los últimos doce meses es 18.2% contra una referencia de 25%. Abril fue 19.6%, recuperándose de un mínimo de 14.6% en marzo — la dirección es correcta, pero seguimos por debajo de la línea. La palanca es real: a este nivel de ingresos, cada punto de margen bruto equivale a unos 95 mil dólares de utilidad bruta. Mi lectura es que esta brecha es un problema de precio, mezcla y clasificación intercompañía — no un problema de capacidad de planta — hasta que un puente de margen por SKU y por cliente demuestre lo contrario. Les pido aprobar un programa de precio-mezcla de Comercial y Finanzas con meta de 22% en dos trimestres, reportado mensualmente por SKU, cliente y canal.</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TTM GM 18.2% vs 25% ref · April 19.6% (from 14.6% in March) · ≈$95K per 1 pt of GM · Target ≥22% in 2 quarters.</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Thin margin is one pressure; the other is cash. Working capital.</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El margen delgado es una presión; la otra es la caja. Capital de trabajo.</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5 / LÁMINA 5</w:t>
      </w:r>
    </w:p>
    <w:p>
      <w:pPr>
        <w:spacing w:after="60"/>
      </w:pPr>
      <w:r>
        <w:rPr>
          <w:rFonts w:ascii="Aptos" w:cs="Aptos" w:eastAsia="Aptos" w:hAnsi="Aptos"/>
          <w:b/>
          <w:bCs/>
          <w:color w:val="0B1F3A"/>
          <w:sz w:val="30"/>
          <w:szCs w:val="30"/>
        </w:rPr>
        <w:t xml:space="preserve">Vendor credit is carrying part of the operating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~3:00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Approve 30/60/90 plan</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Net working capital is negative $201,816. Receivables are $731,611; payables are $933,427 — so AP is 1.3 times AR. In plain terms, our vendors are financing part of our operating cycle. That works only while their terms hold; if terms tighten before collections improve, we feel liquidity pressure quickly. The plan turns that dependence into a managed choice: at 30 days, a collections sprint on aged AR with a weekly cash huddle; at 60, renegotiate critical vendor terms before pressure appears; at 90, a minimum cash-coverage policy and an NWC dashboard. I'm asking for approval of a Finance-owned 30/60/90 plan, targeting net working capital of zero or better within 90 days, reported weekly.</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El capital de trabajo neto es negativo en 201,816 dólares. Las cuentas por cobrar son 731,611; las cuentas por pagar 933,427 — es decir, las por pagar son 1.3 veces las por cobrar. En términos simples, nuestros proveedores financian parte de nuestro ciclo operativo. Eso funciona solo mientras sus condiciones se mantengan; si se endurecen antes de que mejore la cobranza, sentimos la presión de liquidez rápido. El plan convierte esa dependencia en una decisión gestionada: a 30 días, un sprint de cobranza sobre la cartera vencida con reunión semanal de caja; a 60, renegociar las condiciones críticas con proveedores antes de que aparezca la presión; a 90, una política de cobertura mínima de caja y un tablero de capital de trabajo. Les pido aprobar un plan 30/60/90 a cargo de Finanzas, con meta de capital de trabajo neto en cero o mejor en 90 días, reportado semanalmente.</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NWC −$201,816 · AR $731,611 · AP $933,427 · AP/AR 1.3× · Target NWC ≥ $0 in 90 days.</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One account sits behind both the concentration and the margin questions.</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Una cuenta está detrás de las preguntas de concentración y de margen.</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6 / LÁMINA 6</w:t>
      </w:r>
    </w:p>
    <w:p>
      <w:pPr>
        <w:spacing w:after="60"/>
      </w:pPr>
      <w:r>
        <w:rPr>
          <w:rFonts w:ascii="Aptos" w:cs="Aptos" w:eastAsia="Aptos" w:hAnsi="Aptos"/>
          <w:b/>
          <w:bCs/>
          <w:color w:val="0B1F3A"/>
          <w:sz w:val="30"/>
          <w:szCs w:val="30"/>
        </w:rPr>
        <w:t xml:space="preserve">One intercompany-weighted account is a classification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~2:00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Resolve treatment</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Our largest account, at 42.2% of gallons year-to-date, is U1Dynamics Manufacturing itself — an intercompany-weighted account. After that: 8A Dominus at 13.2%, Competitive Edge at 9.7%, Maxilub at 7.7%, Amazon at 6.6%. The issue isn't the account; it's that we haven't formally classified it — customer, intercompany, or internal transfer. Until that's settled, our concentration, pricing, and revenue quality are partly blurred. I'm asking Finance to finalize the treatment before the next close, and Commercial to report external-account growth and the path to a 60% top-5 ceiling.</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Nuestra cuenta más grande, con 42.2% de los galones en lo que va del año, es la propia U1Dynamics Manufacturing — una cuenta de peso intercompañía. Después: 8A Dominus con 13.2%, Competitive Edge 9.7%, Maxilub 7.7%, Amazon 6.6%. El tema no es la cuenta; es que no la hemos clasificado formalmente — cliente, intercompañía o transferencia interna. Hasta resolverlo, nuestra concentración, precio y calidad de ingreso quedan parcialmente difusos. Le pido a Finanzas finalizar el tratamiento antes del próximo cierre, y a Comercial reportar el crecimiento de cuentas externas y la ruta hacia el techo de 60% del top-5.</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U1D (intercompany) 42.2% · 8A Dominus 13.2% · Competitive Edge 9.7% · Maxilub 7.7% · Amazon 6.6%.</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Now the good news — operations are not the problem.</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Ahora la buena noticia — la operación no es el problema.</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7 / LÁMINA 7</w:t>
      </w:r>
    </w:p>
    <w:p>
      <w:pPr>
        <w:spacing w:after="60"/>
      </w:pPr>
      <w:r>
        <w:rPr>
          <w:rFonts w:ascii="Aptos" w:cs="Aptos" w:eastAsia="Aptos" w:hAnsi="Aptos"/>
          <w:b/>
          <w:bCs/>
          <w:color w:val="0B1F3A"/>
          <w:sz w:val="30"/>
          <w:szCs w:val="30"/>
        </w:rPr>
        <w:t xml:space="preserve">Capacity is adequate overall; the Quarts line is the real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~1:00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Approve measurement + Quarts evaluation</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Operationally, Q1 output rose 28% year over year — 374,866 gallons, averaging 127,372 a month and peaking at 141,506 in March; annualized, about 1.5 million gallons a year. The plant has slack in aggregate, but the Quarts line is at its real ceiling — roughly 1,208 gallons a day at 96.5% availability — so it is our primary bottleneck for quart-format demand; the batch lines are efficient when they run. Two gaps I want you to hear from me first: we depend on a single active oil supplier, Lubrimar, plus packaging vendors with lead-time and quality exposure; and at the start of this tenure there were no formal QA records, no finished-goods retains, and no OSHA log — one minor PPE incident. We are standing up measurement and QA now, and we have already secured an alternative drum supplier for Q2.</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En lo operativo, la producción del primer trimestre subió 28% interanual — 374,866 galones, promedio de 127,372 al mes y pico de 141,506 en marzo; anualizado, cerca de 1.5 millones de galones al año. La planta tiene holgura en agregado, pero la línea de Quarts está en su techo real — unos 1,208 galones por día al 96.5% de disponibilidad — es nuestro cuello de botella primario para el formato quart; las líneas batch son eficientes cuando operan. Dos brechas que prefiero que escuchen de mí primero: dependemos de un único proveedor activo de aceite, Lubrimar, más proveedores de envases con exposición de lead-time y calidad; y al inicio de esta gestión no había registros formales de QA, ni testigos de producto terminado, ni log de OSHA — un incidente menor de EPP. Estamos levantando la medición y el QA ahora, y ya aseguramos un proveedor alternativo de tambores para el segundo trimestre.</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Q1 production 374,866 gal (+28.2% YoY) · monthly avg 127,372 · peak Mar 141,506 · Quarts line 96.5% util (primary bottleneck) · run-rate ~1.50M gal/yr.</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Before I ask for decisions, let me be clear about what is and isn't board-grade.</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Antes de pedir decisiones, seamos claros sobre qué es y qué no es de grado-consejo.</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8 / LÁMINA 8</w:t>
      </w:r>
    </w:p>
    <w:p>
      <w:pPr>
        <w:spacing w:after="60"/>
      </w:pPr>
      <w:r>
        <w:rPr>
          <w:rFonts w:ascii="Aptos" w:cs="Aptos" w:eastAsia="Aptos" w:hAnsi="Aptos"/>
          <w:b/>
          <w:bCs/>
          <w:color w:val="0B1F3A"/>
          <w:sz w:val="30"/>
          <w:szCs w:val="30"/>
        </w:rPr>
        <w:t xml:space="preserve">We will not ask the board to decide on numbers that aren't board-grade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~1:00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Protect credibility</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I want to draw a clear line. What is authoritative tonight: the QuickBooks P&amp;L — revenue, COGS, margin, net income; the locked April volume close; AR/AP aging; and production-versus-billing in gallons. Decide on these. What is not yet board-grade: a customer-file revenue figure of about $19.7M that does not reconcile to the $9.5M QuickBooks P&amp;L; the inventory anchor; a finance sync that's stale beyond 24 hours; and per-customer margin, because invoice-line cost is unverified. We will not ask you to decide on numbers that aren't ready. Finance reconciles those before any per-customer dollar view.</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Quiero trazar una línea clara. Lo que es autoritativo esta noche: el estado de resultados de QuickBooks — ingresos, costo de ventas, margen, utilidad neta; el cierre de volumen de abril ya bloqueado; la antigüedad de cuentas por cobrar y por pagar; y producción contra facturación en galones. Decidan sobre eso. Lo que aún no es de grado-consejo: una cifra de ingresos del archivo de clientes de unos 19.7 millones que no concilia con los 9.5 millones del estado de resultados de QuickBooks; el anclaje de inventario; una sincronización de finanzas con más de 24 horas de atraso; y el margen por cliente, porque el costo a nivel de línea de factura no está verificado. No les pediremos decidir sobre números que no están listos. Finanzas concilia eso antes de cualquier vista de dólares por cliente.</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Authoritative: QB P&amp;L, locked volume, AR/AP, production-vs-billing. Pending: $19.7M vs $9.5M, inventory anchor, stale sync, per-customer margin.</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So, here is what I'm asking you to approve.</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Entonces, esto es lo que les pido aprobar.</w:t>
      </w:r>
    </w:p>
    <w:p>
      <w:pPr>
        <w:pBdr>
          <w:bottom w:val="single" w:color="E4E7EC" w:sz="6" w:space="1"/>
        </w:pBdr>
        <w:spacing w:after="120" w:before="120"/>
      </w:pPr>
    </w:p>
    <w:p>
      <w:pPr>
        <w:spacing w:after="40" w:before="200"/>
      </w:pPr>
      <w:r>
        <w:rPr>
          <w:rFonts w:ascii="Aptos" w:cs="Aptos" w:eastAsia="Aptos" w:hAnsi="Aptos"/>
          <w:b/>
          <w:bCs/>
          <w:color w:val="B42318"/>
          <w:spacing w:val="30"/>
          <w:sz w:val="16"/>
          <w:szCs w:val="16"/>
        </w:rPr>
        <w:t xml:space="preserve">SLIDE 9 / LÁMINA 9</w:t>
      </w:r>
    </w:p>
    <w:p>
      <w:pPr>
        <w:spacing w:after="60"/>
      </w:pPr>
      <w:r>
        <w:rPr>
          <w:rFonts w:ascii="Aptos" w:cs="Aptos" w:eastAsia="Aptos" w:hAnsi="Aptos"/>
          <w:b/>
          <w:bCs/>
          <w:color w:val="0B1F3A"/>
          <w:sz w:val="30"/>
          <w:szCs w:val="30"/>
        </w:rPr>
        <w:t xml:space="preserve">Three approvals de-risk the enterprise in the 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TIME / TIEMPO  </w:t>
            </w:r>
            <w:r>
              <w:rPr>
                <w:rFonts w:ascii="Aptos" w:cs="Aptos" w:eastAsia="Aptos" w:hAnsi="Aptos"/>
                <w:b/>
                <w:bCs/>
                <w:color w:val="0B1F3A"/>
                <w:sz w:val="19"/>
                <w:szCs w:val="19"/>
              </w:rPr>
              <w:t xml:space="preserve">~1:00</w:t>
            </w:r>
          </w:p>
        </w:tc>
        <w:tc>
          <w:tcPr>
            <w:tcW w:type="dxa" w:w="4680"/>
            <w:tcBorders>
              <w:top w:val="single" w:color="E4E7EC" w:sz="2"/>
              <w:left w:val="single" w:color="E4E7EC" w:sz="2"/>
              <w:bottom w:val="single" w:color="E4E7EC" w:sz="2"/>
              <w:right w:val="single" w:color="E4E7EC" w:sz="2"/>
            </w:tcBorders>
            <w:shd w:fill="F2F4F7" w:val="clear"/>
            <w:tcMar>
              <w:top w:type="dxa" w:w="80"/>
              <w:left w:type="dxa" w:w="140"/>
              <w:bottom w:type="dxa" w:w="80"/>
              <w:right w:type="dxa" w:w="140"/>
            </w:tcMar>
          </w:tcPr>
          <w:p>
            <w:r>
              <w:rPr>
                <w:rFonts w:ascii="Aptos" w:cs="Aptos" w:eastAsia="Aptos" w:hAnsi="Aptos"/>
                <w:b/>
                <w:bCs/>
                <w:color w:val="98A2B3"/>
                <w:spacing w:val="20"/>
                <w:sz w:val="18"/>
                <w:szCs w:val="18"/>
              </w:rPr>
              <w:t xml:space="preserve">BOARD ACTION / ACCIÓN  </w:t>
            </w:r>
            <w:r>
              <w:rPr>
                <w:rFonts w:ascii="Aptos" w:cs="Aptos" w:eastAsia="Aptos" w:hAnsi="Aptos"/>
                <w:b/>
                <w:bCs/>
                <w:color w:val="B42318"/>
                <w:sz w:val="19"/>
                <w:szCs w:val="19"/>
              </w:rPr>
              <w:t xml:space="preserve">Board approval</w:t>
            </w:r>
          </w:p>
        </w:tc>
      </w:tr>
    </w:tbl>
    <w:p>
      <w:pPr>
        <w:spacing w:after="20"/>
      </w:pPr>
    </w:p>
    <w:p>
      <w:pPr>
        <w:spacing w:after="80"/>
        <w:jc w:val="both"/>
      </w:pPr>
      <w:r>
        <w:rPr>
          <w:rFonts w:ascii="Aptos" w:cs="Aptos" w:eastAsia="Aptos" w:hAnsi="Aptos"/>
          <w:b/>
          <w:bCs/>
          <w:color w:val="B42318"/>
          <w:spacing w:val="20"/>
          <w:sz w:val="18"/>
          <w:szCs w:val="18"/>
        </w:rPr>
        <w:t xml:space="preserve">SAY (EN)   </w:t>
      </w:r>
      <w:r>
        <w:rPr>
          <w:rFonts w:ascii="Aptos" w:cs="Aptos" w:eastAsia="Aptos" w:hAnsi="Aptos"/>
          <w:color w:val="111827"/>
          <w:sz w:val="21"/>
          <w:szCs w:val="21"/>
        </w:rPr>
        <w:t xml:space="preserve">Three approvals, each with an owner and a measurable outcome. One: close the margin gap — Commercial and Finance, gross margin at 22% within two quarters. Two: protect working capital — Finance, net working capital at zero or better in 90 days. Three: diversify the base — Commercial and Finance, a top-5 ceiling of 60% and intercompany treatment resolved by the next close. I'm asking you to approve all three as a single operating-discipline package. Waiting doesn't hold us steady — it extends near-break-even earnings, vendor-credit dependence, and concentration risk. I'd like the board's approval tonight.</w:t>
      </w:r>
    </w:p>
    <w:p>
      <w:pPr>
        <w:spacing w:after="80"/>
        <w:jc w:val="both"/>
      </w:pPr>
      <w:r>
        <w:rPr>
          <w:rFonts w:ascii="Aptos" w:cs="Aptos" w:eastAsia="Aptos" w:hAnsi="Aptos"/>
          <w:b/>
          <w:bCs/>
          <w:color w:val="0B1F3A"/>
          <w:spacing w:val="20"/>
          <w:sz w:val="18"/>
          <w:szCs w:val="18"/>
        </w:rPr>
        <w:t xml:space="preserve">DIGA (ES)   </w:t>
      </w:r>
      <w:r>
        <w:rPr>
          <w:rFonts w:ascii="Aptos" w:cs="Aptos" w:eastAsia="Aptos" w:hAnsi="Aptos"/>
          <w:color w:val="111827"/>
          <w:sz w:val="21"/>
          <w:szCs w:val="21"/>
        </w:rPr>
        <w:t xml:space="preserve">Tres aprobaciones, cada una con un responsable y un resultado medible. Uno: cerrar la brecha de margen — Comercial y Finanzas, margen bruto en 22% en dos trimestres. Dos: proteger el capital de trabajo — Finanzas, capital de trabajo neto en cero o mejor en 90 días. Tres: diversificar la base — Comercial y Finanzas, un techo de 60% para el top-5 y tratamiento intercompañía resuelto antes del próximo cierre. Les pido aprobar las tres como un solo paquete de disciplina operativa. Esperar no nos mantiene estables — prolonga utilidades cercanas al punto de equilibrio, la dependencia del crédito de proveedores y el riesgo de concentración. Quisiera la aprobación del Consejo esta noche.</w:t>
      </w:r>
    </w:p>
    <w:p>
      <w:pPr>
        <w:pBdr>
          <w:left w:val="single" w:color="0B1F3A" w:sz="18" w:space="8"/>
        </w:pBdr>
        <w:spacing w:after="80" w:before="60"/>
        <w:ind w:left="120"/>
      </w:pPr>
      <w:r>
        <w:rPr>
          <w:rFonts w:ascii="Aptos" w:cs="Aptos" w:eastAsia="Aptos" w:hAnsi="Aptos"/>
          <w:b/>
          <w:bCs/>
          <w:color w:val="0B1F3A"/>
          <w:spacing w:val="20"/>
          <w:sz w:val="18"/>
          <w:szCs w:val="18"/>
        </w:rPr>
        <w:t xml:space="preserve">NUMBERS TO HIT / NÚMEROS CLAVE   </w:t>
      </w:r>
      <w:r>
        <w:rPr>
          <w:rFonts w:ascii="Aptos" w:cs="Aptos" w:eastAsia="Aptos" w:hAnsi="Aptos"/>
          <w:color w:val="111827"/>
          <w:sz w:val="19"/>
          <w:szCs w:val="19"/>
        </w:rPr>
        <w:t xml:space="preserve">GM ≥22% in 2Q (Commercial/Finance) · NWC ≥$0 in 90d (Finance) · Top-5 ≤60% + intercompany resolved (Commercial/Finance).</w:t>
      </w:r>
    </w:p>
    <w:p>
      <w:pPr>
        <w:spacing w:after="80" w:before="40"/>
      </w:pPr>
      <w:r>
        <w:rPr>
          <w:rFonts w:ascii="Aptos" w:cs="Aptos" w:eastAsia="Aptos" w:hAnsi="Aptos"/>
          <w:b/>
          <w:bCs/>
          <w:color w:val="475467"/>
          <w:sz w:val="18"/>
          <w:szCs w:val="18"/>
        </w:rPr>
        <w:t xml:space="preserve">→ Transition: </w:t>
      </w:r>
      <w:r>
        <w:rPr>
          <w:rFonts w:ascii="Aptos" w:cs="Aptos" w:eastAsia="Aptos" w:hAnsi="Aptos"/>
          <w:i/>
          <w:iCs/>
          <w:color w:val="475467"/>
          <w:sz w:val="18"/>
          <w:szCs w:val="18"/>
        </w:rPr>
        <w:t xml:space="preserve">Close. Hand to discussion / Q&amp;A.</w:t>
      </w:r>
      <w:r>
        <w:rPr>
          <w:rFonts w:ascii="Aptos" w:cs="Aptos" w:eastAsia="Aptos" w:hAnsi="Aptos"/>
          <w:color w:val="98A2B3"/>
          <w:sz w:val="18"/>
          <w:szCs w:val="18"/>
        </w:rPr>
        <w:t xml:space="preserve">  /  </w:t>
      </w:r>
      <w:r>
        <w:rPr>
          <w:rFonts w:ascii="Aptos" w:cs="Aptos" w:eastAsia="Aptos" w:hAnsi="Aptos"/>
          <w:i/>
          <w:iCs/>
          <w:color w:val="475467"/>
          <w:sz w:val="18"/>
          <w:szCs w:val="18"/>
        </w:rPr>
        <w:t xml:space="preserve">Cierre. Abrir a discusión / preguntas.</w:t>
      </w:r>
    </w:p>
    <w:p>
      <w:r>
        <w:br w:type="page"/>
      </w:r>
    </w:p>
    <w:p>
      <w:pPr>
        <w:spacing w:after="60"/>
      </w:pPr>
      <w:r>
        <w:rPr>
          <w:rFonts w:ascii="Aptos" w:cs="Aptos" w:eastAsia="Aptos" w:hAnsi="Aptos"/>
          <w:b/>
          <w:bCs/>
          <w:color w:val="0B1F3A"/>
          <w:sz w:val="30"/>
          <w:szCs w:val="30"/>
        </w:rPr>
        <w:t xml:space="preserve">Likely board questions / Preguntas probables del Consejo</w:t>
      </w:r>
    </w:p>
    <w:p>
      <w:pPr>
        <w:spacing w:after="120"/>
      </w:pPr>
      <w:r>
        <w:rPr>
          <w:rFonts w:ascii="Aptos" w:cs="Aptos" w:eastAsia="Aptos" w:hAnsi="Aptos"/>
          <w:i/>
          <w:iCs/>
          <w:color w:val="475467"/>
          <w:sz w:val="19"/>
          <w:szCs w:val="19"/>
        </w:rPr>
        <w:t xml:space="preserve">Answer with facts, ownership, and the next action — no defensiveness. / Responda con hechos, responsable y la siguiente acción — sin actitud defensiva.</w:t>
      </w:r>
    </w:p>
    <w:p>
      <w:pPr>
        <w:spacing w:after="30" w:before="160"/>
      </w:pPr>
      <w:r>
        <w:rPr>
          <w:rFonts w:ascii="Aptos" w:cs="Aptos" w:eastAsia="Aptos" w:hAnsi="Aptos"/>
          <w:b/>
          <w:bCs/>
          <w:color w:val="B42318"/>
          <w:sz w:val="22"/>
          <w:szCs w:val="22"/>
        </w:rPr>
        <w:t xml:space="preserve">Q1.  </w:t>
      </w:r>
      <w:r>
        <w:rPr>
          <w:rFonts w:ascii="Aptos" w:cs="Aptos" w:eastAsia="Aptos" w:hAnsi="Aptos"/>
          <w:b/>
          <w:bCs/>
          <w:color w:val="0B1F3A"/>
          <w:sz w:val="22"/>
          <w:szCs w:val="22"/>
        </w:rPr>
        <w:t xml:space="preserve">Is the April volume drop a demand problem?</w:t>
      </w:r>
    </w:p>
    <w:p>
      <w:pPr>
        <w:spacing w:after="60"/>
        <w:ind w:left="360"/>
      </w:pPr>
      <w:r>
        <w:rPr>
          <w:rFonts w:ascii="Aptos" w:cs="Aptos" w:eastAsia="Aptos" w:hAnsi="Aptos"/>
          <w:i/>
          <w:iCs/>
          <w:color w:val="475467"/>
          <w:sz w:val="19"/>
          <w:szCs w:val="19"/>
        </w:rPr>
        <w:t xml:space="preserve">¿La caída de volumen de abril es un problema de demanda?</w:t>
      </w:r>
    </w:p>
    <w:p>
      <w:pPr>
        <w:spacing w:after="4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Not on the evidence we have. March was a record pull-forward; April normalized while production exceeded billing. The next proof point is inventory value and days of cover.</w:t>
      </w:r>
    </w:p>
    <w:p>
      <w:pPr>
        <w:spacing w:after="40"/>
        <w:jc w:val="both"/>
      </w:pPr>
      <w:r>
        <w:rPr>
          <w:rFonts w:ascii="Aptos" w:cs="Aptos" w:eastAsia="Aptos" w:hAnsi="Aptos"/>
          <w:b/>
          <w:bCs/>
          <w:color w:val="0B1F3A"/>
          <w:spacing w:val="20"/>
          <w:sz w:val="18"/>
          <w:szCs w:val="18"/>
        </w:rPr>
        <w:t xml:space="preserve">ES  </w:t>
      </w:r>
      <w:r>
        <w:rPr>
          <w:rFonts w:ascii="Aptos" w:cs="Aptos" w:eastAsia="Aptos" w:hAnsi="Aptos"/>
          <w:color w:val="111827"/>
          <w:sz w:val="21"/>
          <w:szCs w:val="21"/>
        </w:rPr>
        <w:t xml:space="preserve">No con la evidencia que tenemos. Marzo fue un adelanto récord; abril se normalizó mientras la producción superó la facturación. El próximo punto de prueba es el valor de inventario y los días de cobertura.</w:t>
      </w:r>
    </w:p>
    <w:p>
      <w:pPr>
        <w:spacing w:after="30" w:before="160"/>
      </w:pPr>
      <w:r>
        <w:rPr>
          <w:rFonts w:ascii="Aptos" w:cs="Aptos" w:eastAsia="Aptos" w:hAnsi="Aptos"/>
          <w:b/>
          <w:bCs/>
          <w:color w:val="B42318"/>
          <w:sz w:val="22"/>
          <w:szCs w:val="22"/>
        </w:rPr>
        <w:t xml:space="preserve">Q2.  </w:t>
      </w:r>
      <w:r>
        <w:rPr>
          <w:rFonts w:ascii="Aptos" w:cs="Aptos" w:eastAsia="Aptos" w:hAnsi="Aptos"/>
          <w:b/>
          <w:bCs/>
          <w:color w:val="0B1F3A"/>
          <w:sz w:val="22"/>
          <w:szCs w:val="22"/>
        </w:rPr>
        <w:t xml:space="preserve">Why is gross margin still below 25%?</w:t>
      </w:r>
    </w:p>
    <w:p>
      <w:pPr>
        <w:spacing w:after="60"/>
        <w:ind w:left="360"/>
      </w:pPr>
      <w:r>
        <w:rPr>
          <w:rFonts w:ascii="Aptos" w:cs="Aptos" w:eastAsia="Aptos" w:hAnsi="Aptos"/>
          <w:i/>
          <w:iCs/>
          <w:color w:val="475467"/>
          <w:sz w:val="19"/>
          <w:szCs w:val="19"/>
        </w:rPr>
        <w:t xml:space="preserve">¿Por qué el margen bruto sigue por debajo del 25%?</w:t>
      </w:r>
    </w:p>
    <w:p>
      <w:pPr>
        <w:spacing w:after="4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Likely price/mix plus intercompany treatment, until the SKU/customer bridge proves otherwise. That's why I need the price-mix program approved tonight.</w:t>
      </w:r>
    </w:p>
    <w:p>
      <w:pPr>
        <w:spacing w:after="40"/>
        <w:jc w:val="both"/>
      </w:pPr>
      <w:r>
        <w:rPr>
          <w:rFonts w:ascii="Aptos" w:cs="Aptos" w:eastAsia="Aptos" w:hAnsi="Aptos"/>
          <w:b/>
          <w:bCs/>
          <w:color w:val="0B1F3A"/>
          <w:spacing w:val="20"/>
          <w:sz w:val="18"/>
          <w:szCs w:val="18"/>
        </w:rPr>
        <w:t xml:space="preserve">ES  </w:t>
      </w:r>
      <w:r>
        <w:rPr>
          <w:rFonts w:ascii="Aptos" w:cs="Aptos" w:eastAsia="Aptos" w:hAnsi="Aptos"/>
          <w:color w:val="111827"/>
          <w:sz w:val="21"/>
          <w:szCs w:val="21"/>
        </w:rPr>
        <w:t xml:space="preserve">Probablemente precio/mezcla más el tratamiento intercompañía, hasta que el puente por SKU/cliente demuestre lo contrario. Por eso necesito el programa de precio-mezcla aprobado esta noche.</w:t>
      </w:r>
    </w:p>
    <w:p>
      <w:pPr>
        <w:spacing w:after="30" w:before="160"/>
      </w:pPr>
      <w:r>
        <w:rPr>
          <w:rFonts w:ascii="Aptos" w:cs="Aptos" w:eastAsia="Aptos" w:hAnsi="Aptos"/>
          <w:b/>
          <w:bCs/>
          <w:color w:val="B42318"/>
          <w:sz w:val="22"/>
          <w:szCs w:val="22"/>
        </w:rPr>
        <w:t xml:space="preserve">Q3.  </w:t>
      </w:r>
      <w:r>
        <w:rPr>
          <w:rFonts w:ascii="Aptos" w:cs="Aptos" w:eastAsia="Aptos" w:hAnsi="Aptos"/>
          <w:b/>
          <w:bCs/>
          <w:color w:val="0B1F3A"/>
          <w:sz w:val="22"/>
          <w:szCs w:val="22"/>
        </w:rPr>
        <w:t xml:space="preserve">How serious is the vendor-credit dependence?</w:t>
      </w:r>
    </w:p>
    <w:p>
      <w:pPr>
        <w:spacing w:after="60"/>
        <w:ind w:left="360"/>
      </w:pPr>
      <w:r>
        <w:rPr>
          <w:rFonts w:ascii="Aptos" w:cs="Aptos" w:eastAsia="Aptos" w:hAnsi="Aptos"/>
          <w:i/>
          <w:iCs/>
          <w:color w:val="475467"/>
          <w:sz w:val="19"/>
          <w:szCs w:val="19"/>
        </w:rPr>
        <w:t xml:space="preserve">¿Qué tan seria es la dependencia del crédito de proveedores?</w:t>
      </w:r>
    </w:p>
    <w:p>
      <w:pPr>
        <w:spacing w:after="4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Material but manageable. AP is 1.3× AR. We recommend the 30/60/90 plan with weekly reporting until net working capital is zero or better.</w:t>
      </w:r>
    </w:p>
    <w:p>
      <w:pPr>
        <w:spacing w:after="40"/>
        <w:jc w:val="both"/>
      </w:pPr>
      <w:r>
        <w:rPr>
          <w:rFonts w:ascii="Aptos" w:cs="Aptos" w:eastAsia="Aptos" w:hAnsi="Aptos"/>
          <w:b/>
          <w:bCs/>
          <w:color w:val="0B1F3A"/>
          <w:spacing w:val="20"/>
          <w:sz w:val="18"/>
          <w:szCs w:val="18"/>
        </w:rPr>
        <w:t xml:space="preserve">ES  </w:t>
      </w:r>
      <w:r>
        <w:rPr>
          <w:rFonts w:ascii="Aptos" w:cs="Aptos" w:eastAsia="Aptos" w:hAnsi="Aptos"/>
          <w:color w:val="111827"/>
          <w:sz w:val="21"/>
          <w:szCs w:val="21"/>
        </w:rPr>
        <w:t xml:space="preserve">Importante pero manejable. Las cuentas por pagar son 1.3× las por cobrar. Recomendamos el plan 30/60/90 con reporte semanal hasta que el capital de trabajo neto esté en cero o mejor.</w:t>
      </w:r>
    </w:p>
    <w:p>
      <w:pPr>
        <w:spacing w:after="30" w:before="160"/>
      </w:pPr>
      <w:r>
        <w:rPr>
          <w:rFonts w:ascii="Aptos" w:cs="Aptos" w:eastAsia="Aptos" w:hAnsi="Aptos"/>
          <w:b/>
          <w:bCs/>
          <w:color w:val="B42318"/>
          <w:sz w:val="22"/>
          <w:szCs w:val="22"/>
        </w:rPr>
        <w:t xml:space="preserve">Q4.  </w:t>
      </w:r>
      <w:r>
        <w:rPr>
          <w:rFonts w:ascii="Aptos" w:cs="Aptos" w:eastAsia="Aptos" w:hAnsi="Aptos"/>
          <w:b/>
          <w:bCs/>
          <w:color w:val="0B1F3A"/>
          <w:sz w:val="22"/>
          <w:szCs w:val="22"/>
        </w:rPr>
        <w:t xml:space="preserve">Is the concentration temporary or structural?</w:t>
      </w:r>
    </w:p>
    <w:p>
      <w:pPr>
        <w:spacing w:after="60"/>
        <w:ind w:left="360"/>
      </w:pPr>
      <w:r>
        <w:rPr>
          <w:rFonts w:ascii="Aptos" w:cs="Aptos" w:eastAsia="Aptos" w:hAnsi="Aptos"/>
          <w:i/>
          <w:iCs/>
          <w:color w:val="475467"/>
          <w:sz w:val="19"/>
          <w:szCs w:val="19"/>
        </w:rPr>
        <w:t xml:space="preserve">¿La concentración es temporal o estructural?</w:t>
      </w:r>
    </w:p>
    <w:p>
      <w:pPr>
        <w:spacing w:after="4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Treat it as structural until proven otherwise. Top-5 is ~79%; we set a 60% ceiling and track external-account growth.</w:t>
      </w:r>
    </w:p>
    <w:p>
      <w:pPr>
        <w:spacing w:after="40"/>
        <w:jc w:val="both"/>
      </w:pPr>
      <w:r>
        <w:rPr>
          <w:rFonts w:ascii="Aptos" w:cs="Aptos" w:eastAsia="Aptos" w:hAnsi="Aptos"/>
          <w:b/>
          <w:bCs/>
          <w:color w:val="0B1F3A"/>
          <w:spacing w:val="20"/>
          <w:sz w:val="18"/>
          <w:szCs w:val="18"/>
        </w:rPr>
        <w:t xml:space="preserve">ES  </w:t>
      </w:r>
      <w:r>
        <w:rPr>
          <w:rFonts w:ascii="Aptos" w:cs="Aptos" w:eastAsia="Aptos" w:hAnsi="Aptos"/>
          <w:color w:val="111827"/>
          <w:sz w:val="21"/>
          <w:szCs w:val="21"/>
        </w:rPr>
        <w:t xml:space="preserve">Tratémosla como estructural hasta probar lo contrario. El top-5 es ~79%; fijamos un techo de 60% y damos seguimiento al crecimiento de cuentas externas.</w:t>
      </w:r>
    </w:p>
    <w:p>
      <w:pPr>
        <w:spacing w:after="30" w:before="160"/>
      </w:pPr>
      <w:r>
        <w:rPr>
          <w:rFonts w:ascii="Aptos" w:cs="Aptos" w:eastAsia="Aptos" w:hAnsi="Aptos"/>
          <w:b/>
          <w:bCs/>
          <w:color w:val="B42318"/>
          <w:sz w:val="22"/>
          <w:szCs w:val="22"/>
        </w:rPr>
        <w:t xml:space="preserve">Q5.  </w:t>
      </w:r>
      <w:r>
        <w:rPr>
          <w:rFonts w:ascii="Aptos" w:cs="Aptos" w:eastAsia="Aptos" w:hAnsi="Aptos"/>
          <w:b/>
          <w:bCs/>
          <w:color w:val="0B1F3A"/>
          <w:sz w:val="22"/>
          <w:szCs w:val="22"/>
        </w:rPr>
        <w:t xml:space="preserve">Can we trust the customer revenue data?</w:t>
      </w:r>
    </w:p>
    <w:p>
      <w:pPr>
        <w:spacing w:after="60"/>
        <w:ind w:left="360"/>
      </w:pPr>
      <w:r>
        <w:rPr>
          <w:rFonts w:ascii="Aptos" w:cs="Aptos" w:eastAsia="Aptos" w:hAnsi="Aptos"/>
          <w:i/>
          <w:iCs/>
          <w:color w:val="475467"/>
          <w:sz w:val="19"/>
          <w:szCs w:val="19"/>
        </w:rPr>
        <w:t xml:space="preserve">¿Podemos confiar en los datos de ingresos por cliente?</w:t>
      </w:r>
    </w:p>
    <w:p>
      <w:pPr>
        <w:spacing w:after="40"/>
        <w:jc w:val="both"/>
      </w:pPr>
      <w:r>
        <w:rPr>
          <w:rFonts w:ascii="Aptos" w:cs="Aptos" w:eastAsia="Aptos" w:hAnsi="Aptos"/>
          <w:b/>
          <w:bCs/>
          <w:color w:val="B42318"/>
          <w:spacing w:val="20"/>
          <w:sz w:val="18"/>
          <w:szCs w:val="18"/>
        </w:rPr>
        <w:t xml:space="preserve">EN  </w:t>
      </w:r>
      <w:r>
        <w:rPr>
          <w:rFonts w:ascii="Aptos" w:cs="Aptos" w:eastAsia="Aptos" w:hAnsi="Aptos"/>
          <w:color w:val="111827"/>
          <w:sz w:val="21"/>
          <w:szCs w:val="21"/>
        </w:rPr>
        <w:t xml:space="preserve">Not yet for per-customer dollars. The QuickBooks P&amp;L is authoritative; the customer-file revenue needs GL reconciliation before we use it.</w:t>
      </w:r>
    </w:p>
    <w:p>
      <w:pPr>
        <w:spacing w:after="40"/>
        <w:jc w:val="both"/>
      </w:pPr>
      <w:r>
        <w:rPr>
          <w:rFonts w:ascii="Aptos" w:cs="Aptos" w:eastAsia="Aptos" w:hAnsi="Aptos"/>
          <w:b/>
          <w:bCs/>
          <w:color w:val="0B1F3A"/>
          <w:spacing w:val="20"/>
          <w:sz w:val="18"/>
          <w:szCs w:val="18"/>
        </w:rPr>
        <w:t xml:space="preserve">ES  </w:t>
      </w:r>
      <w:r>
        <w:rPr>
          <w:rFonts w:ascii="Aptos" w:cs="Aptos" w:eastAsia="Aptos" w:hAnsi="Aptos"/>
          <w:color w:val="111827"/>
          <w:sz w:val="21"/>
          <w:szCs w:val="21"/>
        </w:rPr>
        <w:t xml:space="preserve">Todavía no para dólares por cliente. El estado de resultados de QuickBooks es autoritativo; el ingreso del archivo de clientes necesita conciliación con el mayor antes de usarlo.</w:t>
      </w:r>
    </w:p>
    <w:p>
      <w:r>
        <w:br w:type="page"/>
      </w:r>
    </w:p>
    <w:p>
      <w:pPr>
        <w:spacing w:after="60"/>
      </w:pPr>
      <w:r>
        <w:rPr>
          <w:rFonts w:ascii="Aptos" w:cs="Aptos" w:eastAsia="Aptos" w:hAnsi="Aptos"/>
          <w:b/>
          <w:bCs/>
          <w:color w:val="0B1F3A"/>
          <w:sz w:val="30"/>
          <w:szCs w:val="30"/>
        </w:rPr>
        <w:t xml:space="preserve">One-page board memo / Memo de una página</w:t>
      </w:r>
    </w:p>
    <w:p>
      <w:pPr>
        <w:spacing w:after="120"/>
      </w:pPr>
      <w:r>
        <w:rPr>
          <w:rFonts w:ascii="Aptos" w:cs="Aptos" w:eastAsia="Aptos" w:hAnsi="Aptos"/>
          <w:i/>
          <w:iCs/>
          <w:color w:val="475467"/>
          <w:sz w:val="19"/>
          <w:szCs w:val="19"/>
        </w:rPr>
        <w:t xml:space="preserve">Use as the cover note or speaking brief. / Úselo como nota de portada o resumen para hablar.</w:t>
      </w:r>
    </w:p>
    <w:p>
      <w:pPr>
        <w:spacing w:after="40" w:before="200"/>
      </w:pPr>
      <w:r>
        <w:rPr>
          <w:rFonts w:ascii="Aptos" w:cs="Aptos" w:eastAsia="Aptos" w:hAnsi="Aptos"/>
          <w:b/>
          <w:bCs/>
          <w:color w:val="B42318"/>
          <w:spacing w:val="30"/>
          <w:sz w:val="16"/>
          <w:szCs w:val="16"/>
        </w:rPr>
        <w:t xml:space="preserve">SITUATION / SITUACIÓN</w:t>
      </w:r>
    </w:p>
    <w:p>
      <w:pPr>
        <w:spacing w:after="100"/>
        <w:jc w:val="both"/>
      </w:pPr>
      <w:r>
        <w:rPr>
          <w:rFonts w:ascii="Aptos" w:cs="Aptos" w:eastAsia="Aptos" w:hAnsi="Aptos"/>
          <w:color w:val="111827"/>
          <w:sz w:val="21"/>
          <w:szCs w:val="21"/>
        </w:rPr>
        <w:t xml:space="preserve">April was an operationally clean month on a financially thin base. U1Dynamics can make and ship; the enterprise-value question is whether volume converts into durable margin, cash, and a resilient customer base.</w:t>
      </w:r>
    </w:p>
    <w:p>
      <w:pPr>
        <w:spacing w:after="100"/>
        <w:jc w:val="both"/>
      </w:pPr>
      <w:r>
        <w:rPr>
          <w:rFonts w:ascii="Aptos" w:cs="Aptos" w:eastAsia="Aptos" w:hAnsi="Aptos"/>
          <w:color w:val="475467"/>
          <w:sz w:val="21"/>
          <w:szCs w:val="21"/>
        </w:rPr>
        <w:t xml:space="preserve">Abril fue un mes limpio en operación sobre una base financieramente delgada. U1Dynamics puede fabricar y despachar; la pregunta de valor es si el volumen se convierte en margen durable, caja y una base de clientes resiliente.</w:t>
      </w:r>
    </w:p>
    <w:p>
      <w:pPr>
        <w:spacing w:after="40" w:before="200"/>
      </w:pPr>
      <w:r>
        <w:rPr>
          <w:rFonts w:ascii="Aptos" w:cs="Aptos" w:eastAsia="Aptos" w:hAnsi="Aptos"/>
          <w:b/>
          <w:bCs/>
          <w:color w:val="B42318"/>
          <w:spacing w:val="30"/>
          <w:sz w:val="16"/>
          <w:szCs w:val="16"/>
        </w:rPr>
        <w:t xml:space="preserve">SIGNAL / SEÑAL</w:t>
      </w:r>
    </w:p>
    <w:p>
      <w:pPr>
        <w:spacing w:after="100"/>
        <w:jc w:val="both"/>
      </w:pPr>
      <w:r>
        <w:rPr>
          <w:rFonts w:ascii="Aptos" w:cs="Aptos" w:eastAsia="Aptos" w:hAnsi="Aptos"/>
          <w:color w:val="111827"/>
          <w:sz w:val="21"/>
          <w:szCs w:val="21"/>
        </w:rPr>
        <w:t xml:space="preserve">TTM revenue is $9.47M at 18.2% gross margin, with TTM net income roughly break-even. Net working capital is −$202K, with AP at 1.3× AR. Top-five customer share is ~79%.</w:t>
      </w:r>
    </w:p>
    <w:p>
      <w:pPr>
        <w:spacing w:after="100"/>
        <w:jc w:val="both"/>
      </w:pPr>
      <w:r>
        <w:rPr>
          <w:rFonts w:ascii="Aptos" w:cs="Aptos" w:eastAsia="Aptos" w:hAnsi="Aptos"/>
          <w:color w:val="475467"/>
          <w:sz w:val="21"/>
          <w:szCs w:val="21"/>
        </w:rPr>
        <w:t xml:space="preserve">Los ingresos de los últimos doce meses son 9.47M con margen bruto de 18.2%, y utilidad neta cercana al punto de equilibrio. El capital de trabajo neto es −202K, con cuentas por pagar 1.3× las por cobrar. El top-5 de clientes es ~79%.</w:t>
      </w:r>
    </w:p>
    <w:p>
      <w:pPr>
        <w:spacing w:after="40" w:before="200"/>
      </w:pPr>
      <w:r>
        <w:rPr>
          <w:rFonts w:ascii="Aptos" w:cs="Aptos" w:eastAsia="Aptos" w:hAnsi="Aptos"/>
          <w:b/>
          <w:bCs/>
          <w:color w:val="B42318"/>
          <w:spacing w:val="30"/>
          <w:sz w:val="16"/>
          <w:szCs w:val="16"/>
        </w:rPr>
        <w:t xml:space="preserve">RISK / RIESGO</w:t>
      </w:r>
    </w:p>
    <w:p>
      <w:pPr>
        <w:spacing w:after="100"/>
        <w:jc w:val="both"/>
      </w:pPr>
      <w:r>
        <w:rPr>
          <w:rFonts w:ascii="Aptos" w:cs="Aptos" w:eastAsia="Aptos" w:hAnsi="Aptos"/>
          <w:color w:val="111827"/>
          <w:sz w:val="21"/>
          <w:szCs w:val="21"/>
        </w:rPr>
        <w:t xml:space="preserve">Margin remains below the value-creation line, vendor credit is carrying part of the operating cycle, and the customer base has become materially concentrated. A 42% intercompany-weighted account requires clear classification.</w:t>
      </w:r>
    </w:p>
    <w:p>
      <w:pPr>
        <w:spacing w:after="100"/>
        <w:jc w:val="both"/>
      </w:pPr>
      <w:r>
        <w:rPr>
          <w:rFonts w:ascii="Aptos" w:cs="Aptos" w:eastAsia="Aptos" w:hAnsi="Aptos"/>
          <w:color w:val="475467"/>
          <w:sz w:val="21"/>
          <w:szCs w:val="21"/>
        </w:rPr>
        <w:t xml:space="preserve">El margen sigue por debajo de la línea de creación de valor, el crédito de proveedores carga parte del ciclo operativo, y la base de clientes se ha concentrado de forma material. Una cuenta de peso intercompañía del 42% requiere clasificación clara.</w:t>
      </w:r>
    </w:p>
    <w:p>
      <w:pPr>
        <w:spacing w:after="40" w:before="200"/>
      </w:pPr>
      <w:r>
        <w:rPr>
          <w:rFonts w:ascii="Aptos" w:cs="Aptos" w:eastAsia="Aptos" w:hAnsi="Aptos"/>
          <w:b/>
          <w:bCs/>
          <w:color w:val="B42318"/>
          <w:spacing w:val="30"/>
          <w:sz w:val="16"/>
          <w:szCs w:val="16"/>
        </w:rPr>
        <w:t xml:space="preserve">RECOMMENDATION / RECOMENDACIÓN</w:t>
      </w:r>
    </w:p>
    <w:p>
      <w:pPr>
        <w:spacing w:after="100"/>
        <w:jc w:val="both"/>
      </w:pPr>
      <w:r>
        <w:rPr>
          <w:rFonts w:ascii="Aptos" w:cs="Aptos" w:eastAsia="Aptos" w:hAnsi="Aptos"/>
          <w:color w:val="111827"/>
          <w:sz w:val="21"/>
          <w:szCs w:val="21"/>
        </w:rPr>
        <w:t xml:space="preserve">Approve a three-part operating-discipline package: margin recovery led by Commercial/Finance; a 30/60/90 working-capital plan led by Finance; and a top-five concentration ceiling with intercompany classification resolved before the next close.</w:t>
      </w:r>
    </w:p>
    <w:p>
      <w:pPr>
        <w:spacing w:after="100"/>
        <w:jc w:val="both"/>
      </w:pPr>
      <w:r>
        <w:rPr>
          <w:rFonts w:ascii="Aptos" w:cs="Aptos" w:eastAsia="Aptos" w:hAnsi="Aptos"/>
          <w:color w:val="475467"/>
          <w:sz w:val="21"/>
          <w:szCs w:val="21"/>
        </w:rPr>
        <w:t xml:space="preserve">Aprobar un paquete de disciplina operativa en tres partes: recuperación de margen liderada por Comercial/Finanzas; un plan 30/60/90 de capital de trabajo liderado por Finanzas; y un techo de concentración del top-5 con la clasificación intercompañía resuelta antes del próximo cierre.</w:t>
      </w:r>
    </w:p>
    <w:p>
      <w:pPr>
        <w:pBdr>
          <w:left w:val="single" w:color="0B1F3A" w:sz="18" w:space="8"/>
        </w:pBdr>
        <w:spacing w:before="80"/>
        <w:ind w:left="120"/>
      </w:pPr>
      <w:r>
        <w:rPr>
          <w:rFonts w:ascii="Aptos" w:cs="Aptos" w:eastAsia="Aptos" w:hAnsi="Aptos"/>
          <w:b/>
          <w:bCs/>
          <w:color w:val="0B1F3A"/>
          <w:spacing w:val="20"/>
          <w:sz w:val="18"/>
          <w:szCs w:val="18"/>
        </w:rPr>
        <w:t xml:space="preserve">REQUESTED ACTION / ACCIÓN SOLICITADA   </w:t>
      </w:r>
      <w:r>
        <w:rPr>
          <w:rFonts w:ascii="Aptos" w:cs="Aptos" w:eastAsia="Aptos" w:hAnsi="Aptos"/>
          <w:color w:val="111827"/>
          <w:sz w:val="20"/>
          <w:szCs w:val="20"/>
        </w:rPr>
        <w:t xml:space="preserve">Approve all three moves tonight and require monthly reporting against margin, NWC, and concentration KPIs.  /  Aprobar los tres movimientos esta noche y exigir reporte mensual contra los KPI de margen, capital de trabajo y concentración.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ptos" w:cs="Aptos" w:eastAsia="Aptos" w:hAnsi="Aptos"/>
        <w:color w:val="98A2B3"/>
        <w:sz w:val="16"/>
        <w:szCs w:val="16"/>
      </w:rPr>
      <w:t xml:space="preserve">U1Dynamics Manufacturing LLC · Board Presenter's Guide · April 2026 · Confidential</w:t>
    </w:r>
    <w:r>
      <w:rPr>
        <w:rFonts w:ascii="Aptos" w:cs="Aptos" w:eastAsia="Aptos" w:hAnsi="Aptos"/>
      </w:rPr>
      <w:t xml:space="preserve">	</w:t>
    </w:r>
    <w:r>
      <w:rPr>
        <w:rFonts w:ascii="Aptos" w:cs="Aptos" w:eastAsia="Aptos" w:hAnsi="Aptos"/>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2026-06-02T23:04:11.223Z</dcterms:created>
  <dcterms:modified xsi:type="dcterms:W3CDTF">2026-06-02T23:04:11.224Z</dcterms:modified>
</cp:coreProperties>
</file>

<file path=docProps/custom.xml><?xml version="1.0" encoding="utf-8"?>
<Properties xmlns="http://schemas.openxmlformats.org/officeDocument/2006/custom-properties" xmlns:vt="http://schemas.openxmlformats.org/officeDocument/2006/docPropsVTypes"/>
</file>