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w:cs="Aptos" w:eastAsia="Aptos" w:hAnsi="Aptos"/>
          <w:b/>
          <w:bCs/>
          <w:color w:val="B42318"/>
          <w:spacing w:val="40"/>
          <w:sz w:val="18"/>
          <w:szCs w:val="18"/>
        </w:rPr>
        <w:t xml:space="preserve">U1DYNAMICS MANUFACTURING LLC</w:t>
      </w:r>
    </w:p>
    <w:p>
      <w:pPr>
        <w:spacing w:after="20"/>
      </w:pPr>
      <w:r>
        <w:rPr>
          <w:rFonts w:ascii="Aptos" w:cs="Aptos" w:eastAsia="Aptos" w:hAnsi="Aptos"/>
          <w:b/>
          <w:bCs/>
          <w:color w:val="0B1F3A"/>
          <w:sz w:val="40"/>
          <w:szCs w:val="40"/>
        </w:rPr>
        <w:t xml:space="preserve">Presenter's Guide / Guía del Presentador</w:t>
      </w:r>
    </w:p>
    <w:p>
      <w:pPr>
        <w:spacing w:after="20"/>
      </w:pPr>
      <w:r>
        <w:rPr>
          <w:rFonts w:ascii="Aptos" w:cs="Aptos" w:eastAsia="Aptos" w:hAnsi="Aptos"/>
          <w:color w:val="475467"/>
          <w:sz w:val="22"/>
          <w:szCs w:val="22"/>
        </w:rPr>
        <w:t xml:space="preserve">Board Operating Review · April 2026 / Revisión Operativa del Consejo · Abril 2026</w:t>
      </w:r>
    </w:p>
    <w:p>
      <w:pPr>
        <w:spacing w:after="200"/>
      </w:pPr>
      <w:r>
        <w:rPr>
          <w:rFonts w:ascii="Aptos" w:cs="Aptos" w:eastAsia="Aptos" w:hAnsi="Aptos"/>
          <w:color w:val="98A2B3"/>
          <w:sz w:val="19"/>
          <w:szCs w:val="19"/>
        </w:rPr>
        <w:t xml:space="preserve">Presenter / Presenta: Eugenio Piratelli, General Manager  ·  Confidential / Confidencial</w:t>
      </w:r>
    </w:p>
    <w:p>
      <w:pPr>
        <w:pBdr>
          <w:bottom w:val="single" w:color="E4E7EC" w:sz="6" w:space="1"/>
        </w:pBdr>
        <w:spacing w:after="120" w:before="120"/>
      </w:pPr>
    </w:p>
    <w:p>
      <w:pPr>
        <w:spacing w:after="40" w:before="200"/>
      </w:pPr>
      <w:r>
        <w:rPr>
          <w:rFonts w:ascii="Aptos" w:cs="Aptos" w:eastAsia="Aptos" w:hAnsi="Aptos"/>
          <w:b/>
          <w:bCs/>
          <w:color w:val="B42318"/>
          <w:spacing w:val="30"/>
          <w:sz w:val="16"/>
          <w:szCs w:val="16"/>
        </w:rPr>
        <w:t xml:space="preserve">HOW TO USE THIS GUIDE / CÓMO USAR ESTA GUÍA</w:t>
      </w:r>
    </w:p>
    <w:p>
      <w:pPr>
        <w:spacing w:after="100"/>
        <w:jc w:val="both"/>
      </w:pPr>
      <w:r>
        <w:rPr>
          <w:rFonts w:ascii="Aptos" w:cs="Aptos" w:eastAsia="Aptos" w:hAnsi="Aptos"/>
          <w:color w:val="111827"/>
          <w:sz w:val="21"/>
          <w:szCs w:val="21"/>
        </w:rPr>
        <w:t xml:space="preserve">Each board slide (1–9) has a target time, the board action it drives, an English and a Spanish talk track, the exact numbers to hit, and the transition into the next slide. Present from slides 1–9 only; keep slides 10–15 of the deck as your private prep. Total target: about 15 minutes, then open to discussion.</w:t>
      </w:r>
    </w:p>
    <w:p>
      <w:pPr>
        <w:spacing w:after="100"/>
        <w:jc w:val="both"/>
      </w:pPr>
      <w:r>
        <w:rPr>
          <w:rFonts w:ascii="Aptos" w:cs="Aptos" w:eastAsia="Aptos" w:hAnsi="Aptos"/>
          <w:color w:val="475467"/>
          <w:sz w:val="21"/>
          <w:szCs w:val="21"/>
        </w:rPr>
        <w:t xml:space="preserve">Cada lámina del Consejo (1–9) tiene un tiempo objetivo, la acción que impulsa, un guion en inglés y en español, los números exactos a mencionar, y la transición hacia la siguiente lámina. Presente solo las láminas 1–9; mantenga las 10–15 como su preparación privada. Objetivo total: unos 15 minutos, luego abra a discusión.</w:t>
      </w:r>
    </w:p>
    <w:p>
      <w:pPr>
        <w:pBdr>
          <w:bottom w:val="single" w:color="E4E7EC" w:sz="6" w:space="1"/>
        </w:pBdr>
        <w:spacing w:after="120" w:before="120"/>
      </w:pPr>
    </w:p>
    <w:p>
      <w:pPr>
        <w:spacing w:after="40" w:before="200"/>
      </w:pPr>
      <w:r>
        <w:rPr>
          <w:rFonts w:ascii="Aptos" w:cs="Aptos" w:eastAsia="Aptos" w:hAnsi="Aptos"/>
          <w:b/>
          <w:bCs/>
          <w:color w:val="0B1F3A"/>
          <w:spacing w:val="30"/>
          <w:sz w:val="16"/>
          <w:szCs w:val="16"/>
        </w:rPr>
        <w:t xml:space="preserve">90-SECOND OPENING / APERTURA DE 90 SEGUNDOS</w:t>
      </w:r>
    </w:p>
    <w:p>
      <w:pPr>
        <w:spacing w:after="80"/>
        <w:jc w:val="both"/>
      </w:pPr>
      <w:r>
        <w:rPr>
          <w:rFonts w:ascii="Aptos" w:cs="Aptos" w:eastAsia="Aptos" w:hAnsi="Aptos"/>
          <w:b/>
          <w:bCs/>
          <w:color w:val="B42318"/>
          <w:spacing w:val="20"/>
          <w:sz w:val="18"/>
          <w:szCs w:val="18"/>
        </w:rPr>
        <w:t xml:space="preserve">EN   </w:t>
      </w:r>
      <w:r>
        <w:rPr>
          <w:rFonts w:ascii="Aptos" w:cs="Aptos" w:eastAsia="Aptos" w:hAnsi="Aptos"/>
          <w:color w:val="111827"/>
          <w:sz w:val="21"/>
          <w:szCs w:val="21"/>
        </w:rPr>
        <w:t xml:space="preserve">April was operationally clean, but the value question is financial and strategic. We can make and ship; now we must convert volume into durable margin, cash, and a diversified customer base. Tonight I'm asking for three approvals: margin recovery, working-capital discipline, and customer diversification.</w:t>
      </w:r>
    </w:p>
    <w:p>
      <w:pPr>
        <w:spacing w:after="80"/>
        <w:jc w:val="both"/>
      </w:pPr>
      <w:r>
        <w:rPr>
          <w:rFonts w:ascii="Aptos" w:cs="Aptos" w:eastAsia="Aptos" w:hAnsi="Aptos"/>
          <w:b/>
          <w:bCs/>
          <w:color w:val="B42318"/>
          <w:spacing w:val="20"/>
          <w:sz w:val="18"/>
          <w:szCs w:val="18"/>
        </w:rPr>
        <w:t xml:space="preserve">ES   </w:t>
      </w:r>
      <w:r>
        <w:rPr>
          <w:rFonts w:ascii="Aptos" w:cs="Aptos" w:eastAsia="Aptos" w:hAnsi="Aptos"/>
          <w:color w:val="111827"/>
          <w:sz w:val="21"/>
          <w:szCs w:val="21"/>
        </w:rPr>
        <w:t xml:space="preserve">Abril fue limpio en lo operativo, pero la pregunta de valor es financiera y estratégica. Podemos fabricar y despachar; ahora debemos convertir el volumen en margen durable, caja y una base de clientes diversificada. Esta noche pido tres aprobaciones: recuperación de margen, disciplina de capital de trabajo y diversificación de clientes.</w:t>
      </w:r>
    </w:p>
    <w:p>
      <w:r>
        <w:br w:type="page"/>
      </w:r>
    </w:p>
    <w:p>
      <w:pPr>
        <w:spacing w:after="120"/>
      </w:pPr>
      <w:r>
        <w:rPr>
          <w:rFonts w:ascii="Aptos" w:cs="Aptos" w:eastAsia="Aptos" w:hAnsi="Aptos"/>
          <w:b/>
          <w:bCs/>
          <w:color w:val="0B1F3A"/>
          <w:sz w:val="30"/>
          <w:szCs w:val="30"/>
        </w:rPr>
        <w:t xml:space="preserve">Slide-by-slide script / Guion lámina por lámina</w:t>
      </w:r>
    </w:p>
    <w:p>
      <w:pPr>
        <w:spacing w:after="40" w:before="200"/>
      </w:pPr>
      <w:r>
        <w:rPr>
          <w:rFonts w:ascii="Aptos" w:cs="Aptos" w:eastAsia="Aptos" w:hAnsi="Aptos"/>
          <w:b/>
          <w:bCs/>
          <w:color w:val="B42318"/>
          <w:spacing w:val="30"/>
          <w:sz w:val="16"/>
          <w:szCs w:val="16"/>
        </w:rPr>
        <w:t xml:space="preserve">SLIDE 1 / LÁMINA 1</w:t>
      </w:r>
    </w:p>
    <w:p>
      <w:pPr>
        <w:spacing w:after="60"/>
      </w:pPr>
      <w:r>
        <w:rPr>
          <w:rFonts w:ascii="Aptos" w:cs="Aptos" w:eastAsia="Aptos" w:hAnsi="Aptos"/>
          <w:b/>
          <w:bCs/>
          <w:color w:val="0B1F3A"/>
          <w:sz w:val="30"/>
          <w:szCs w:val="30"/>
        </w:rPr>
        <w:t xml:space="preserve">Cover — Board Operating Review · April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TIME / TIEMPO  </w:t>
            </w:r>
            <w:r>
              <w:rPr>
                <w:rFonts w:ascii="Aptos" w:cs="Aptos" w:eastAsia="Aptos" w:hAnsi="Aptos"/>
                <w:b/>
                <w:bCs/>
                <w:color w:val="0B1F3A"/>
                <w:sz w:val="19"/>
                <w:szCs w:val="19"/>
              </w:rPr>
              <w:t xml:space="preserve">~0:30</w:t>
            </w:r>
          </w:p>
        </w:tc>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BOARD ACTION / ACCIÓN  </w:t>
            </w:r>
            <w:r>
              <w:rPr>
                <w:rFonts w:ascii="Aptos" w:cs="Aptos" w:eastAsia="Aptos" w:hAnsi="Aptos"/>
                <w:b/>
                <w:bCs/>
                <w:color w:val="B42318"/>
                <w:sz w:val="19"/>
                <w:szCs w:val="19"/>
              </w:rPr>
              <w:t xml:space="preserve">Set the frame</w:t>
            </w:r>
          </w:p>
        </w:tc>
      </w:tr>
    </w:tbl>
    <w:p>
      <w:pPr>
        <w:spacing w:after="20"/>
      </w:pPr>
    </w:p>
    <w:p>
      <w:pPr>
        <w:spacing w:after="80"/>
        <w:jc w:val="both"/>
      </w:pPr>
      <w:r>
        <w:rPr>
          <w:rFonts w:ascii="Aptos" w:cs="Aptos" w:eastAsia="Aptos" w:hAnsi="Aptos"/>
          <w:b/>
          <w:bCs/>
          <w:color w:val="B42318"/>
          <w:spacing w:val="20"/>
          <w:sz w:val="18"/>
          <w:szCs w:val="18"/>
        </w:rPr>
        <w:t xml:space="preserve">SAY (EN)   </w:t>
      </w:r>
      <w:r>
        <w:rPr>
          <w:rFonts w:ascii="Aptos" w:cs="Aptos" w:eastAsia="Aptos" w:hAnsi="Aptos"/>
          <w:color w:val="111827"/>
          <w:sz w:val="21"/>
          <w:szCs w:val="21"/>
        </w:rPr>
        <w:t xml:space="preserve">Good evening. This is the April board operating review. Before the numbers, one framing: the question tonight is not whether U1Dynamics can make and ship — it can. The question is whether we can convert that volume into durable margin, cash, and a more diversified customer base. I'll be brief, I'll name the risks before you have to find them, and I'll close with three decisions I'm asking you to approve.</w:t>
      </w:r>
    </w:p>
    <w:p>
      <w:pPr>
        <w:spacing w:after="80"/>
        <w:jc w:val="both"/>
      </w:pPr>
      <w:r>
        <w:rPr>
          <w:rFonts w:ascii="Aptos" w:cs="Aptos" w:eastAsia="Aptos" w:hAnsi="Aptos"/>
          <w:b/>
          <w:bCs/>
          <w:color w:val="0B1F3A"/>
          <w:spacing w:val="20"/>
          <w:sz w:val="18"/>
          <w:szCs w:val="18"/>
        </w:rPr>
        <w:t xml:space="preserve">DIGA (ES)   </w:t>
      </w:r>
      <w:r>
        <w:rPr>
          <w:rFonts w:ascii="Aptos" w:cs="Aptos" w:eastAsia="Aptos" w:hAnsi="Aptos"/>
          <w:color w:val="111827"/>
          <w:sz w:val="21"/>
          <w:szCs w:val="21"/>
        </w:rPr>
        <w:t xml:space="preserve">Buenas noches. Esta es la revisión operativa de abril para el Consejo. Antes de los números, un encuadre: la pregunta de esta noche no es si U1Dynamics puede fabricar y despachar — puede. La pregunta es si podemos convertir ese volumen en margen durable, caja y una base de clientes más diversificada. Seré breve, nombraré los riesgos antes de que ustedes tengan que buscarlos, y cerraré con tres decisiones que les pido aprobar.</w:t>
      </w:r>
    </w:p>
    <w:p>
      <w:pPr>
        <w:pBdr>
          <w:left w:val="single" w:color="0B1F3A" w:sz="18" w:space="8"/>
        </w:pBdr>
        <w:spacing w:after="80" w:before="60"/>
        <w:ind w:left="120"/>
      </w:pPr>
      <w:r>
        <w:rPr>
          <w:rFonts w:ascii="Aptos" w:cs="Aptos" w:eastAsia="Aptos" w:hAnsi="Aptos"/>
          <w:b/>
          <w:bCs/>
          <w:color w:val="0B1F3A"/>
          <w:spacing w:val="20"/>
          <w:sz w:val="18"/>
          <w:szCs w:val="18"/>
        </w:rPr>
        <w:t xml:space="preserve">NUMBERS TO HIT / NÚMEROS CLAVE   </w:t>
      </w:r>
      <w:r>
        <w:rPr>
          <w:rFonts w:ascii="Aptos" w:cs="Aptos" w:eastAsia="Aptos" w:hAnsi="Aptos"/>
          <w:color w:val="111827"/>
          <w:sz w:val="19"/>
          <w:szCs w:val="19"/>
        </w:rPr>
        <w:t xml:space="preserve">None — this is the framing slide.</w:t>
      </w:r>
    </w:p>
    <w:p>
      <w:pPr>
        <w:spacing w:after="80" w:before="40"/>
      </w:pPr>
      <w:r>
        <w:rPr>
          <w:rFonts w:ascii="Aptos" w:cs="Aptos" w:eastAsia="Aptos" w:hAnsi="Aptos"/>
          <w:b/>
          <w:bCs/>
          <w:color w:val="475467"/>
          <w:sz w:val="18"/>
          <w:szCs w:val="18"/>
        </w:rPr>
        <w:t xml:space="preserve">→ Transition: </w:t>
      </w:r>
      <w:r>
        <w:rPr>
          <w:rFonts w:ascii="Aptos" w:cs="Aptos" w:eastAsia="Aptos" w:hAnsi="Aptos"/>
          <w:i/>
          <w:iCs/>
          <w:color w:val="475467"/>
          <w:sz w:val="18"/>
          <w:szCs w:val="18"/>
        </w:rPr>
        <w:t xml:space="preserve">Let me start with the decision itself.</w:t>
      </w:r>
      <w:r>
        <w:rPr>
          <w:rFonts w:ascii="Aptos" w:cs="Aptos" w:eastAsia="Aptos" w:hAnsi="Aptos"/>
          <w:color w:val="98A2B3"/>
          <w:sz w:val="18"/>
          <w:szCs w:val="18"/>
        </w:rPr>
        <w:t xml:space="preserve">  /  </w:t>
      </w:r>
      <w:r>
        <w:rPr>
          <w:rFonts w:ascii="Aptos" w:cs="Aptos" w:eastAsia="Aptos" w:hAnsi="Aptos"/>
          <w:i/>
          <w:iCs/>
          <w:color w:val="475467"/>
          <w:sz w:val="18"/>
          <w:szCs w:val="18"/>
        </w:rPr>
        <w:t xml:space="preserve">Permítanme empezar por la decisión.</w:t>
      </w:r>
    </w:p>
    <w:p>
      <w:pPr>
        <w:pBdr>
          <w:bottom w:val="single" w:color="E4E7EC" w:sz="6" w:space="1"/>
        </w:pBdr>
        <w:spacing w:after="120" w:before="120"/>
      </w:pPr>
    </w:p>
    <w:p>
      <w:pPr>
        <w:spacing w:after="40" w:before="200"/>
      </w:pPr>
      <w:r>
        <w:rPr>
          <w:rFonts w:ascii="Aptos" w:cs="Aptos" w:eastAsia="Aptos" w:hAnsi="Aptos"/>
          <w:b/>
          <w:bCs/>
          <w:color w:val="B42318"/>
          <w:spacing w:val="30"/>
          <w:sz w:val="16"/>
          <w:szCs w:val="16"/>
        </w:rPr>
        <w:t xml:space="preserve">SLIDE 2 / LÁMINA 2</w:t>
      </w:r>
    </w:p>
    <w:p>
      <w:pPr>
        <w:spacing w:after="60"/>
      </w:pPr>
      <w:r>
        <w:rPr>
          <w:rFonts w:ascii="Aptos" w:cs="Aptos" w:eastAsia="Aptos" w:hAnsi="Aptos"/>
          <w:b/>
          <w:bCs/>
          <w:color w:val="0B1F3A"/>
          <w:sz w:val="30"/>
          <w:szCs w:val="30"/>
        </w:rPr>
        <w:t xml:space="preserve">The decision: convert volume into margin, cash, and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TIME / TIEMPO  </w:t>
            </w:r>
            <w:r>
              <w:rPr>
                <w:rFonts w:ascii="Aptos" w:cs="Aptos" w:eastAsia="Aptos" w:hAnsi="Aptos"/>
                <w:b/>
                <w:bCs/>
                <w:color w:val="0B1F3A"/>
                <w:sz w:val="19"/>
                <w:szCs w:val="19"/>
              </w:rPr>
              <w:t xml:space="preserve">~1:00</w:t>
            </w:r>
          </w:p>
        </w:tc>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BOARD ACTION / ACCIÓN  </w:t>
            </w:r>
            <w:r>
              <w:rPr>
                <w:rFonts w:ascii="Aptos" w:cs="Aptos" w:eastAsia="Aptos" w:hAnsi="Aptos"/>
                <w:b/>
                <w:bCs/>
                <w:color w:val="B42318"/>
                <w:sz w:val="19"/>
                <w:szCs w:val="19"/>
              </w:rPr>
              <w:t xml:space="preserve">Approve 3 decisions</w:t>
            </w:r>
          </w:p>
        </w:tc>
      </w:tr>
    </w:tbl>
    <w:p>
      <w:pPr>
        <w:spacing w:after="20"/>
      </w:pPr>
    </w:p>
    <w:p>
      <w:pPr>
        <w:spacing w:after="80"/>
        <w:jc w:val="both"/>
      </w:pPr>
      <w:r>
        <w:rPr>
          <w:rFonts w:ascii="Aptos" w:cs="Aptos" w:eastAsia="Aptos" w:hAnsi="Aptos"/>
          <w:b/>
          <w:bCs/>
          <w:color w:val="B42318"/>
          <w:spacing w:val="20"/>
          <w:sz w:val="18"/>
          <w:szCs w:val="18"/>
        </w:rPr>
        <w:t xml:space="preserve">SAY (EN)   </w:t>
      </w:r>
      <w:r>
        <w:rPr>
          <w:rFonts w:ascii="Aptos" w:cs="Aptos" w:eastAsia="Aptos" w:hAnsi="Aptos"/>
          <w:color w:val="111827"/>
          <w:sz w:val="21"/>
          <w:szCs w:val="21"/>
        </w:rPr>
        <w:t xml:space="preserve">Here is the whole meeting on one slide. Trailing-twelve-month revenue is $9.47M at an 18.2% gross margin. Net income is essentially break-even at $92.9K. Net working capital is negative $202K, with payables at 1.3 times receivables. Our top five customers are 79% of volume. The posture is simple: operationally sound, financially thin, strategically over-concentrated. I'm not here to review the month — I'm asking the board to approve three moves: close the margin gap, protect working capital, and diversify the base. The rest of the deck is the evidence behind each.</w:t>
      </w:r>
    </w:p>
    <w:p>
      <w:pPr>
        <w:spacing w:after="80"/>
        <w:jc w:val="both"/>
      </w:pPr>
      <w:r>
        <w:rPr>
          <w:rFonts w:ascii="Aptos" w:cs="Aptos" w:eastAsia="Aptos" w:hAnsi="Aptos"/>
          <w:b/>
          <w:bCs/>
          <w:color w:val="0B1F3A"/>
          <w:spacing w:val="20"/>
          <w:sz w:val="18"/>
          <w:szCs w:val="18"/>
        </w:rPr>
        <w:t xml:space="preserve">DIGA (ES)   </w:t>
      </w:r>
      <w:r>
        <w:rPr>
          <w:rFonts w:ascii="Aptos" w:cs="Aptos" w:eastAsia="Aptos" w:hAnsi="Aptos"/>
          <w:color w:val="111827"/>
          <w:sz w:val="21"/>
          <w:szCs w:val="21"/>
        </w:rPr>
        <w:t xml:space="preserve">Aquí está toda la reunión en una sola lámina. Los ingresos de los últimos doce meses son 9.47 millones de dólares con un margen bruto de 18.2%. La utilidad neta está prácticamente en punto de equilibrio, 92.9 mil dólares. El capital de trabajo neto es negativo en 202 mil dólares, con cuentas por pagar 1.3 veces las cuentas por cobrar. Nuestros cinco clientes principales representan el 79% del volumen. La postura es simple: sólidos en operación, delgados en lo financiero, sobre-concentrados en lo estratégico. No vengo a revisar el mes — le pido al Consejo aprobar tres movimientos: cerrar la brecha de margen, proteger el capital de trabajo y diversificar la base. El resto de la presentación es la evidencia de cada uno.</w:t>
      </w:r>
    </w:p>
    <w:p>
      <w:pPr>
        <w:pBdr>
          <w:left w:val="single" w:color="0B1F3A" w:sz="18" w:space="8"/>
        </w:pBdr>
        <w:spacing w:after="80" w:before="60"/>
        <w:ind w:left="120"/>
      </w:pPr>
      <w:r>
        <w:rPr>
          <w:rFonts w:ascii="Aptos" w:cs="Aptos" w:eastAsia="Aptos" w:hAnsi="Aptos"/>
          <w:b/>
          <w:bCs/>
          <w:color w:val="0B1F3A"/>
          <w:spacing w:val="20"/>
          <w:sz w:val="18"/>
          <w:szCs w:val="18"/>
        </w:rPr>
        <w:t xml:space="preserve">NUMBERS TO HIT / NÚMEROS CLAVE   </w:t>
      </w:r>
      <w:r>
        <w:rPr>
          <w:rFonts w:ascii="Aptos" w:cs="Aptos" w:eastAsia="Aptos" w:hAnsi="Aptos"/>
          <w:color w:val="111827"/>
          <w:sz w:val="19"/>
          <w:szCs w:val="19"/>
        </w:rPr>
        <w:t xml:space="preserve">Revenue TTM $9.47M · GM 18.2% · Net income $92.9K · NWC −$202K · AP 1.3× AR · Top-5 79%.</w:t>
      </w:r>
    </w:p>
    <w:p>
      <w:pPr>
        <w:spacing w:after="80" w:before="40"/>
      </w:pPr>
      <w:r>
        <w:rPr>
          <w:rFonts w:ascii="Aptos" w:cs="Aptos" w:eastAsia="Aptos" w:hAnsi="Aptos"/>
          <w:b/>
          <w:bCs/>
          <w:color w:val="475467"/>
          <w:sz w:val="18"/>
          <w:szCs w:val="18"/>
        </w:rPr>
        <w:t xml:space="preserve">→ Transition: </w:t>
      </w:r>
      <w:r>
        <w:rPr>
          <w:rFonts w:ascii="Aptos" w:cs="Aptos" w:eastAsia="Aptos" w:hAnsi="Aptos"/>
          <w:i/>
          <w:iCs/>
          <w:color w:val="475467"/>
          <w:sz w:val="18"/>
          <w:szCs w:val="18"/>
        </w:rPr>
        <w:t xml:space="preserve">Start with why concentration is the headline risk.</w:t>
      </w:r>
      <w:r>
        <w:rPr>
          <w:rFonts w:ascii="Aptos" w:cs="Aptos" w:eastAsia="Aptos" w:hAnsi="Aptos"/>
          <w:color w:val="98A2B3"/>
          <w:sz w:val="18"/>
          <w:szCs w:val="18"/>
        </w:rPr>
        <w:t xml:space="preserve">  /  </w:t>
      </w:r>
      <w:r>
        <w:rPr>
          <w:rFonts w:ascii="Aptos" w:cs="Aptos" w:eastAsia="Aptos" w:hAnsi="Aptos"/>
          <w:i/>
          <w:iCs/>
          <w:color w:val="475467"/>
          <w:sz w:val="18"/>
          <w:szCs w:val="18"/>
        </w:rPr>
        <w:t xml:space="preserve">Empecemos por qué la concentración es el riesgo principal.</w:t>
      </w:r>
    </w:p>
    <w:p>
      <w:pPr>
        <w:pBdr>
          <w:bottom w:val="single" w:color="E4E7EC" w:sz="6" w:space="1"/>
        </w:pBdr>
        <w:spacing w:after="120" w:before="120"/>
      </w:pPr>
    </w:p>
    <w:p>
      <w:pPr>
        <w:spacing w:after="40" w:before="200"/>
      </w:pPr>
      <w:r>
        <w:rPr>
          <w:rFonts w:ascii="Aptos" w:cs="Aptos" w:eastAsia="Aptos" w:hAnsi="Aptos"/>
          <w:b/>
          <w:bCs/>
          <w:color w:val="B42318"/>
          <w:spacing w:val="30"/>
          <w:sz w:val="16"/>
          <w:szCs w:val="16"/>
        </w:rPr>
        <w:t xml:space="preserve">SLIDE 3 / LÁMINA 3</w:t>
      </w:r>
    </w:p>
    <w:p>
      <w:pPr>
        <w:spacing w:after="60"/>
      </w:pPr>
      <w:r>
        <w:rPr>
          <w:rFonts w:ascii="Aptos" w:cs="Aptos" w:eastAsia="Aptos" w:hAnsi="Aptos"/>
          <w:b/>
          <w:bCs/>
          <w:color w:val="0B1F3A"/>
          <w:sz w:val="30"/>
          <w:szCs w:val="30"/>
        </w:rPr>
        <w:t xml:space="preserve">The enterprise signal: bigger in volume, narrower in exposure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TIME / TIEMPO  </w:t>
            </w:r>
            <w:r>
              <w:rPr>
                <w:rFonts w:ascii="Aptos" w:cs="Aptos" w:eastAsia="Aptos" w:hAnsi="Aptos"/>
                <w:b/>
                <w:bCs/>
                <w:color w:val="0B1F3A"/>
                <w:sz w:val="19"/>
                <w:szCs w:val="19"/>
              </w:rPr>
              <w:t xml:space="preserve">~3:00</w:t>
            </w:r>
          </w:p>
        </w:tc>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BOARD ACTION / ACCIÓN  </w:t>
            </w:r>
            <w:r>
              <w:rPr>
                <w:rFonts w:ascii="Aptos" w:cs="Aptos" w:eastAsia="Aptos" w:hAnsi="Aptos"/>
                <w:b/>
                <w:bCs/>
                <w:color w:val="B42318"/>
                <w:sz w:val="19"/>
                <w:szCs w:val="19"/>
              </w:rPr>
              <w:t xml:space="preserve">Set concentration target</w:t>
            </w:r>
          </w:p>
        </w:tc>
      </w:tr>
    </w:tbl>
    <w:p>
      <w:pPr>
        <w:spacing w:after="20"/>
      </w:pPr>
    </w:p>
    <w:p>
      <w:pPr>
        <w:spacing w:after="80"/>
        <w:jc w:val="both"/>
      </w:pPr>
      <w:r>
        <w:rPr>
          <w:rFonts w:ascii="Aptos" w:cs="Aptos" w:eastAsia="Aptos" w:hAnsi="Aptos"/>
          <w:b/>
          <w:bCs/>
          <w:color w:val="B42318"/>
          <w:spacing w:val="20"/>
          <w:sz w:val="18"/>
          <w:szCs w:val="18"/>
        </w:rPr>
        <w:t xml:space="preserve">SAY (EN)   </w:t>
      </w:r>
      <w:r>
        <w:rPr>
          <w:rFonts w:ascii="Aptos" w:cs="Aptos" w:eastAsia="Aptos" w:hAnsi="Aptos"/>
          <w:color w:val="111827"/>
          <w:sz w:val="21"/>
          <w:szCs w:val="21"/>
        </w:rPr>
        <w:t xml:space="preserve">This is the most important trend in the company. Since 2023 our customer count fell from 311 to 55 — down 82%. Over the same period, top-5 concentration rose from 37% to 79% — up 42 points. And realized price per gallon fell from $15.55 to $10.36 — down 33%. Read together: we got bigger in volume but narrower in customers and cheaper in price. That is a concentration and valuation risk, not a clean growth story. My recommendation is a top-5 ceiling of 60% over four quarters, with explicit external-account growth targets.</w:t>
      </w:r>
    </w:p>
    <w:p>
      <w:pPr>
        <w:spacing w:after="80"/>
        <w:jc w:val="both"/>
      </w:pPr>
      <w:r>
        <w:rPr>
          <w:rFonts w:ascii="Aptos" w:cs="Aptos" w:eastAsia="Aptos" w:hAnsi="Aptos"/>
          <w:b/>
          <w:bCs/>
          <w:color w:val="0B1F3A"/>
          <w:spacing w:val="20"/>
          <w:sz w:val="18"/>
          <w:szCs w:val="18"/>
        </w:rPr>
        <w:t xml:space="preserve">DIGA (ES)   </w:t>
      </w:r>
      <w:r>
        <w:rPr>
          <w:rFonts w:ascii="Aptos" w:cs="Aptos" w:eastAsia="Aptos" w:hAnsi="Aptos"/>
          <w:color w:val="111827"/>
          <w:sz w:val="21"/>
          <w:szCs w:val="21"/>
        </w:rPr>
        <w:t xml:space="preserve">Esta es la tendencia más importante de la compañía. Desde 2023 el número de clientes cayó de 311 a 55 — una baja del 82%. En el mismo periodo, la concentración del top-5 subió de 37% a 79% — 42 puntos más. Y el precio realizado por galón bajó de 15.55 a 10.36 dólares — una caída del 33%. Leído en conjunto: crecimos en volumen pero nos hicimos más angostos en clientes y más baratos en precio. Eso es un riesgo de concentración y de valuación, no una historia de crecimiento limpio. Mi recomendación es un techo del 60% para el top-5 en cuatro trimestres, con metas explícitas de crecimiento de cuentas externas.</w:t>
      </w:r>
    </w:p>
    <w:p>
      <w:pPr>
        <w:pBdr>
          <w:left w:val="single" w:color="0B1F3A" w:sz="18" w:space="8"/>
        </w:pBdr>
        <w:spacing w:after="80" w:before="60"/>
        <w:ind w:left="120"/>
      </w:pPr>
      <w:r>
        <w:rPr>
          <w:rFonts w:ascii="Aptos" w:cs="Aptos" w:eastAsia="Aptos" w:hAnsi="Aptos"/>
          <w:b/>
          <w:bCs/>
          <w:color w:val="0B1F3A"/>
          <w:spacing w:val="20"/>
          <w:sz w:val="18"/>
          <w:szCs w:val="18"/>
        </w:rPr>
        <w:t xml:space="preserve">NUMBERS TO HIT / NÚMEROS CLAVE   </w:t>
      </w:r>
      <w:r>
        <w:rPr>
          <w:rFonts w:ascii="Aptos" w:cs="Aptos" w:eastAsia="Aptos" w:hAnsi="Aptos"/>
          <w:color w:val="111827"/>
          <w:sz w:val="19"/>
          <w:szCs w:val="19"/>
        </w:rPr>
        <w:t xml:space="preserve">Customers 311 → 55 (−82%) · Top-5 share 37% → 79% (+42 pts) · Realized $/gal $15.55 → $10.36 (−33%).</w:t>
      </w:r>
    </w:p>
    <w:p>
      <w:pPr>
        <w:spacing w:after="80" w:before="40"/>
      </w:pPr>
      <w:r>
        <w:rPr>
          <w:rFonts w:ascii="Aptos" w:cs="Aptos" w:eastAsia="Aptos" w:hAnsi="Aptos"/>
          <w:b/>
          <w:bCs/>
          <w:color w:val="475467"/>
          <w:sz w:val="18"/>
          <w:szCs w:val="18"/>
        </w:rPr>
        <w:t xml:space="preserve">→ Transition: </w:t>
      </w:r>
      <w:r>
        <w:rPr>
          <w:rFonts w:ascii="Aptos" w:cs="Aptos" w:eastAsia="Aptos" w:hAnsi="Aptos"/>
          <w:i/>
          <w:iCs/>
          <w:color w:val="475467"/>
          <w:sz w:val="18"/>
          <w:szCs w:val="18"/>
        </w:rPr>
        <w:t xml:space="preserve">Concentration matters because it sits on a thin margin. Let's look at margin.</w:t>
      </w:r>
      <w:r>
        <w:rPr>
          <w:rFonts w:ascii="Aptos" w:cs="Aptos" w:eastAsia="Aptos" w:hAnsi="Aptos"/>
          <w:color w:val="98A2B3"/>
          <w:sz w:val="18"/>
          <w:szCs w:val="18"/>
        </w:rPr>
        <w:t xml:space="preserve">  /  </w:t>
      </w:r>
      <w:r>
        <w:rPr>
          <w:rFonts w:ascii="Aptos" w:cs="Aptos" w:eastAsia="Aptos" w:hAnsi="Aptos"/>
          <w:i/>
          <w:iCs/>
          <w:color w:val="475467"/>
          <w:sz w:val="18"/>
          <w:szCs w:val="18"/>
        </w:rPr>
        <w:t xml:space="preserve">La concentración importa porque se asienta sobre un margen delgado. Veamos el margen.</w:t>
      </w:r>
    </w:p>
    <w:p>
      <w:pPr>
        <w:pBdr>
          <w:bottom w:val="single" w:color="E4E7EC" w:sz="6" w:space="1"/>
        </w:pBdr>
        <w:spacing w:after="120" w:before="120"/>
      </w:pPr>
    </w:p>
    <w:p>
      <w:pPr>
        <w:spacing w:after="40" w:before="200"/>
      </w:pPr>
      <w:r>
        <w:rPr>
          <w:rFonts w:ascii="Aptos" w:cs="Aptos" w:eastAsia="Aptos" w:hAnsi="Aptos"/>
          <w:b/>
          <w:bCs/>
          <w:color w:val="B42318"/>
          <w:spacing w:val="30"/>
          <w:sz w:val="16"/>
          <w:szCs w:val="16"/>
        </w:rPr>
        <w:t xml:space="preserve">SLIDE 4 / LÁMINA 4</w:t>
      </w:r>
    </w:p>
    <w:p>
      <w:pPr>
        <w:spacing w:after="60"/>
      </w:pPr>
      <w:r>
        <w:rPr>
          <w:rFonts w:ascii="Aptos" w:cs="Aptos" w:eastAsia="Aptos" w:hAnsi="Aptos"/>
          <w:b/>
          <w:bCs/>
          <w:color w:val="0B1F3A"/>
          <w:sz w:val="30"/>
          <w:szCs w:val="30"/>
        </w:rPr>
        <w:t xml:space="preserve">Margin is recovering, but still below the value-creation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TIME / TIEMPO  </w:t>
            </w:r>
            <w:r>
              <w:rPr>
                <w:rFonts w:ascii="Aptos" w:cs="Aptos" w:eastAsia="Aptos" w:hAnsi="Aptos"/>
                <w:b/>
                <w:bCs/>
                <w:color w:val="0B1F3A"/>
                <w:sz w:val="19"/>
                <w:szCs w:val="19"/>
              </w:rPr>
              <w:t xml:space="preserve">~3:00</w:t>
            </w:r>
          </w:p>
        </w:tc>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BOARD ACTION / ACCIÓN  </w:t>
            </w:r>
            <w:r>
              <w:rPr>
                <w:rFonts w:ascii="Aptos" w:cs="Aptos" w:eastAsia="Aptos" w:hAnsi="Aptos"/>
                <w:b/>
                <w:bCs/>
                <w:color w:val="B42318"/>
                <w:sz w:val="19"/>
                <w:szCs w:val="19"/>
              </w:rPr>
              <w:t xml:space="preserve">Approve price/mix program</w:t>
            </w:r>
          </w:p>
        </w:tc>
      </w:tr>
    </w:tbl>
    <w:p>
      <w:pPr>
        <w:spacing w:after="20"/>
      </w:pPr>
    </w:p>
    <w:p>
      <w:pPr>
        <w:spacing w:after="80"/>
        <w:jc w:val="both"/>
      </w:pPr>
      <w:r>
        <w:rPr>
          <w:rFonts w:ascii="Aptos" w:cs="Aptos" w:eastAsia="Aptos" w:hAnsi="Aptos"/>
          <w:b/>
          <w:bCs/>
          <w:color w:val="B42318"/>
          <w:spacing w:val="20"/>
          <w:sz w:val="18"/>
          <w:szCs w:val="18"/>
        </w:rPr>
        <w:t xml:space="preserve">SAY (EN)   </w:t>
      </w:r>
      <w:r>
        <w:rPr>
          <w:rFonts w:ascii="Aptos" w:cs="Aptos" w:eastAsia="Aptos" w:hAnsi="Aptos"/>
          <w:color w:val="111827"/>
          <w:sz w:val="21"/>
          <w:szCs w:val="21"/>
        </w:rPr>
        <w:t xml:space="preserve">TTM gross margin is 18.2% against a 25% reference. April itself was 19.6%, recovered from a 14.6% low in March — so the direction is right, but we're still below the line. The leverage is real: at this revenue base, every single point of gross margin is about $95K of gross profit. My read is that this gap is a price, mix, and intercompany-classification problem — not a plant-capability problem — until a SKU and customer margin bridge proves otherwise. I'm asking you to approve a Commercial/Finance price-mix program targeting 22% within two quarters, reported monthly by SKU, customer, and channel.</w:t>
      </w:r>
    </w:p>
    <w:p>
      <w:pPr>
        <w:spacing w:after="80"/>
        <w:jc w:val="both"/>
      </w:pPr>
      <w:r>
        <w:rPr>
          <w:rFonts w:ascii="Aptos" w:cs="Aptos" w:eastAsia="Aptos" w:hAnsi="Aptos"/>
          <w:b/>
          <w:bCs/>
          <w:color w:val="0B1F3A"/>
          <w:spacing w:val="20"/>
          <w:sz w:val="18"/>
          <w:szCs w:val="18"/>
        </w:rPr>
        <w:t xml:space="preserve">DIGA (ES)   </w:t>
      </w:r>
      <w:r>
        <w:rPr>
          <w:rFonts w:ascii="Aptos" w:cs="Aptos" w:eastAsia="Aptos" w:hAnsi="Aptos"/>
          <w:color w:val="111827"/>
          <w:sz w:val="21"/>
          <w:szCs w:val="21"/>
        </w:rPr>
        <w:t xml:space="preserve">El margen bruto de los últimos doce meses es 18.2% contra una referencia de 25%. Abril fue 19.6%, recuperándose de un mínimo de 14.6% en marzo — la dirección es correcta, pero seguimos por debajo de la línea. La palanca es real: a este nivel de ingresos, cada punto de margen bruto equivale a unos 95 mil dólares de utilidad bruta. Mi lectura es que esta brecha es un problema de precio, mezcla y clasificación intercompañía — no un problema de capacidad de planta — hasta que un puente de margen por SKU y por cliente demuestre lo contrario. Les pido aprobar un programa de precio-mezcla de Comercial y Finanzas con meta de 22% en dos trimestres, reportado mensualmente por SKU, cliente y canal.</w:t>
      </w:r>
    </w:p>
    <w:p>
      <w:pPr>
        <w:pBdr>
          <w:left w:val="single" w:color="0B1F3A" w:sz="18" w:space="8"/>
        </w:pBdr>
        <w:spacing w:after="80" w:before="60"/>
        <w:ind w:left="120"/>
      </w:pPr>
      <w:r>
        <w:rPr>
          <w:rFonts w:ascii="Aptos" w:cs="Aptos" w:eastAsia="Aptos" w:hAnsi="Aptos"/>
          <w:b/>
          <w:bCs/>
          <w:color w:val="0B1F3A"/>
          <w:spacing w:val="20"/>
          <w:sz w:val="18"/>
          <w:szCs w:val="18"/>
        </w:rPr>
        <w:t xml:space="preserve">NUMBERS TO HIT / NÚMEROS CLAVE   </w:t>
      </w:r>
      <w:r>
        <w:rPr>
          <w:rFonts w:ascii="Aptos" w:cs="Aptos" w:eastAsia="Aptos" w:hAnsi="Aptos"/>
          <w:color w:val="111827"/>
          <w:sz w:val="19"/>
          <w:szCs w:val="19"/>
        </w:rPr>
        <w:t xml:space="preserve">TTM GM 18.2% vs 25% ref · April 19.6% (from 14.6% in March) · ≈$95K per 1 pt of GM · Target ≥22% in 2 quarters.</w:t>
      </w:r>
    </w:p>
    <w:p>
      <w:pPr>
        <w:spacing w:after="80" w:before="40"/>
      </w:pPr>
      <w:r>
        <w:rPr>
          <w:rFonts w:ascii="Aptos" w:cs="Aptos" w:eastAsia="Aptos" w:hAnsi="Aptos"/>
          <w:b/>
          <w:bCs/>
          <w:color w:val="475467"/>
          <w:sz w:val="18"/>
          <w:szCs w:val="18"/>
        </w:rPr>
        <w:t xml:space="preserve">→ Transition: </w:t>
      </w:r>
      <w:r>
        <w:rPr>
          <w:rFonts w:ascii="Aptos" w:cs="Aptos" w:eastAsia="Aptos" w:hAnsi="Aptos"/>
          <w:i/>
          <w:iCs/>
          <w:color w:val="475467"/>
          <w:sz w:val="18"/>
          <w:szCs w:val="18"/>
        </w:rPr>
        <w:t xml:space="preserve">Thin margin is one pressure; the other is cash. Working capital.</w:t>
      </w:r>
      <w:r>
        <w:rPr>
          <w:rFonts w:ascii="Aptos" w:cs="Aptos" w:eastAsia="Aptos" w:hAnsi="Aptos"/>
          <w:color w:val="98A2B3"/>
          <w:sz w:val="18"/>
          <w:szCs w:val="18"/>
        </w:rPr>
        <w:t xml:space="preserve">  /  </w:t>
      </w:r>
      <w:r>
        <w:rPr>
          <w:rFonts w:ascii="Aptos" w:cs="Aptos" w:eastAsia="Aptos" w:hAnsi="Aptos"/>
          <w:i/>
          <w:iCs/>
          <w:color w:val="475467"/>
          <w:sz w:val="18"/>
          <w:szCs w:val="18"/>
        </w:rPr>
        <w:t xml:space="preserve">El margen delgado es una presión; la otra es la caja. Capital de trabajo.</w:t>
      </w:r>
    </w:p>
    <w:p>
      <w:pPr>
        <w:pBdr>
          <w:bottom w:val="single" w:color="E4E7EC" w:sz="6" w:space="1"/>
        </w:pBdr>
        <w:spacing w:after="120" w:before="120"/>
      </w:pPr>
    </w:p>
    <w:p>
      <w:pPr>
        <w:spacing w:after="40" w:before="200"/>
      </w:pPr>
      <w:r>
        <w:rPr>
          <w:rFonts w:ascii="Aptos" w:cs="Aptos" w:eastAsia="Aptos" w:hAnsi="Aptos"/>
          <w:b/>
          <w:bCs/>
          <w:color w:val="B42318"/>
          <w:spacing w:val="30"/>
          <w:sz w:val="16"/>
          <w:szCs w:val="16"/>
        </w:rPr>
        <w:t xml:space="preserve">SLIDE 5 / LÁMINA 5</w:t>
      </w:r>
    </w:p>
    <w:p>
      <w:pPr>
        <w:spacing w:after="60"/>
      </w:pPr>
      <w:r>
        <w:rPr>
          <w:rFonts w:ascii="Aptos" w:cs="Aptos" w:eastAsia="Aptos" w:hAnsi="Aptos"/>
          <w:b/>
          <w:bCs/>
          <w:color w:val="0B1F3A"/>
          <w:sz w:val="30"/>
          <w:szCs w:val="30"/>
        </w:rPr>
        <w:t xml:space="preserve">Vendor credit is carrying part of the operating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TIME / TIEMPO  </w:t>
            </w:r>
            <w:r>
              <w:rPr>
                <w:rFonts w:ascii="Aptos" w:cs="Aptos" w:eastAsia="Aptos" w:hAnsi="Aptos"/>
                <w:b/>
                <w:bCs/>
                <w:color w:val="0B1F3A"/>
                <w:sz w:val="19"/>
                <w:szCs w:val="19"/>
              </w:rPr>
              <w:t xml:space="preserve">~3:00</w:t>
            </w:r>
          </w:p>
        </w:tc>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BOARD ACTION / ACCIÓN  </w:t>
            </w:r>
            <w:r>
              <w:rPr>
                <w:rFonts w:ascii="Aptos" w:cs="Aptos" w:eastAsia="Aptos" w:hAnsi="Aptos"/>
                <w:b/>
                <w:bCs/>
                <w:color w:val="B42318"/>
                <w:sz w:val="19"/>
                <w:szCs w:val="19"/>
              </w:rPr>
              <w:t xml:space="preserve">Approve 30/60/90 plan</w:t>
            </w:r>
          </w:p>
        </w:tc>
      </w:tr>
    </w:tbl>
    <w:p>
      <w:pPr>
        <w:spacing w:after="20"/>
      </w:pPr>
    </w:p>
    <w:p>
      <w:pPr>
        <w:spacing w:after="80"/>
        <w:jc w:val="both"/>
      </w:pPr>
      <w:r>
        <w:rPr>
          <w:rFonts w:ascii="Aptos" w:cs="Aptos" w:eastAsia="Aptos" w:hAnsi="Aptos"/>
          <w:b/>
          <w:bCs/>
          <w:color w:val="B42318"/>
          <w:spacing w:val="20"/>
          <w:sz w:val="18"/>
          <w:szCs w:val="18"/>
        </w:rPr>
        <w:t xml:space="preserve">SAY (EN)   </w:t>
      </w:r>
      <w:r>
        <w:rPr>
          <w:rFonts w:ascii="Aptos" w:cs="Aptos" w:eastAsia="Aptos" w:hAnsi="Aptos"/>
          <w:color w:val="111827"/>
          <w:sz w:val="21"/>
          <w:szCs w:val="21"/>
        </w:rPr>
        <w:t xml:space="preserve">Net working capital is negative $201,816. Receivables are $731,611; payables are $933,427 — so AP is 1.3 times AR. In plain terms, our vendors are financing part of our operating cycle. That works only while their terms hold; if terms tighten before collections improve, we feel liquidity pressure quickly. The plan turns that dependence into a managed choice: at 30 days, a collections sprint on aged AR with a weekly cash huddle; at 60, renegotiate critical vendor terms before pressure appears; at 90, a minimum cash-coverage policy and an NWC dashboard. I'm asking for approval of a Finance-owned 30/60/90 plan, targeting net working capital of zero or better within 90 days, reported weekly.</w:t>
      </w:r>
    </w:p>
    <w:p>
      <w:pPr>
        <w:spacing w:after="80"/>
        <w:jc w:val="both"/>
      </w:pPr>
      <w:r>
        <w:rPr>
          <w:rFonts w:ascii="Aptos" w:cs="Aptos" w:eastAsia="Aptos" w:hAnsi="Aptos"/>
          <w:b/>
          <w:bCs/>
          <w:color w:val="0B1F3A"/>
          <w:spacing w:val="20"/>
          <w:sz w:val="18"/>
          <w:szCs w:val="18"/>
        </w:rPr>
        <w:t xml:space="preserve">DIGA (ES)   </w:t>
      </w:r>
      <w:r>
        <w:rPr>
          <w:rFonts w:ascii="Aptos" w:cs="Aptos" w:eastAsia="Aptos" w:hAnsi="Aptos"/>
          <w:color w:val="111827"/>
          <w:sz w:val="21"/>
          <w:szCs w:val="21"/>
        </w:rPr>
        <w:t xml:space="preserve">El capital de trabajo neto es negativo en 201,816 dólares. Las cuentas por cobrar son 731,611; las cuentas por pagar 933,427 — es decir, las por pagar son 1.3 veces las por cobrar. En términos simples, nuestros proveedores financian parte de nuestro ciclo operativo. Eso funciona solo mientras sus condiciones se mantengan; si se endurecen antes de que mejore la cobranza, sentimos la presión de liquidez rápido. El plan convierte esa dependencia en una decisión gestionada: a 30 días, un sprint de cobranza sobre la cartera vencida con reunión semanal de caja; a 60, renegociar las condiciones críticas con proveedores antes de que aparezca la presión; a 90, una política de cobertura mínima de caja y un tablero de capital de trabajo. Les pido aprobar un plan 30/60/90 a cargo de Finanzas, con meta de capital de trabajo neto en cero o mejor en 90 días, reportado semanalmente.</w:t>
      </w:r>
    </w:p>
    <w:p>
      <w:pPr>
        <w:pBdr>
          <w:left w:val="single" w:color="0B1F3A" w:sz="18" w:space="8"/>
        </w:pBdr>
        <w:spacing w:after="80" w:before="60"/>
        <w:ind w:left="120"/>
      </w:pPr>
      <w:r>
        <w:rPr>
          <w:rFonts w:ascii="Aptos" w:cs="Aptos" w:eastAsia="Aptos" w:hAnsi="Aptos"/>
          <w:b/>
          <w:bCs/>
          <w:color w:val="0B1F3A"/>
          <w:spacing w:val="20"/>
          <w:sz w:val="18"/>
          <w:szCs w:val="18"/>
        </w:rPr>
        <w:t xml:space="preserve">NUMBERS TO HIT / NÚMEROS CLAVE   </w:t>
      </w:r>
      <w:r>
        <w:rPr>
          <w:rFonts w:ascii="Aptos" w:cs="Aptos" w:eastAsia="Aptos" w:hAnsi="Aptos"/>
          <w:color w:val="111827"/>
          <w:sz w:val="19"/>
          <w:szCs w:val="19"/>
        </w:rPr>
        <w:t xml:space="preserve">NWC −$201,816 · AR $731,611 · AP $933,427 · AP/AR 1.3× · Target NWC ≥ $0 in 90 days.</w:t>
      </w:r>
    </w:p>
    <w:p>
      <w:pPr>
        <w:spacing w:after="80" w:before="40"/>
      </w:pPr>
      <w:r>
        <w:rPr>
          <w:rFonts w:ascii="Aptos" w:cs="Aptos" w:eastAsia="Aptos" w:hAnsi="Aptos"/>
          <w:b/>
          <w:bCs/>
          <w:color w:val="475467"/>
          <w:sz w:val="18"/>
          <w:szCs w:val="18"/>
        </w:rPr>
        <w:t xml:space="preserve">→ Transition: </w:t>
      </w:r>
      <w:r>
        <w:rPr>
          <w:rFonts w:ascii="Aptos" w:cs="Aptos" w:eastAsia="Aptos" w:hAnsi="Aptos"/>
          <w:i/>
          <w:iCs/>
          <w:color w:val="475467"/>
          <w:sz w:val="18"/>
          <w:szCs w:val="18"/>
        </w:rPr>
        <w:t xml:space="preserve">One account sits behind both the concentration and the margin questions.</w:t>
      </w:r>
      <w:r>
        <w:rPr>
          <w:rFonts w:ascii="Aptos" w:cs="Aptos" w:eastAsia="Aptos" w:hAnsi="Aptos"/>
          <w:color w:val="98A2B3"/>
          <w:sz w:val="18"/>
          <w:szCs w:val="18"/>
        </w:rPr>
        <w:t xml:space="preserve">  /  </w:t>
      </w:r>
      <w:r>
        <w:rPr>
          <w:rFonts w:ascii="Aptos" w:cs="Aptos" w:eastAsia="Aptos" w:hAnsi="Aptos"/>
          <w:i/>
          <w:iCs/>
          <w:color w:val="475467"/>
          <w:sz w:val="18"/>
          <w:szCs w:val="18"/>
        </w:rPr>
        <w:t xml:space="preserve">Una cuenta está detrás de las preguntas de concentración y de margen.</w:t>
      </w:r>
    </w:p>
    <w:p>
      <w:pPr>
        <w:pBdr>
          <w:bottom w:val="single" w:color="E4E7EC" w:sz="6" w:space="1"/>
        </w:pBdr>
        <w:spacing w:after="120" w:before="120"/>
      </w:pPr>
    </w:p>
    <w:p>
      <w:pPr>
        <w:spacing w:after="40" w:before="200"/>
      </w:pPr>
      <w:r>
        <w:rPr>
          <w:rFonts w:ascii="Aptos" w:cs="Aptos" w:eastAsia="Aptos" w:hAnsi="Aptos"/>
          <w:b/>
          <w:bCs/>
          <w:color w:val="B42318"/>
          <w:spacing w:val="30"/>
          <w:sz w:val="16"/>
          <w:szCs w:val="16"/>
        </w:rPr>
        <w:t xml:space="preserve">SLIDE 6 / LÁMINA 6</w:t>
      </w:r>
    </w:p>
    <w:p>
      <w:pPr>
        <w:spacing w:after="60"/>
      </w:pPr>
      <w:r>
        <w:rPr>
          <w:rFonts w:ascii="Aptos" w:cs="Aptos" w:eastAsia="Aptos" w:hAnsi="Aptos"/>
          <w:b/>
          <w:bCs/>
          <w:color w:val="0B1F3A"/>
          <w:sz w:val="30"/>
          <w:szCs w:val="30"/>
        </w:rPr>
        <w:t xml:space="preserve">One intercompany-weighted account is a classification 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TIME / TIEMPO  </w:t>
            </w:r>
            <w:r>
              <w:rPr>
                <w:rFonts w:ascii="Aptos" w:cs="Aptos" w:eastAsia="Aptos" w:hAnsi="Aptos"/>
                <w:b/>
                <w:bCs/>
                <w:color w:val="0B1F3A"/>
                <w:sz w:val="19"/>
                <w:szCs w:val="19"/>
              </w:rPr>
              <w:t xml:space="preserve">~2:00</w:t>
            </w:r>
          </w:p>
        </w:tc>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BOARD ACTION / ACCIÓN  </w:t>
            </w:r>
            <w:r>
              <w:rPr>
                <w:rFonts w:ascii="Aptos" w:cs="Aptos" w:eastAsia="Aptos" w:hAnsi="Aptos"/>
                <w:b/>
                <w:bCs/>
                <w:color w:val="B42318"/>
                <w:sz w:val="19"/>
                <w:szCs w:val="19"/>
              </w:rPr>
              <w:t xml:space="preserve">Resolve treatment</w:t>
            </w:r>
          </w:p>
        </w:tc>
      </w:tr>
    </w:tbl>
    <w:p>
      <w:pPr>
        <w:spacing w:after="20"/>
      </w:pPr>
    </w:p>
    <w:p>
      <w:pPr>
        <w:spacing w:after="80"/>
        <w:jc w:val="both"/>
      </w:pPr>
      <w:r>
        <w:rPr>
          <w:rFonts w:ascii="Aptos" w:cs="Aptos" w:eastAsia="Aptos" w:hAnsi="Aptos"/>
          <w:b/>
          <w:bCs/>
          <w:color w:val="B42318"/>
          <w:spacing w:val="20"/>
          <w:sz w:val="18"/>
          <w:szCs w:val="18"/>
        </w:rPr>
        <w:t xml:space="preserve">SAY (EN)   </w:t>
      </w:r>
      <w:r>
        <w:rPr>
          <w:rFonts w:ascii="Aptos" w:cs="Aptos" w:eastAsia="Aptos" w:hAnsi="Aptos"/>
          <w:color w:val="111827"/>
          <w:sz w:val="21"/>
          <w:szCs w:val="21"/>
        </w:rPr>
        <w:t xml:space="preserve">Our largest account, at 42.2% of gallons year-to-date, is U1Dynamics Manufacturing itself — an intercompany-weighted account. After that: 8A Dominus at 13.2%, Competitive Edge at 9.7%, Maxilub at 7.7%, Amazon at 6.6%. The issue isn't the account; it's that we haven't formally classified it — customer, intercompany, or internal transfer. Until that's settled, our concentration, pricing, and revenue quality are partly blurred. I'm asking Finance to finalize the treatment before the next close, and Commercial to report external-account growth and the path to a 60% top-5 ceiling.</w:t>
      </w:r>
    </w:p>
    <w:p>
      <w:pPr>
        <w:spacing w:after="80"/>
        <w:jc w:val="both"/>
      </w:pPr>
      <w:r>
        <w:rPr>
          <w:rFonts w:ascii="Aptos" w:cs="Aptos" w:eastAsia="Aptos" w:hAnsi="Aptos"/>
          <w:b/>
          <w:bCs/>
          <w:color w:val="0B1F3A"/>
          <w:spacing w:val="20"/>
          <w:sz w:val="18"/>
          <w:szCs w:val="18"/>
        </w:rPr>
        <w:t xml:space="preserve">DIGA (ES)   </w:t>
      </w:r>
      <w:r>
        <w:rPr>
          <w:rFonts w:ascii="Aptos" w:cs="Aptos" w:eastAsia="Aptos" w:hAnsi="Aptos"/>
          <w:color w:val="111827"/>
          <w:sz w:val="21"/>
          <w:szCs w:val="21"/>
        </w:rPr>
        <w:t xml:space="preserve">Nuestra cuenta más grande, con 42.2% de los galones en lo que va del año, es la propia U1Dynamics Manufacturing — una cuenta de peso intercompañía. Después: 8A Dominus con 13.2%, Competitive Edge 9.7%, Maxilub 7.7%, Amazon 6.6%. El tema no es la cuenta; es que no la hemos clasificado formalmente — cliente, intercompañía o transferencia interna. Hasta resolverlo, nuestra concentración, precio y calidad de ingreso quedan parcialmente difusos. Le pido a Finanzas finalizar el tratamiento antes del próximo cierre, y a Comercial reportar el crecimiento de cuentas externas y la ruta hacia el techo de 60% del top-5.</w:t>
      </w:r>
    </w:p>
    <w:p>
      <w:pPr>
        <w:pBdr>
          <w:left w:val="single" w:color="0B1F3A" w:sz="18" w:space="8"/>
        </w:pBdr>
        <w:spacing w:after="80" w:before="60"/>
        <w:ind w:left="120"/>
      </w:pPr>
      <w:r>
        <w:rPr>
          <w:rFonts w:ascii="Aptos" w:cs="Aptos" w:eastAsia="Aptos" w:hAnsi="Aptos"/>
          <w:b/>
          <w:bCs/>
          <w:color w:val="0B1F3A"/>
          <w:spacing w:val="20"/>
          <w:sz w:val="18"/>
          <w:szCs w:val="18"/>
        </w:rPr>
        <w:t xml:space="preserve">NUMBERS TO HIT / NÚMEROS CLAVE   </w:t>
      </w:r>
      <w:r>
        <w:rPr>
          <w:rFonts w:ascii="Aptos" w:cs="Aptos" w:eastAsia="Aptos" w:hAnsi="Aptos"/>
          <w:color w:val="111827"/>
          <w:sz w:val="19"/>
          <w:szCs w:val="19"/>
        </w:rPr>
        <w:t xml:space="preserve">U1D (intercompany) 42.2% · 8A Dominus 13.2% · Competitive Edge 9.7% · Maxilub 7.7% · Amazon 6.6%.</w:t>
      </w:r>
    </w:p>
    <w:p>
      <w:pPr>
        <w:spacing w:after="80" w:before="40"/>
      </w:pPr>
      <w:r>
        <w:rPr>
          <w:rFonts w:ascii="Aptos" w:cs="Aptos" w:eastAsia="Aptos" w:hAnsi="Aptos"/>
          <w:b/>
          <w:bCs/>
          <w:color w:val="475467"/>
          <w:sz w:val="18"/>
          <w:szCs w:val="18"/>
        </w:rPr>
        <w:t xml:space="preserve">→ Transition: </w:t>
      </w:r>
      <w:r>
        <w:rPr>
          <w:rFonts w:ascii="Aptos" w:cs="Aptos" w:eastAsia="Aptos" w:hAnsi="Aptos"/>
          <w:i/>
          <w:iCs/>
          <w:color w:val="475467"/>
          <w:sz w:val="18"/>
          <w:szCs w:val="18"/>
        </w:rPr>
        <w:t xml:space="preserve">Now the good news — operations are not the problem.</w:t>
      </w:r>
      <w:r>
        <w:rPr>
          <w:rFonts w:ascii="Aptos" w:cs="Aptos" w:eastAsia="Aptos" w:hAnsi="Aptos"/>
          <w:color w:val="98A2B3"/>
          <w:sz w:val="18"/>
          <w:szCs w:val="18"/>
        </w:rPr>
        <w:t xml:space="preserve">  /  </w:t>
      </w:r>
      <w:r>
        <w:rPr>
          <w:rFonts w:ascii="Aptos" w:cs="Aptos" w:eastAsia="Aptos" w:hAnsi="Aptos"/>
          <w:i/>
          <w:iCs/>
          <w:color w:val="475467"/>
          <w:sz w:val="18"/>
          <w:szCs w:val="18"/>
        </w:rPr>
        <w:t xml:space="preserve">Ahora la buena noticia — la operación no es el problema.</w:t>
      </w:r>
    </w:p>
    <w:p>
      <w:pPr>
        <w:pBdr>
          <w:bottom w:val="single" w:color="E4E7EC" w:sz="6" w:space="1"/>
        </w:pBdr>
        <w:spacing w:after="120" w:before="120"/>
      </w:pPr>
    </w:p>
    <w:p>
      <w:pPr>
        <w:spacing w:after="40" w:before="200"/>
      </w:pPr>
      <w:r>
        <w:rPr>
          <w:rFonts w:ascii="Aptos" w:cs="Aptos" w:eastAsia="Aptos" w:hAnsi="Aptos"/>
          <w:b/>
          <w:bCs/>
          <w:color w:val="B42318"/>
          <w:spacing w:val="30"/>
          <w:sz w:val="16"/>
          <w:szCs w:val="16"/>
        </w:rPr>
        <w:t xml:space="preserve">SLIDE 7 / LÁMINA 7</w:t>
      </w:r>
    </w:p>
    <w:p>
      <w:pPr>
        <w:spacing w:after="60"/>
      </w:pPr>
      <w:r>
        <w:rPr>
          <w:rFonts w:ascii="Aptos" w:cs="Aptos" w:eastAsia="Aptos" w:hAnsi="Aptos"/>
          <w:b/>
          <w:bCs/>
          <w:color w:val="0B1F3A"/>
          <w:sz w:val="30"/>
          <w:szCs w:val="30"/>
        </w:rPr>
        <w:t xml:space="preserve">The plant is not the bottleneck; inventory visibility is the open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TIME / TIEMPO  </w:t>
            </w:r>
            <w:r>
              <w:rPr>
                <w:rFonts w:ascii="Aptos" w:cs="Aptos" w:eastAsia="Aptos" w:hAnsi="Aptos"/>
                <w:b/>
                <w:bCs/>
                <w:color w:val="0B1F3A"/>
                <w:sz w:val="19"/>
                <w:szCs w:val="19"/>
              </w:rPr>
              <w:t xml:space="preserve">~1:00</w:t>
            </w:r>
          </w:p>
        </w:tc>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BOARD ACTION / ACCIÓN  </w:t>
            </w:r>
            <w:r>
              <w:rPr>
                <w:rFonts w:ascii="Aptos" w:cs="Aptos" w:eastAsia="Aptos" w:hAnsi="Aptos"/>
                <w:b/>
                <w:bCs/>
                <w:color w:val="B42318"/>
                <w:sz w:val="19"/>
                <w:szCs w:val="19"/>
              </w:rPr>
              <w:t xml:space="preserve">Add inventory anchor</w:t>
            </w:r>
          </w:p>
        </w:tc>
      </w:tr>
    </w:tbl>
    <w:p>
      <w:pPr>
        <w:spacing w:after="20"/>
      </w:pPr>
    </w:p>
    <w:p>
      <w:pPr>
        <w:spacing w:after="80"/>
        <w:jc w:val="both"/>
      </w:pPr>
      <w:r>
        <w:rPr>
          <w:rFonts w:ascii="Aptos" w:cs="Aptos" w:eastAsia="Aptos" w:hAnsi="Aptos"/>
          <w:b/>
          <w:bCs/>
          <w:color w:val="B42318"/>
          <w:spacing w:val="20"/>
          <w:sz w:val="18"/>
          <w:szCs w:val="18"/>
        </w:rPr>
        <w:t xml:space="preserve">SAY (EN)   </w:t>
      </w:r>
      <w:r>
        <w:rPr>
          <w:rFonts w:ascii="Aptos" w:cs="Aptos" w:eastAsia="Aptos" w:hAnsi="Aptos"/>
          <w:color w:val="111827"/>
          <w:sz w:val="21"/>
          <w:szCs w:val="21"/>
        </w:rPr>
        <w:t xml:space="preserve">Operationally, April was clean. We produced 134,620 gallons across 22 workdays and billed 103,453 — so production ran ahead of billing and we built roughly 31,000 gallons of inventory. Zero quality, supply, or line-down incidents. The board shouldn't spend much time on plant execution. The one open item is inventory visibility — opening and closing inventory, days of cover, and the dollar value of that movement. I've asked Ops and Finance to add that anchor before the next distribution.</w:t>
      </w:r>
    </w:p>
    <w:p>
      <w:pPr>
        <w:spacing w:after="80"/>
        <w:jc w:val="both"/>
      </w:pPr>
      <w:r>
        <w:rPr>
          <w:rFonts w:ascii="Aptos" w:cs="Aptos" w:eastAsia="Aptos" w:hAnsi="Aptos"/>
          <w:b/>
          <w:bCs/>
          <w:color w:val="0B1F3A"/>
          <w:spacing w:val="20"/>
          <w:sz w:val="18"/>
          <w:szCs w:val="18"/>
        </w:rPr>
        <w:t xml:space="preserve">DIGA (ES)   </w:t>
      </w:r>
      <w:r>
        <w:rPr>
          <w:rFonts w:ascii="Aptos" w:cs="Aptos" w:eastAsia="Aptos" w:hAnsi="Aptos"/>
          <w:color w:val="111827"/>
          <w:sz w:val="21"/>
          <w:szCs w:val="21"/>
        </w:rPr>
        <w:t xml:space="preserve">En lo operativo, abril fue limpio. Produjimos 134,620 galones en 22 días hábiles y facturamos 103,453 — la producción superó la facturación y acumulamos unos 31,000 galones de inventario. Cero incidentes de calidad, suministro o paro de línea. El Consejo no debería dedicar mucho tiempo a la ejecución de planta. El único punto abierto es la visibilidad de inventario — inventario inicial y final, días de cobertura y el valor en dólares de ese movimiento. Pedí a Operaciones y Finanzas agregar ese anclaje antes de la próxima distribución.</w:t>
      </w:r>
    </w:p>
    <w:p>
      <w:pPr>
        <w:pBdr>
          <w:left w:val="single" w:color="0B1F3A" w:sz="18" w:space="8"/>
        </w:pBdr>
        <w:spacing w:after="80" w:before="60"/>
        <w:ind w:left="120"/>
      </w:pPr>
      <w:r>
        <w:rPr>
          <w:rFonts w:ascii="Aptos" w:cs="Aptos" w:eastAsia="Aptos" w:hAnsi="Aptos"/>
          <w:b/>
          <w:bCs/>
          <w:color w:val="0B1F3A"/>
          <w:spacing w:val="20"/>
          <w:sz w:val="18"/>
          <w:szCs w:val="18"/>
        </w:rPr>
        <w:t xml:space="preserve">NUMBERS TO HIT / NÚMEROS CLAVE   </w:t>
      </w:r>
      <w:r>
        <w:rPr>
          <w:rFonts w:ascii="Aptos" w:cs="Aptos" w:eastAsia="Aptos" w:hAnsi="Aptos"/>
          <w:color w:val="111827"/>
          <w:sz w:val="19"/>
          <w:szCs w:val="19"/>
        </w:rPr>
        <w:t xml:space="preserve">Produced 134,620 gal (22 workdays) · Billed 103,453 gal · Inventory build ≈31K gal · Incidents 0.</w:t>
      </w:r>
    </w:p>
    <w:p>
      <w:pPr>
        <w:spacing w:after="80" w:before="40"/>
      </w:pPr>
      <w:r>
        <w:rPr>
          <w:rFonts w:ascii="Aptos" w:cs="Aptos" w:eastAsia="Aptos" w:hAnsi="Aptos"/>
          <w:b/>
          <w:bCs/>
          <w:color w:val="475467"/>
          <w:sz w:val="18"/>
          <w:szCs w:val="18"/>
        </w:rPr>
        <w:t xml:space="preserve">→ Transition: </w:t>
      </w:r>
      <w:r>
        <w:rPr>
          <w:rFonts w:ascii="Aptos" w:cs="Aptos" w:eastAsia="Aptos" w:hAnsi="Aptos"/>
          <w:i/>
          <w:iCs/>
          <w:color w:val="475467"/>
          <w:sz w:val="18"/>
          <w:szCs w:val="18"/>
        </w:rPr>
        <w:t xml:space="preserve">Before I ask for decisions, let me be clear about what is and isn't board-grade.</w:t>
      </w:r>
      <w:r>
        <w:rPr>
          <w:rFonts w:ascii="Aptos" w:cs="Aptos" w:eastAsia="Aptos" w:hAnsi="Aptos"/>
          <w:color w:val="98A2B3"/>
          <w:sz w:val="18"/>
          <w:szCs w:val="18"/>
        </w:rPr>
        <w:t xml:space="preserve">  /  </w:t>
      </w:r>
      <w:r>
        <w:rPr>
          <w:rFonts w:ascii="Aptos" w:cs="Aptos" w:eastAsia="Aptos" w:hAnsi="Aptos"/>
          <w:i/>
          <w:iCs/>
          <w:color w:val="475467"/>
          <w:sz w:val="18"/>
          <w:szCs w:val="18"/>
        </w:rPr>
        <w:t xml:space="preserve">Antes de pedir decisiones, seamos claros sobre qué es y qué no es de grado-consejo.</w:t>
      </w:r>
    </w:p>
    <w:p>
      <w:pPr>
        <w:pBdr>
          <w:bottom w:val="single" w:color="E4E7EC" w:sz="6" w:space="1"/>
        </w:pBdr>
        <w:spacing w:after="120" w:before="120"/>
      </w:pPr>
    </w:p>
    <w:p>
      <w:pPr>
        <w:spacing w:after="40" w:before="200"/>
      </w:pPr>
      <w:r>
        <w:rPr>
          <w:rFonts w:ascii="Aptos" w:cs="Aptos" w:eastAsia="Aptos" w:hAnsi="Aptos"/>
          <w:b/>
          <w:bCs/>
          <w:color w:val="B42318"/>
          <w:spacing w:val="30"/>
          <w:sz w:val="16"/>
          <w:szCs w:val="16"/>
        </w:rPr>
        <w:t xml:space="preserve">SLIDE 8 / LÁMINA 8</w:t>
      </w:r>
    </w:p>
    <w:p>
      <w:pPr>
        <w:spacing w:after="60"/>
      </w:pPr>
      <w:r>
        <w:rPr>
          <w:rFonts w:ascii="Aptos" w:cs="Aptos" w:eastAsia="Aptos" w:hAnsi="Aptos"/>
          <w:b/>
          <w:bCs/>
          <w:color w:val="0B1F3A"/>
          <w:sz w:val="30"/>
          <w:szCs w:val="30"/>
        </w:rPr>
        <w:t xml:space="preserve">We will not ask the board to decide on numbers that aren't board-grade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TIME / TIEMPO  </w:t>
            </w:r>
            <w:r>
              <w:rPr>
                <w:rFonts w:ascii="Aptos" w:cs="Aptos" w:eastAsia="Aptos" w:hAnsi="Aptos"/>
                <w:b/>
                <w:bCs/>
                <w:color w:val="0B1F3A"/>
                <w:sz w:val="19"/>
                <w:szCs w:val="19"/>
              </w:rPr>
              <w:t xml:space="preserve">~1:00</w:t>
            </w:r>
          </w:p>
        </w:tc>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BOARD ACTION / ACCIÓN  </w:t>
            </w:r>
            <w:r>
              <w:rPr>
                <w:rFonts w:ascii="Aptos" w:cs="Aptos" w:eastAsia="Aptos" w:hAnsi="Aptos"/>
                <w:b/>
                <w:bCs/>
                <w:color w:val="B42318"/>
                <w:sz w:val="19"/>
                <w:szCs w:val="19"/>
              </w:rPr>
              <w:t xml:space="preserve">Protect credibility</w:t>
            </w:r>
          </w:p>
        </w:tc>
      </w:tr>
    </w:tbl>
    <w:p>
      <w:pPr>
        <w:spacing w:after="20"/>
      </w:pPr>
    </w:p>
    <w:p>
      <w:pPr>
        <w:spacing w:after="80"/>
        <w:jc w:val="both"/>
      </w:pPr>
      <w:r>
        <w:rPr>
          <w:rFonts w:ascii="Aptos" w:cs="Aptos" w:eastAsia="Aptos" w:hAnsi="Aptos"/>
          <w:b/>
          <w:bCs/>
          <w:color w:val="B42318"/>
          <w:spacing w:val="20"/>
          <w:sz w:val="18"/>
          <w:szCs w:val="18"/>
        </w:rPr>
        <w:t xml:space="preserve">SAY (EN)   </w:t>
      </w:r>
      <w:r>
        <w:rPr>
          <w:rFonts w:ascii="Aptos" w:cs="Aptos" w:eastAsia="Aptos" w:hAnsi="Aptos"/>
          <w:color w:val="111827"/>
          <w:sz w:val="21"/>
          <w:szCs w:val="21"/>
        </w:rPr>
        <w:t xml:space="preserve">I want to draw a clear line. What is authoritative tonight: the QuickBooks P&amp;L — revenue, COGS, margin, net income; the locked April volume close; AR/AP aging; and production-versus-billing in gallons. Decide on these. What is not yet board-grade: a customer-file revenue figure of about $19.7M that does not reconcile to the $9.5M QuickBooks P&amp;L; the inventory anchor; a finance sync that's stale beyond 24 hours; and per-customer margin, because invoice-line cost is unverified. We will not ask you to decide on numbers that aren't ready. Finance reconciles those before any per-customer dollar view.</w:t>
      </w:r>
    </w:p>
    <w:p>
      <w:pPr>
        <w:spacing w:after="80"/>
        <w:jc w:val="both"/>
      </w:pPr>
      <w:r>
        <w:rPr>
          <w:rFonts w:ascii="Aptos" w:cs="Aptos" w:eastAsia="Aptos" w:hAnsi="Aptos"/>
          <w:b/>
          <w:bCs/>
          <w:color w:val="0B1F3A"/>
          <w:spacing w:val="20"/>
          <w:sz w:val="18"/>
          <w:szCs w:val="18"/>
        </w:rPr>
        <w:t xml:space="preserve">DIGA (ES)   </w:t>
      </w:r>
      <w:r>
        <w:rPr>
          <w:rFonts w:ascii="Aptos" w:cs="Aptos" w:eastAsia="Aptos" w:hAnsi="Aptos"/>
          <w:color w:val="111827"/>
          <w:sz w:val="21"/>
          <w:szCs w:val="21"/>
        </w:rPr>
        <w:t xml:space="preserve">Quiero trazar una línea clara. Lo que es autoritativo esta noche: el estado de resultados de QuickBooks — ingresos, costo de ventas, margen, utilidad neta; el cierre de volumen de abril ya bloqueado; la antigüedad de cuentas por cobrar y por pagar; y producción contra facturación en galones. Decidan sobre eso. Lo que aún no es de grado-consejo: una cifra de ingresos del archivo de clientes de unos 19.7 millones que no concilia con los 9.5 millones del estado de resultados de QuickBooks; el anclaje de inventario; una sincronización de finanzas con más de 24 horas de atraso; y el margen por cliente, porque el costo a nivel de línea de factura no está verificado. No les pediremos decidir sobre números que no están listos. Finanzas concilia eso antes de cualquier vista de dólares por cliente.</w:t>
      </w:r>
    </w:p>
    <w:p>
      <w:pPr>
        <w:pBdr>
          <w:left w:val="single" w:color="0B1F3A" w:sz="18" w:space="8"/>
        </w:pBdr>
        <w:spacing w:after="80" w:before="60"/>
        <w:ind w:left="120"/>
      </w:pPr>
      <w:r>
        <w:rPr>
          <w:rFonts w:ascii="Aptos" w:cs="Aptos" w:eastAsia="Aptos" w:hAnsi="Aptos"/>
          <w:b/>
          <w:bCs/>
          <w:color w:val="0B1F3A"/>
          <w:spacing w:val="20"/>
          <w:sz w:val="18"/>
          <w:szCs w:val="18"/>
        </w:rPr>
        <w:t xml:space="preserve">NUMBERS TO HIT / NÚMEROS CLAVE   </w:t>
      </w:r>
      <w:r>
        <w:rPr>
          <w:rFonts w:ascii="Aptos" w:cs="Aptos" w:eastAsia="Aptos" w:hAnsi="Aptos"/>
          <w:color w:val="111827"/>
          <w:sz w:val="19"/>
          <w:szCs w:val="19"/>
        </w:rPr>
        <w:t xml:space="preserve">Authoritative: QB P&amp;L, locked volume, AR/AP, production-vs-billing. Pending: $19.7M vs $9.5M, inventory anchor, stale sync, per-customer margin.</w:t>
      </w:r>
    </w:p>
    <w:p>
      <w:pPr>
        <w:spacing w:after="80" w:before="40"/>
      </w:pPr>
      <w:r>
        <w:rPr>
          <w:rFonts w:ascii="Aptos" w:cs="Aptos" w:eastAsia="Aptos" w:hAnsi="Aptos"/>
          <w:b/>
          <w:bCs/>
          <w:color w:val="475467"/>
          <w:sz w:val="18"/>
          <w:szCs w:val="18"/>
        </w:rPr>
        <w:t xml:space="preserve">→ Transition: </w:t>
      </w:r>
      <w:r>
        <w:rPr>
          <w:rFonts w:ascii="Aptos" w:cs="Aptos" w:eastAsia="Aptos" w:hAnsi="Aptos"/>
          <w:i/>
          <w:iCs/>
          <w:color w:val="475467"/>
          <w:sz w:val="18"/>
          <w:szCs w:val="18"/>
        </w:rPr>
        <w:t xml:space="preserve">So, here is what I'm asking you to approve.</w:t>
      </w:r>
      <w:r>
        <w:rPr>
          <w:rFonts w:ascii="Aptos" w:cs="Aptos" w:eastAsia="Aptos" w:hAnsi="Aptos"/>
          <w:color w:val="98A2B3"/>
          <w:sz w:val="18"/>
          <w:szCs w:val="18"/>
        </w:rPr>
        <w:t xml:space="preserve">  /  </w:t>
      </w:r>
      <w:r>
        <w:rPr>
          <w:rFonts w:ascii="Aptos" w:cs="Aptos" w:eastAsia="Aptos" w:hAnsi="Aptos"/>
          <w:i/>
          <w:iCs/>
          <w:color w:val="475467"/>
          <w:sz w:val="18"/>
          <w:szCs w:val="18"/>
        </w:rPr>
        <w:t xml:space="preserve">Entonces, esto es lo que les pido aprobar.</w:t>
      </w:r>
    </w:p>
    <w:p>
      <w:pPr>
        <w:pBdr>
          <w:bottom w:val="single" w:color="E4E7EC" w:sz="6" w:space="1"/>
        </w:pBdr>
        <w:spacing w:after="120" w:before="120"/>
      </w:pPr>
    </w:p>
    <w:p>
      <w:pPr>
        <w:spacing w:after="40" w:before="200"/>
      </w:pPr>
      <w:r>
        <w:rPr>
          <w:rFonts w:ascii="Aptos" w:cs="Aptos" w:eastAsia="Aptos" w:hAnsi="Aptos"/>
          <w:b/>
          <w:bCs/>
          <w:color w:val="B42318"/>
          <w:spacing w:val="30"/>
          <w:sz w:val="16"/>
          <w:szCs w:val="16"/>
        </w:rPr>
        <w:t xml:space="preserve">SLIDE 9 / LÁMINA 9</w:t>
      </w:r>
    </w:p>
    <w:p>
      <w:pPr>
        <w:spacing w:after="60"/>
      </w:pPr>
      <w:r>
        <w:rPr>
          <w:rFonts w:ascii="Aptos" w:cs="Aptos" w:eastAsia="Aptos" w:hAnsi="Aptos"/>
          <w:b/>
          <w:bCs/>
          <w:color w:val="0B1F3A"/>
          <w:sz w:val="30"/>
          <w:szCs w:val="30"/>
        </w:rPr>
        <w:t xml:space="preserve">Three approvals de-risk the enterprise in the next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TIME / TIEMPO  </w:t>
            </w:r>
            <w:r>
              <w:rPr>
                <w:rFonts w:ascii="Aptos" w:cs="Aptos" w:eastAsia="Aptos" w:hAnsi="Aptos"/>
                <w:b/>
                <w:bCs/>
                <w:color w:val="0B1F3A"/>
                <w:sz w:val="19"/>
                <w:szCs w:val="19"/>
              </w:rPr>
              <w:t xml:space="preserve">~1:00</w:t>
            </w:r>
          </w:p>
        </w:tc>
        <w:tc>
          <w:tcPr>
            <w:tcW w:type="dxa" w:w="4680"/>
            <w:tcBorders>
              <w:top w:val="single" w:color="E4E7EC" w:sz="2"/>
              <w:left w:val="single" w:color="E4E7EC" w:sz="2"/>
              <w:bottom w:val="single" w:color="E4E7EC" w:sz="2"/>
              <w:right w:val="single" w:color="E4E7EC" w:sz="2"/>
            </w:tcBorders>
            <w:shd w:fill="F2F4F7" w:val="clear"/>
            <w:tcMar>
              <w:top w:type="dxa" w:w="80"/>
              <w:left w:type="dxa" w:w="140"/>
              <w:bottom w:type="dxa" w:w="80"/>
              <w:right w:type="dxa" w:w="140"/>
            </w:tcMar>
          </w:tcPr>
          <w:p>
            <w:r>
              <w:rPr>
                <w:rFonts w:ascii="Aptos" w:cs="Aptos" w:eastAsia="Aptos" w:hAnsi="Aptos"/>
                <w:b/>
                <w:bCs/>
                <w:color w:val="98A2B3"/>
                <w:spacing w:val="20"/>
                <w:sz w:val="18"/>
                <w:szCs w:val="18"/>
              </w:rPr>
              <w:t xml:space="preserve">BOARD ACTION / ACCIÓN  </w:t>
            </w:r>
            <w:r>
              <w:rPr>
                <w:rFonts w:ascii="Aptos" w:cs="Aptos" w:eastAsia="Aptos" w:hAnsi="Aptos"/>
                <w:b/>
                <w:bCs/>
                <w:color w:val="B42318"/>
                <w:sz w:val="19"/>
                <w:szCs w:val="19"/>
              </w:rPr>
              <w:t xml:space="preserve">Board approval</w:t>
            </w:r>
          </w:p>
        </w:tc>
      </w:tr>
    </w:tbl>
    <w:p>
      <w:pPr>
        <w:spacing w:after="20"/>
      </w:pPr>
    </w:p>
    <w:p>
      <w:pPr>
        <w:spacing w:after="80"/>
        <w:jc w:val="both"/>
      </w:pPr>
      <w:r>
        <w:rPr>
          <w:rFonts w:ascii="Aptos" w:cs="Aptos" w:eastAsia="Aptos" w:hAnsi="Aptos"/>
          <w:b/>
          <w:bCs/>
          <w:color w:val="B42318"/>
          <w:spacing w:val="20"/>
          <w:sz w:val="18"/>
          <w:szCs w:val="18"/>
        </w:rPr>
        <w:t xml:space="preserve">SAY (EN)   </w:t>
      </w:r>
      <w:r>
        <w:rPr>
          <w:rFonts w:ascii="Aptos" w:cs="Aptos" w:eastAsia="Aptos" w:hAnsi="Aptos"/>
          <w:color w:val="111827"/>
          <w:sz w:val="21"/>
          <w:szCs w:val="21"/>
        </w:rPr>
        <w:t xml:space="preserve">Three approvals, each with an owner and a measurable outcome. One: close the margin gap — Commercial and Finance, gross margin at 22% within two quarters. Two: protect working capital — Finance, net working capital at zero or better in 90 days. Three: diversify the base — Commercial and Finance, a top-5 ceiling of 60% and intercompany treatment resolved by the next close. I'm asking you to approve all three as a single operating-discipline package. Waiting doesn't hold us steady — it extends near-break-even earnings, vendor-credit dependence, and concentration risk. I'd like the board's approval tonight.</w:t>
      </w:r>
    </w:p>
    <w:p>
      <w:pPr>
        <w:spacing w:after="80"/>
        <w:jc w:val="both"/>
      </w:pPr>
      <w:r>
        <w:rPr>
          <w:rFonts w:ascii="Aptos" w:cs="Aptos" w:eastAsia="Aptos" w:hAnsi="Aptos"/>
          <w:b/>
          <w:bCs/>
          <w:color w:val="0B1F3A"/>
          <w:spacing w:val="20"/>
          <w:sz w:val="18"/>
          <w:szCs w:val="18"/>
        </w:rPr>
        <w:t xml:space="preserve">DIGA (ES)   </w:t>
      </w:r>
      <w:r>
        <w:rPr>
          <w:rFonts w:ascii="Aptos" w:cs="Aptos" w:eastAsia="Aptos" w:hAnsi="Aptos"/>
          <w:color w:val="111827"/>
          <w:sz w:val="21"/>
          <w:szCs w:val="21"/>
        </w:rPr>
        <w:t xml:space="preserve">Tres aprobaciones, cada una con un responsable y un resultado medible. Uno: cerrar la brecha de margen — Comercial y Finanzas, margen bruto en 22% en dos trimestres. Dos: proteger el capital de trabajo — Finanzas, capital de trabajo neto en cero o mejor en 90 días. Tres: diversificar la base — Comercial y Finanzas, un techo de 60% para el top-5 y tratamiento intercompañía resuelto antes del próximo cierre. Les pido aprobar las tres como un solo paquete de disciplina operativa. Esperar no nos mantiene estables — prolonga utilidades cercanas al punto de equilibrio, la dependencia del crédito de proveedores y el riesgo de concentración. Quisiera la aprobación del Consejo esta noche.</w:t>
      </w:r>
    </w:p>
    <w:p>
      <w:pPr>
        <w:pBdr>
          <w:left w:val="single" w:color="0B1F3A" w:sz="18" w:space="8"/>
        </w:pBdr>
        <w:spacing w:after="80" w:before="60"/>
        <w:ind w:left="120"/>
      </w:pPr>
      <w:r>
        <w:rPr>
          <w:rFonts w:ascii="Aptos" w:cs="Aptos" w:eastAsia="Aptos" w:hAnsi="Aptos"/>
          <w:b/>
          <w:bCs/>
          <w:color w:val="0B1F3A"/>
          <w:spacing w:val="20"/>
          <w:sz w:val="18"/>
          <w:szCs w:val="18"/>
        </w:rPr>
        <w:t xml:space="preserve">NUMBERS TO HIT / NÚMEROS CLAVE   </w:t>
      </w:r>
      <w:r>
        <w:rPr>
          <w:rFonts w:ascii="Aptos" w:cs="Aptos" w:eastAsia="Aptos" w:hAnsi="Aptos"/>
          <w:color w:val="111827"/>
          <w:sz w:val="19"/>
          <w:szCs w:val="19"/>
        </w:rPr>
        <w:t xml:space="preserve">GM ≥22% in 2Q (Commercial/Finance) · NWC ≥$0 in 90d (Finance) · Top-5 ≤60% + intercompany resolved (Commercial/Finance).</w:t>
      </w:r>
    </w:p>
    <w:p>
      <w:pPr>
        <w:spacing w:after="80" w:before="40"/>
      </w:pPr>
      <w:r>
        <w:rPr>
          <w:rFonts w:ascii="Aptos" w:cs="Aptos" w:eastAsia="Aptos" w:hAnsi="Aptos"/>
          <w:b/>
          <w:bCs/>
          <w:color w:val="475467"/>
          <w:sz w:val="18"/>
          <w:szCs w:val="18"/>
        </w:rPr>
        <w:t xml:space="preserve">→ Transition: </w:t>
      </w:r>
      <w:r>
        <w:rPr>
          <w:rFonts w:ascii="Aptos" w:cs="Aptos" w:eastAsia="Aptos" w:hAnsi="Aptos"/>
          <w:i/>
          <w:iCs/>
          <w:color w:val="475467"/>
          <w:sz w:val="18"/>
          <w:szCs w:val="18"/>
        </w:rPr>
        <w:t xml:space="preserve">Close. Hand to discussion / Q&amp;A.</w:t>
      </w:r>
      <w:r>
        <w:rPr>
          <w:rFonts w:ascii="Aptos" w:cs="Aptos" w:eastAsia="Aptos" w:hAnsi="Aptos"/>
          <w:color w:val="98A2B3"/>
          <w:sz w:val="18"/>
          <w:szCs w:val="18"/>
        </w:rPr>
        <w:t xml:space="preserve">  /  </w:t>
      </w:r>
      <w:r>
        <w:rPr>
          <w:rFonts w:ascii="Aptos" w:cs="Aptos" w:eastAsia="Aptos" w:hAnsi="Aptos"/>
          <w:i/>
          <w:iCs/>
          <w:color w:val="475467"/>
          <w:sz w:val="18"/>
          <w:szCs w:val="18"/>
        </w:rPr>
        <w:t xml:space="preserve">Cierre. Abrir a discusión / preguntas.</w:t>
      </w:r>
    </w:p>
    <w:p>
      <w:r>
        <w:br w:type="page"/>
      </w:r>
    </w:p>
    <w:p>
      <w:pPr>
        <w:spacing w:after="60"/>
      </w:pPr>
      <w:r>
        <w:rPr>
          <w:rFonts w:ascii="Aptos" w:cs="Aptos" w:eastAsia="Aptos" w:hAnsi="Aptos"/>
          <w:b/>
          <w:bCs/>
          <w:color w:val="0B1F3A"/>
          <w:sz w:val="30"/>
          <w:szCs w:val="30"/>
        </w:rPr>
        <w:t xml:space="preserve">Likely board questions / Preguntas probables del Consejo</w:t>
      </w:r>
    </w:p>
    <w:p>
      <w:pPr>
        <w:spacing w:after="120"/>
      </w:pPr>
      <w:r>
        <w:rPr>
          <w:rFonts w:ascii="Aptos" w:cs="Aptos" w:eastAsia="Aptos" w:hAnsi="Aptos"/>
          <w:i/>
          <w:iCs/>
          <w:color w:val="475467"/>
          <w:sz w:val="19"/>
          <w:szCs w:val="19"/>
        </w:rPr>
        <w:t xml:space="preserve">Answer with facts, ownership, and the next action — no defensiveness. / Responda con hechos, responsable y la siguiente acción — sin actitud defensiva.</w:t>
      </w:r>
    </w:p>
    <w:p>
      <w:pPr>
        <w:spacing w:after="30" w:before="160"/>
      </w:pPr>
      <w:r>
        <w:rPr>
          <w:rFonts w:ascii="Aptos" w:cs="Aptos" w:eastAsia="Aptos" w:hAnsi="Aptos"/>
          <w:b/>
          <w:bCs/>
          <w:color w:val="B42318"/>
          <w:sz w:val="22"/>
          <w:szCs w:val="22"/>
        </w:rPr>
        <w:t xml:space="preserve">Q1.  </w:t>
      </w:r>
      <w:r>
        <w:rPr>
          <w:rFonts w:ascii="Aptos" w:cs="Aptos" w:eastAsia="Aptos" w:hAnsi="Aptos"/>
          <w:b/>
          <w:bCs/>
          <w:color w:val="0B1F3A"/>
          <w:sz w:val="22"/>
          <w:szCs w:val="22"/>
        </w:rPr>
        <w:t xml:space="preserve">Is the April volume drop a demand problem?</w:t>
      </w:r>
    </w:p>
    <w:p>
      <w:pPr>
        <w:spacing w:after="60"/>
        <w:ind w:left="360"/>
      </w:pPr>
      <w:r>
        <w:rPr>
          <w:rFonts w:ascii="Aptos" w:cs="Aptos" w:eastAsia="Aptos" w:hAnsi="Aptos"/>
          <w:i/>
          <w:iCs/>
          <w:color w:val="475467"/>
          <w:sz w:val="19"/>
          <w:szCs w:val="19"/>
        </w:rPr>
        <w:t xml:space="preserve">¿La caída de volumen de abril es un problema de demanda?</w:t>
      </w:r>
    </w:p>
    <w:p>
      <w:pPr>
        <w:spacing w:after="40"/>
        <w:jc w:val="both"/>
      </w:pPr>
      <w:r>
        <w:rPr>
          <w:rFonts w:ascii="Aptos" w:cs="Aptos" w:eastAsia="Aptos" w:hAnsi="Aptos"/>
          <w:b/>
          <w:bCs/>
          <w:color w:val="B42318"/>
          <w:spacing w:val="20"/>
          <w:sz w:val="18"/>
          <w:szCs w:val="18"/>
        </w:rPr>
        <w:t xml:space="preserve">EN  </w:t>
      </w:r>
      <w:r>
        <w:rPr>
          <w:rFonts w:ascii="Aptos" w:cs="Aptos" w:eastAsia="Aptos" w:hAnsi="Aptos"/>
          <w:color w:val="111827"/>
          <w:sz w:val="21"/>
          <w:szCs w:val="21"/>
        </w:rPr>
        <w:t xml:space="preserve">Not on the evidence we have. March was a record pull-forward; April normalized while production exceeded billing. The next proof point is inventory value and days of cover.</w:t>
      </w:r>
    </w:p>
    <w:p>
      <w:pPr>
        <w:spacing w:after="40"/>
        <w:jc w:val="both"/>
      </w:pPr>
      <w:r>
        <w:rPr>
          <w:rFonts w:ascii="Aptos" w:cs="Aptos" w:eastAsia="Aptos" w:hAnsi="Aptos"/>
          <w:b/>
          <w:bCs/>
          <w:color w:val="0B1F3A"/>
          <w:spacing w:val="20"/>
          <w:sz w:val="18"/>
          <w:szCs w:val="18"/>
        </w:rPr>
        <w:t xml:space="preserve">ES  </w:t>
      </w:r>
      <w:r>
        <w:rPr>
          <w:rFonts w:ascii="Aptos" w:cs="Aptos" w:eastAsia="Aptos" w:hAnsi="Aptos"/>
          <w:color w:val="111827"/>
          <w:sz w:val="21"/>
          <w:szCs w:val="21"/>
        </w:rPr>
        <w:t xml:space="preserve">No con la evidencia que tenemos. Marzo fue un adelanto récord; abril se normalizó mientras la producción superó la facturación. El próximo punto de prueba es el valor de inventario y los días de cobertura.</w:t>
      </w:r>
    </w:p>
    <w:p>
      <w:pPr>
        <w:spacing w:after="30" w:before="160"/>
      </w:pPr>
      <w:r>
        <w:rPr>
          <w:rFonts w:ascii="Aptos" w:cs="Aptos" w:eastAsia="Aptos" w:hAnsi="Aptos"/>
          <w:b/>
          <w:bCs/>
          <w:color w:val="B42318"/>
          <w:sz w:val="22"/>
          <w:szCs w:val="22"/>
        </w:rPr>
        <w:t xml:space="preserve">Q2.  </w:t>
      </w:r>
      <w:r>
        <w:rPr>
          <w:rFonts w:ascii="Aptos" w:cs="Aptos" w:eastAsia="Aptos" w:hAnsi="Aptos"/>
          <w:b/>
          <w:bCs/>
          <w:color w:val="0B1F3A"/>
          <w:sz w:val="22"/>
          <w:szCs w:val="22"/>
        </w:rPr>
        <w:t xml:space="preserve">Why is gross margin still below 25%?</w:t>
      </w:r>
    </w:p>
    <w:p>
      <w:pPr>
        <w:spacing w:after="60"/>
        <w:ind w:left="360"/>
      </w:pPr>
      <w:r>
        <w:rPr>
          <w:rFonts w:ascii="Aptos" w:cs="Aptos" w:eastAsia="Aptos" w:hAnsi="Aptos"/>
          <w:i/>
          <w:iCs/>
          <w:color w:val="475467"/>
          <w:sz w:val="19"/>
          <w:szCs w:val="19"/>
        </w:rPr>
        <w:t xml:space="preserve">¿Por qué el margen bruto sigue por debajo del 25%?</w:t>
      </w:r>
    </w:p>
    <w:p>
      <w:pPr>
        <w:spacing w:after="40"/>
        <w:jc w:val="both"/>
      </w:pPr>
      <w:r>
        <w:rPr>
          <w:rFonts w:ascii="Aptos" w:cs="Aptos" w:eastAsia="Aptos" w:hAnsi="Aptos"/>
          <w:b/>
          <w:bCs/>
          <w:color w:val="B42318"/>
          <w:spacing w:val="20"/>
          <w:sz w:val="18"/>
          <w:szCs w:val="18"/>
        </w:rPr>
        <w:t xml:space="preserve">EN  </w:t>
      </w:r>
      <w:r>
        <w:rPr>
          <w:rFonts w:ascii="Aptos" w:cs="Aptos" w:eastAsia="Aptos" w:hAnsi="Aptos"/>
          <w:color w:val="111827"/>
          <w:sz w:val="21"/>
          <w:szCs w:val="21"/>
        </w:rPr>
        <w:t xml:space="preserve">Likely price/mix plus intercompany treatment, until the SKU/customer bridge proves otherwise. That's why I need the price-mix program approved tonight.</w:t>
      </w:r>
    </w:p>
    <w:p>
      <w:pPr>
        <w:spacing w:after="40"/>
        <w:jc w:val="both"/>
      </w:pPr>
      <w:r>
        <w:rPr>
          <w:rFonts w:ascii="Aptos" w:cs="Aptos" w:eastAsia="Aptos" w:hAnsi="Aptos"/>
          <w:b/>
          <w:bCs/>
          <w:color w:val="0B1F3A"/>
          <w:spacing w:val="20"/>
          <w:sz w:val="18"/>
          <w:szCs w:val="18"/>
        </w:rPr>
        <w:t xml:space="preserve">ES  </w:t>
      </w:r>
      <w:r>
        <w:rPr>
          <w:rFonts w:ascii="Aptos" w:cs="Aptos" w:eastAsia="Aptos" w:hAnsi="Aptos"/>
          <w:color w:val="111827"/>
          <w:sz w:val="21"/>
          <w:szCs w:val="21"/>
        </w:rPr>
        <w:t xml:space="preserve">Probablemente precio/mezcla más el tratamiento intercompañía, hasta que el puente por SKU/cliente demuestre lo contrario. Por eso necesito el programa de precio-mezcla aprobado esta noche.</w:t>
      </w:r>
    </w:p>
    <w:p>
      <w:pPr>
        <w:spacing w:after="30" w:before="160"/>
      </w:pPr>
      <w:r>
        <w:rPr>
          <w:rFonts w:ascii="Aptos" w:cs="Aptos" w:eastAsia="Aptos" w:hAnsi="Aptos"/>
          <w:b/>
          <w:bCs/>
          <w:color w:val="B42318"/>
          <w:sz w:val="22"/>
          <w:szCs w:val="22"/>
        </w:rPr>
        <w:t xml:space="preserve">Q3.  </w:t>
      </w:r>
      <w:r>
        <w:rPr>
          <w:rFonts w:ascii="Aptos" w:cs="Aptos" w:eastAsia="Aptos" w:hAnsi="Aptos"/>
          <w:b/>
          <w:bCs/>
          <w:color w:val="0B1F3A"/>
          <w:sz w:val="22"/>
          <w:szCs w:val="22"/>
        </w:rPr>
        <w:t xml:space="preserve">How serious is the vendor-credit dependence?</w:t>
      </w:r>
    </w:p>
    <w:p>
      <w:pPr>
        <w:spacing w:after="60"/>
        <w:ind w:left="360"/>
      </w:pPr>
      <w:r>
        <w:rPr>
          <w:rFonts w:ascii="Aptos" w:cs="Aptos" w:eastAsia="Aptos" w:hAnsi="Aptos"/>
          <w:i/>
          <w:iCs/>
          <w:color w:val="475467"/>
          <w:sz w:val="19"/>
          <w:szCs w:val="19"/>
        </w:rPr>
        <w:t xml:space="preserve">¿Qué tan seria es la dependencia del crédito de proveedores?</w:t>
      </w:r>
    </w:p>
    <w:p>
      <w:pPr>
        <w:spacing w:after="40"/>
        <w:jc w:val="both"/>
      </w:pPr>
      <w:r>
        <w:rPr>
          <w:rFonts w:ascii="Aptos" w:cs="Aptos" w:eastAsia="Aptos" w:hAnsi="Aptos"/>
          <w:b/>
          <w:bCs/>
          <w:color w:val="B42318"/>
          <w:spacing w:val="20"/>
          <w:sz w:val="18"/>
          <w:szCs w:val="18"/>
        </w:rPr>
        <w:t xml:space="preserve">EN  </w:t>
      </w:r>
      <w:r>
        <w:rPr>
          <w:rFonts w:ascii="Aptos" w:cs="Aptos" w:eastAsia="Aptos" w:hAnsi="Aptos"/>
          <w:color w:val="111827"/>
          <w:sz w:val="21"/>
          <w:szCs w:val="21"/>
        </w:rPr>
        <w:t xml:space="preserve">Material but manageable. AP is 1.3× AR. We recommend the 30/60/90 plan with weekly reporting until net working capital is zero or better.</w:t>
      </w:r>
    </w:p>
    <w:p>
      <w:pPr>
        <w:spacing w:after="40"/>
        <w:jc w:val="both"/>
      </w:pPr>
      <w:r>
        <w:rPr>
          <w:rFonts w:ascii="Aptos" w:cs="Aptos" w:eastAsia="Aptos" w:hAnsi="Aptos"/>
          <w:b/>
          <w:bCs/>
          <w:color w:val="0B1F3A"/>
          <w:spacing w:val="20"/>
          <w:sz w:val="18"/>
          <w:szCs w:val="18"/>
        </w:rPr>
        <w:t xml:space="preserve">ES  </w:t>
      </w:r>
      <w:r>
        <w:rPr>
          <w:rFonts w:ascii="Aptos" w:cs="Aptos" w:eastAsia="Aptos" w:hAnsi="Aptos"/>
          <w:color w:val="111827"/>
          <w:sz w:val="21"/>
          <w:szCs w:val="21"/>
        </w:rPr>
        <w:t xml:space="preserve">Importante pero manejable. Las cuentas por pagar son 1.3× las por cobrar. Recomendamos el plan 30/60/90 con reporte semanal hasta que el capital de trabajo neto esté en cero o mejor.</w:t>
      </w:r>
    </w:p>
    <w:p>
      <w:pPr>
        <w:spacing w:after="30" w:before="160"/>
      </w:pPr>
      <w:r>
        <w:rPr>
          <w:rFonts w:ascii="Aptos" w:cs="Aptos" w:eastAsia="Aptos" w:hAnsi="Aptos"/>
          <w:b/>
          <w:bCs/>
          <w:color w:val="B42318"/>
          <w:sz w:val="22"/>
          <w:szCs w:val="22"/>
        </w:rPr>
        <w:t xml:space="preserve">Q4.  </w:t>
      </w:r>
      <w:r>
        <w:rPr>
          <w:rFonts w:ascii="Aptos" w:cs="Aptos" w:eastAsia="Aptos" w:hAnsi="Aptos"/>
          <w:b/>
          <w:bCs/>
          <w:color w:val="0B1F3A"/>
          <w:sz w:val="22"/>
          <w:szCs w:val="22"/>
        </w:rPr>
        <w:t xml:space="preserve">Is the concentration temporary or structural?</w:t>
      </w:r>
    </w:p>
    <w:p>
      <w:pPr>
        <w:spacing w:after="60"/>
        <w:ind w:left="360"/>
      </w:pPr>
      <w:r>
        <w:rPr>
          <w:rFonts w:ascii="Aptos" w:cs="Aptos" w:eastAsia="Aptos" w:hAnsi="Aptos"/>
          <w:i/>
          <w:iCs/>
          <w:color w:val="475467"/>
          <w:sz w:val="19"/>
          <w:szCs w:val="19"/>
        </w:rPr>
        <w:t xml:space="preserve">¿La concentración es temporal o estructural?</w:t>
      </w:r>
    </w:p>
    <w:p>
      <w:pPr>
        <w:spacing w:after="40"/>
        <w:jc w:val="both"/>
      </w:pPr>
      <w:r>
        <w:rPr>
          <w:rFonts w:ascii="Aptos" w:cs="Aptos" w:eastAsia="Aptos" w:hAnsi="Aptos"/>
          <w:b/>
          <w:bCs/>
          <w:color w:val="B42318"/>
          <w:spacing w:val="20"/>
          <w:sz w:val="18"/>
          <w:szCs w:val="18"/>
        </w:rPr>
        <w:t xml:space="preserve">EN  </w:t>
      </w:r>
      <w:r>
        <w:rPr>
          <w:rFonts w:ascii="Aptos" w:cs="Aptos" w:eastAsia="Aptos" w:hAnsi="Aptos"/>
          <w:color w:val="111827"/>
          <w:sz w:val="21"/>
          <w:szCs w:val="21"/>
        </w:rPr>
        <w:t xml:space="preserve">Treat it as structural until proven otherwise. Top-5 is ~79%; we set a 60% ceiling and track external-account growth.</w:t>
      </w:r>
    </w:p>
    <w:p>
      <w:pPr>
        <w:spacing w:after="40"/>
        <w:jc w:val="both"/>
      </w:pPr>
      <w:r>
        <w:rPr>
          <w:rFonts w:ascii="Aptos" w:cs="Aptos" w:eastAsia="Aptos" w:hAnsi="Aptos"/>
          <w:b/>
          <w:bCs/>
          <w:color w:val="0B1F3A"/>
          <w:spacing w:val="20"/>
          <w:sz w:val="18"/>
          <w:szCs w:val="18"/>
        </w:rPr>
        <w:t xml:space="preserve">ES  </w:t>
      </w:r>
      <w:r>
        <w:rPr>
          <w:rFonts w:ascii="Aptos" w:cs="Aptos" w:eastAsia="Aptos" w:hAnsi="Aptos"/>
          <w:color w:val="111827"/>
          <w:sz w:val="21"/>
          <w:szCs w:val="21"/>
        </w:rPr>
        <w:t xml:space="preserve">Tratémosla como estructural hasta probar lo contrario. El top-5 es ~79%; fijamos un techo de 60% y damos seguimiento al crecimiento de cuentas externas.</w:t>
      </w:r>
    </w:p>
    <w:p>
      <w:pPr>
        <w:spacing w:after="30" w:before="160"/>
      </w:pPr>
      <w:r>
        <w:rPr>
          <w:rFonts w:ascii="Aptos" w:cs="Aptos" w:eastAsia="Aptos" w:hAnsi="Aptos"/>
          <w:b/>
          <w:bCs/>
          <w:color w:val="B42318"/>
          <w:sz w:val="22"/>
          <w:szCs w:val="22"/>
        </w:rPr>
        <w:t xml:space="preserve">Q5.  </w:t>
      </w:r>
      <w:r>
        <w:rPr>
          <w:rFonts w:ascii="Aptos" w:cs="Aptos" w:eastAsia="Aptos" w:hAnsi="Aptos"/>
          <w:b/>
          <w:bCs/>
          <w:color w:val="0B1F3A"/>
          <w:sz w:val="22"/>
          <w:szCs w:val="22"/>
        </w:rPr>
        <w:t xml:space="preserve">Can we trust the customer revenue data?</w:t>
      </w:r>
    </w:p>
    <w:p>
      <w:pPr>
        <w:spacing w:after="60"/>
        <w:ind w:left="360"/>
      </w:pPr>
      <w:r>
        <w:rPr>
          <w:rFonts w:ascii="Aptos" w:cs="Aptos" w:eastAsia="Aptos" w:hAnsi="Aptos"/>
          <w:i/>
          <w:iCs/>
          <w:color w:val="475467"/>
          <w:sz w:val="19"/>
          <w:szCs w:val="19"/>
        </w:rPr>
        <w:t xml:space="preserve">¿Podemos confiar en los datos de ingresos por cliente?</w:t>
      </w:r>
    </w:p>
    <w:p>
      <w:pPr>
        <w:spacing w:after="40"/>
        <w:jc w:val="both"/>
      </w:pPr>
      <w:r>
        <w:rPr>
          <w:rFonts w:ascii="Aptos" w:cs="Aptos" w:eastAsia="Aptos" w:hAnsi="Aptos"/>
          <w:b/>
          <w:bCs/>
          <w:color w:val="B42318"/>
          <w:spacing w:val="20"/>
          <w:sz w:val="18"/>
          <w:szCs w:val="18"/>
        </w:rPr>
        <w:t xml:space="preserve">EN  </w:t>
      </w:r>
      <w:r>
        <w:rPr>
          <w:rFonts w:ascii="Aptos" w:cs="Aptos" w:eastAsia="Aptos" w:hAnsi="Aptos"/>
          <w:color w:val="111827"/>
          <w:sz w:val="21"/>
          <w:szCs w:val="21"/>
        </w:rPr>
        <w:t xml:space="preserve">Not yet for per-customer dollars. The QuickBooks P&amp;L is authoritative; the customer-file revenue needs GL reconciliation before we use it.</w:t>
      </w:r>
    </w:p>
    <w:p>
      <w:pPr>
        <w:spacing w:after="40"/>
        <w:jc w:val="both"/>
      </w:pPr>
      <w:r>
        <w:rPr>
          <w:rFonts w:ascii="Aptos" w:cs="Aptos" w:eastAsia="Aptos" w:hAnsi="Aptos"/>
          <w:b/>
          <w:bCs/>
          <w:color w:val="0B1F3A"/>
          <w:spacing w:val="20"/>
          <w:sz w:val="18"/>
          <w:szCs w:val="18"/>
        </w:rPr>
        <w:t xml:space="preserve">ES  </w:t>
      </w:r>
      <w:r>
        <w:rPr>
          <w:rFonts w:ascii="Aptos" w:cs="Aptos" w:eastAsia="Aptos" w:hAnsi="Aptos"/>
          <w:color w:val="111827"/>
          <w:sz w:val="21"/>
          <w:szCs w:val="21"/>
        </w:rPr>
        <w:t xml:space="preserve">Todavía no para dólares por cliente. El estado de resultados de QuickBooks es autoritativo; el ingreso del archivo de clientes necesita conciliación con el mayor antes de usarlo.</w:t>
      </w:r>
    </w:p>
    <w:p>
      <w:r>
        <w:br w:type="page"/>
      </w:r>
    </w:p>
    <w:p>
      <w:pPr>
        <w:spacing w:after="60"/>
      </w:pPr>
      <w:r>
        <w:rPr>
          <w:rFonts w:ascii="Aptos" w:cs="Aptos" w:eastAsia="Aptos" w:hAnsi="Aptos"/>
          <w:b/>
          <w:bCs/>
          <w:color w:val="0B1F3A"/>
          <w:sz w:val="30"/>
          <w:szCs w:val="30"/>
        </w:rPr>
        <w:t xml:space="preserve">One-page board memo / Memo de una página</w:t>
      </w:r>
    </w:p>
    <w:p>
      <w:pPr>
        <w:spacing w:after="120"/>
      </w:pPr>
      <w:r>
        <w:rPr>
          <w:rFonts w:ascii="Aptos" w:cs="Aptos" w:eastAsia="Aptos" w:hAnsi="Aptos"/>
          <w:i/>
          <w:iCs/>
          <w:color w:val="475467"/>
          <w:sz w:val="19"/>
          <w:szCs w:val="19"/>
        </w:rPr>
        <w:t xml:space="preserve">Use as the cover note or speaking brief. / Úselo como nota de portada o resumen para hablar.</w:t>
      </w:r>
    </w:p>
    <w:p>
      <w:pPr>
        <w:spacing w:after="40" w:before="200"/>
      </w:pPr>
      <w:r>
        <w:rPr>
          <w:rFonts w:ascii="Aptos" w:cs="Aptos" w:eastAsia="Aptos" w:hAnsi="Aptos"/>
          <w:b/>
          <w:bCs/>
          <w:color w:val="B42318"/>
          <w:spacing w:val="30"/>
          <w:sz w:val="16"/>
          <w:szCs w:val="16"/>
        </w:rPr>
        <w:t xml:space="preserve">SITUATION / SITUACIÓN</w:t>
      </w:r>
    </w:p>
    <w:p>
      <w:pPr>
        <w:spacing w:after="100"/>
        <w:jc w:val="both"/>
      </w:pPr>
      <w:r>
        <w:rPr>
          <w:rFonts w:ascii="Aptos" w:cs="Aptos" w:eastAsia="Aptos" w:hAnsi="Aptos"/>
          <w:color w:val="111827"/>
          <w:sz w:val="21"/>
          <w:szCs w:val="21"/>
        </w:rPr>
        <w:t xml:space="preserve">April was an operationally clean month on a financially thin base. U1Dynamics can make and ship; the enterprise-value question is whether volume converts into durable margin, cash, and a resilient customer base.</w:t>
      </w:r>
    </w:p>
    <w:p>
      <w:pPr>
        <w:spacing w:after="100"/>
        <w:jc w:val="both"/>
      </w:pPr>
      <w:r>
        <w:rPr>
          <w:rFonts w:ascii="Aptos" w:cs="Aptos" w:eastAsia="Aptos" w:hAnsi="Aptos"/>
          <w:color w:val="475467"/>
          <w:sz w:val="21"/>
          <w:szCs w:val="21"/>
        </w:rPr>
        <w:t xml:space="preserve">Abril fue un mes limpio en operación sobre una base financieramente delgada. U1Dynamics puede fabricar y despachar; la pregunta de valor es si el volumen se convierte en margen durable, caja y una base de clientes resiliente.</w:t>
      </w:r>
    </w:p>
    <w:p>
      <w:pPr>
        <w:spacing w:after="40" w:before="200"/>
      </w:pPr>
      <w:r>
        <w:rPr>
          <w:rFonts w:ascii="Aptos" w:cs="Aptos" w:eastAsia="Aptos" w:hAnsi="Aptos"/>
          <w:b/>
          <w:bCs/>
          <w:color w:val="B42318"/>
          <w:spacing w:val="30"/>
          <w:sz w:val="16"/>
          <w:szCs w:val="16"/>
        </w:rPr>
        <w:t xml:space="preserve">SIGNAL / SEÑAL</w:t>
      </w:r>
    </w:p>
    <w:p>
      <w:pPr>
        <w:spacing w:after="100"/>
        <w:jc w:val="both"/>
      </w:pPr>
      <w:r>
        <w:rPr>
          <w:rFonts w:ascii="Aptos" w:cs="Aptos" w:eastAsia="Aptos" w:hAnsi="Aptos"/>
          <w:color w:val="111827"/>
          <w:sz w:val="21"/>
          <w:szCs w:val="21"/>
        </w:rPr>
        <w:t xml:space="preserve">TTM revenue is $9.47M at 18.2% gross margin, with TTM net income roughly break-even. Net working capital is −$202K, with AP at 1.3× AR. Top-five customer share is ~79%.</w:t>
      </w:r>
    </w:p>
    <w:p>
      <w:pPr>
        <w:spacing w:after="100"/>
        <w:jc w:val="both"/>
      </w:pPr>
      <w:r>
        <w:rPr>
          <w:rFonts w:ascii="Aptos" w:cs="Aptos" w:eastAsia="Aptos" w:hAnsi="Aptos"/>
          <w:color w:val="475467"/>
          <w:sz w:val="21"/>
          <w:szCs w:val="21"/>
        </w:rPr>
        <w:t xml:space="preserve">Los ingresos de los últimos doce meses son 9.47M con margen bruto de 18.2%, y utilidad neta cercana al punto de equilibrio. El capital de trabajo neto es −202K, con cuentas por pagar 1.3× las por cobrar. El top-5 de clientes es ~79%.</w:t>
      </w:r>
    </w:p>
    <w:p>
      <w:pPr>
        <w:spacing w:after="40" w:before="200"/>
      </w:pPr>
      <w:r>
        <w:rPr>
          <w:rFonts w:ascii="Aptos" w:cs="Aptos" w:eastAsia="Aptos" w:hAnsi="Aptos"/>
          <w:b/>
          <w:bCs/>
          <w:color w:val="B42318"/>
          <w:spacing w:val="30"/>
          <w:sz w:val="16"/>
          <w:szCs w:val="16"/>
        </w:rPr>
        <w:t xml:space="preserve">RISK / RIESGO</w:t>
      </w:r>
    </w:p>
    <w:p>
      <w:pPr>
        <w:spacing w:after="100"/>
        <w:jc w:val="both"/>
      </w:pPr>
      <w:r>
        <w:rPr>
          <w:rFonts w:ascii="Aptos" w:cs="Aptos" w:eastAsia="Aptos" w:hAnsi="Aptos"/>
          <w:color w:val="111827"/>
          <w:sz w:val="21"/>
          <w:szCs w:val="21"/>
        </w:rPr>
        <w:t xml:space="preserve">Margin remains below the value-creation line, vendor credit is carrying part of the operating cycle, and the customer base has become materially concentrated. A 42% intercompany-weighted account requires clear classification.</w:t>
      </w:r>
    </w:p>
    <w:p>
      <w:pPr>
        <w:spacing w:after="100"/>
        <w:jc w:val="both"/>
      </w:pPr>
      <w:r>
        <w:rPr>
          <w:rFonts w:ascii="Aptos" w:cs="Aptos" w:eastAsia="Aptos" w:hAnsi="Aptos"/>
          <w:color w:val="475467"/>
          <w:sz w:val="21"/>
          <w:szCs w:val="21"/>
        </w:rPr>
        <w:t xml:space="preserve">El margen sigue por debajo de la línea de creación de valor, el crédito de proveedores carga parte del ciclo operativo, y la base de clientes se ha concentrado de forma material. Una cuenta de peso intercompañía del 42% requiere clasificación clara.</w:t>
      </w:r>
    </w:p>
    <w:p>
      <w:pPr>
        <w:spacing w:after="40" w:before="200"/>
      </w:pPr>
      <w:r>
        <w:rPr>
          <w:rFonts w:ascii="Aptos" w:cs="Aptos" w:eastAsia="Aptos" w:hAnsi="Aptos"/>
          <w:b/>
          <w:bCs/>
          <w:color w:val="B42318"/>
          <w:spacing w:val="30"/>
          <w:sz w:val="16"/>
          <w:szCs w:val="16"/>
        </w:rPr>
        <w:t xml:space="preserve">RECOMMENDATION / RECOMENDACIÓN</w:t>
      </w:r>
    </w:p>
    <w:p>
      <w:pPr>
        <w:spacing w:after="100"/>
        <w:jc w:val="both"/>
      </w:pPr>
      <w:r>
        <w:rPr>
          <w:rFonts w:ascii="Aptos" w:cs="Aptos" w:eastAsia="Aptos" w:hAnsi="Aptos"/>
          <w:color w:val="111827"/>
          <w:sz w:val="21"/>
          <w:szCs w:val="21"/>
        </w:rPr>
        <w:t xml:space="preserve">Approve a three-part operating-discipline package: margin recovery led by Commercial/Finance; a 30/60/90 working-capital plan led by Finance; and a top-five concentration ceiling with intercompany classification resolved before the next close.</w:t>
      </w:r>
    </w:p>
    <w:p>
      <w:pPr>
        <w:spacing w:after="100"/>
        <w:jc w:val="both"/>
      </w:pPr>
      <w:r>
        <w:rPr>
          <w:rFonts w:ascii="Aptos" w:cs="Aptos" w:eastAsia="Aptos" w:hAnsi="Aptos"/>
          <w:color w:val="475467"/>
          <w:sz w:val="21"/>
          <w:szCs w:val="21"/>
        </w:rPr>
        <w:t xml:space="preserve">Aprobar un paquete de disciplina operativa en tres partes: recuperación de margen liderada por Comercial/Finanzas; un plan 30/60/90 de capital de trabajo liderado por Finanzas; y un techo de concentración del top-5 con la clasificación intercompañía resuelta antes del próximo cierre.</w:t>
      </w:r>
    </w:p>
    <w:p>
      <w:pPr>
        <w:pBdr>
          <w:left w:val="single" w:color="0B1F3A" w:sz="18" w:space="8"/>
        </w:pBdr>
        <w:spacing w:before="80"/>
        <w:ind w:left="120"/>
      </w:pPr>
      <w:r>
        <w:rPr>
          <w:rFonts w:ascii="Aptos" w:cs="Aptos" w:eastAsia="Aptos" w:hAnsi="Aptos"/>
          <w:b/>
          <w:bCs/>
          <w:color w:val="0B1F3A"/>
          <w:spacing w:val="20"/>
          <w:sz w:val="18"/>
          <w:szCs w:val="18"/>
        </w:rPr>
        <w:t xml:space="preserve">REQUESTED ACTION / ACCIÓN SOLICITADA   </w:t>
      </w:r>
      <w:r>
        <w:rPr>
          <w:rFonts w:ascii="Aptos" w:cs="Aptos" w:eastAsia="Aptos" w:hAnsi="Aptos"/>
          <w:color w:val="111827"/>
          <w:sz w:val="20"/>
          <w:szCs w:val="20"/>
        </w:rPr>
        <w:t xml:space="preserve">Approve all three moves tonight and require monthly reporting against margin, NWC, and concentration KPIs.  /  Aprobar los tres movimientos esta noche y exigir reporte mensual contra los KPI de margen, capital de trabajo y concentración.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ptos" w:cs="Aptos" w:eastAsia="Aptos" w:hAnsi="Aptos"/>
        <w:color w:val="98A2B3"/>
        <w:sz w:val="16"/>
        <w:szCs w:val="16"/>
      </w:rPr>
      <w:t xml:space="preserve">U1Dynamics Manufacturing LLC · Board Presenter's Guide · April 2026 · Confidential</w:t>
    </w:r>
    <w:r>
      <w:rPr>
        <w:rFonts w:ascii="Aptos" w:cs="Aptos" w:eastAsia="Aptos" w:hAnsi="Aptos"/>
      </w:rPr>
      <w:t xml:space="preserve">	</w:t>
    </w:r>
    <w:r>
      <w:rPr>
        <w:rFonts w:ascii="Aptos" w:cs="Aptos" w:eastAsia="Aptos" w:hAnsi="Aptos"/>
        <w:color w:val="98A2B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2026-06-02T22:27:08.631Z</dcterms:created>
  <dcterms:modified xsi:type="dcterms:W3CDTF">2026-06-02T22:27:08.631Z</dcterms:modified>
</cp:coreProperties>
</file>

<file path=docProps/custom.xml><?xml version="1.0" encoding="utf-8"?>
<Properties xmlns="http://schemas.openxmlformats.org/officeDocument/2006/custom-properties" xmlns:vt="http://schemas.openxmlformats.org/officeDocument/2006/docPropsVTypes"/>
</file>