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595959"/>
          <w:sz w:val="24"/>
          <w:szCs w:val="24"/>
        </w:rPr>
        <w:t xml:space="preserve">EDGY GESTIÓN</w:t>
      </w:r>
    </w:p>
    <w:p>
      <w:pPr>
        <w:spacing w:after="100" w:before="100"/>
      </w:pPr>
      <w:r>
        <w:rPr>
          <w:b/>
          <w:bCs/>
          <w:color w:val="1F3864"/>
          <w:sz w:val="44"/>
          <w:szCs w:val="44"/>
        </w:rPr>
        <w:t xml:space="preserve">Fase 27 — Arquitectura Multi-Sucursal</w:t>
      </w:r>
    </w:p>
    <w:p>
      <w:pPr>
        <w:spacing w:after="400"/>
      </w:pPr>
      <w:r>
        <w:rPr>
          <w:i/>
          <w:iCs/>
          <w:color w:val="595959"/>
          <w:sz w:val="26"/>
          <w:szCs w:val="26"/>
        </w:rPr>
        <w:t xml:space="preserve">Documentación técnica del refactor (sub-fases 27a a 27f)</w:t>
      </w:r>
    </w:p>
    <w:p>
      <w:pPr>
        <w:spacing w:after="160" w:line="276"/>
      </w:pPr>
      <w:r>
        <w:rPr>
          <w:sz w:val="22"/>
          <w:szCs w:val="22"/>
        </w:rPr>
        <w:t xml:space="preserve">Preparado para: Carlos Copelotti</w:t>
      </w:r>
    </w:p>
    <w:p>
      <w:pPr>
        <w:spacing w:after="160" w:line="276"/>
      </w:pPr>
      <w:r>
        <w:rPr>
          <w:sz w:val="22"/>
          <w:szCs w:val="22"/>
        </w:rPr>
        <w:t xml:space="preserve">Fecha: agosto de 2026</w:t>
      </w:r>
    </w:p>
    <w:p>
      <w:pPr>
        <w:spacing w:after="160" w:line="276"/>
      </w:pPr>
      <w:r>
        <w:rPr>
          <w:sz w:val="22"/>
          <w:szCs w:val="22"/>
        </w:rPr>
        <w:t xml:space="preserve">Alcance: todo cambio de esquema, backend (Supabase/Postgres) y frontend necesario para que un mismo cliente pueda operar dos o más locales (sucursales / puntos de venta) sin que sean tenants separados.</w:t>
      </w:r>
    </w:p>
    <w:p>
      <w:pPr>
        <w:pBdr>
          <w:bottom w:val="single" w:color="CCCCCC" w:sz="6"/>
        </w:pBdr>
        <w:spacing w:after="200"/>
      </w:pPr>
    </w:p>
    <w:p>
      <w:pPr>
        <w:pStyle w:val="Heading1"/>
        <w:spacing w:after="200" w:before="400"/>
      </w:pPr>
      <w:r>
        <w:t xml:space="preserve">1. Resumen ejecutivo</w:t>
      </w:r>
    </w:p>
    <w:p>
      <w:pPr>
        <w:spacing w:after="160" w:line="276"/>
      </w:pPr>
      <w:r>
        <w:rPr>
          <w:sz w:val="22"/>
          <w:szCs w:val="22"/>
        </w:rPr>
        <w:t xml:space="preserve">Edgy Gestión modelaba, hasta esta fase, cada cliente como un negocio con un único local. Esa suposición estaba tejida en casi todo el sistema: el stock era un número por producto, la facturación electrónica tenía un solo punto de venta ARCA, el catálogo público tenía un solo link, y la caja de turno asumía que solo podía haber una abierta a la vez. El primer cliente real que necesita más de un local — Marina Copelotti, con Punto Tex (sedería, cortinas, blanco) y Rúa (deco textil), mismo CUIT — obligó a resolver esto de fondo antes de poder onboardearla.</w:t>
      </w:r>
    </w:p>
    <w:p>
      <w:pPr>
        <w:spacing w:after="160" w:line="276"/>
      </w:pPr>
      <w:r>
        <w:rPr>
          <w:sz w:val="22"/>
          <w:szCs w:val="22"/>
        </w:rPr>
        <w:t xml:space="preserve">La decisión de diseño central fue no tratar "sucursal" como un concepto nuevo, sino recuperar y terminar de construir edgy_gestion.puntos_venta: una tabla que ya estaba prevista en el código de Configuración (con pantalla propia) pero que nunca había llegado a tener una migración real — la pantalla estaba rota en producción sin que nadie lo hubiera notado, porque ningún cliente real la necesitaba todavía. Esa tabla unifica "sucursal" y "punto de venta de AFIP/ARCA" en una sola entidad, igual que lo hace Contabilium: un mismo punto_venta_id es a la vez el local físico y el punto fiscal que emite ahí.</w:t>
      </w:r>
    </w:p>
    <w:p>
      <w:pPr>
        <w:spacing w:after="160" w:line="276"/>
      </w:pPr>
      <w:r>
        <w:rPr>
          <w:sz w:val="22"/>
          <w:szCs w:val="22"/>
        </w:rPr>
        <w:t xml:space="preserve">Las seis sub-fases (27a a 27f, más dos intermedias 27d-2 y 27e-2) se hicieron en orden creciente de riesgo: primero la base y los datos de solo lectura (identidad del local, ARCA, catálogo), después lo que mueve dinero y mercadería (stock, transferencias, caja), y al final una pasada de auditoría de permisos que cierra los huecos que las fases anteriores habían dejado abiertos a propósito para no bloquear el avance.</w:t>
      </w:r>
    </w:p>
    <w:p>
      <w:pPr>
        <w:spacing w:after="160" w:line="276"/>
      </w:pPr>
      <w:r>
        <w:rPr>
          <w:sz w:val="22"/>
          <w:szCs w:val="22"/>
        </w:rPr>
        <w:t xml:space="preserve">Un criterio se repite en las ocho sub-fases y es la clave de por qué el refactor no rompió nada: todo lo nuevo está gateado por "¿este cliente tiene 2 o más puntos de venta activos?". Si la respuesta es no — que es el caso del 100% de los clientes reales hoy, incluyendo todos los que ya están en producción — el comportamiento es exactamente el mismo que antes de la Fase 27, byte a byte. El costo de la complejidad nueva lo paga únicamente el cliente que de verdad tiene más de un local.</w:t>
      </w:r>
    </w:p>
    <w:p>
      <w:pPr>
        <w:pStyle w:val="Heading1"/>
        <w:spacing w:after="200" w:before="400"/>
      </w:pPr>
      <w:r>
        <w:t xml:space="preserve">2. Contexto y motivación</w:t>
      </w:r>
    </w:p>
    <w:p>
      <w:pPr>
        <w:spacing w:after="160" w:line="276"/>
      </w:pPr>
      <w:r>
        <w:rPr>
          <w:sz w:val="22"/>
          <w:szCs w:val="22"/>
        </w:rPr>
        <w:t xml:space="preserve">Marina opera dos locales bajo el mismo CUIT: Punto Tex (sedería, cortinas y blanco) y Rúa (decoración textil). Para AFIP son un mismo contribuyente con dos puntos de venta distintos; para el día a día del negocio son dos locales con mercadería, caja y a veces catálogo distintos. Modelarlos como dos clientes separados en Edgy Gestión habría significado duplicar configuración, catálogo y usuarios, y perder cualquier reporte consolidado del negocio completo — la alternativa elegida, y la que se construyó en esta fase, es un solo cliente (un solo tenant) con dos puntos_venta internos.</w:t>
      </w:r>
    </w:p>
    <w:p>
      <w:pPr>
        <w:spacing w:after="160" w:line="276"/>
      </w:pPr>
      <w:r>
        <w:rPr>
          <w:sz w:val="22"/>
          <w:szCs w:val="22"/>
        </w:rPr>
        <w:t xml:space="preserve">El plan se armó en ocho sub-fases para poder entregar valor incrementalmente y verificar cada pieza (tsc, migración, push) antes de avanzar a la siguiente, en vez de un cambio monolítico de alto riesgo sobre una base de código en producción.</w:t>
      </w:r>
    </w:p>
    <w:p>
      <w:pPr>
        <w:pStyle w:val="Heading1"/>
        <w:spacing w:after="200" w:before="400"/>
      </w:pPr>
      <w:r>
        <w:t xml:space="preserve">3. Mapa de sub-fases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480"/>
        <w:gridCol w:w="1700"/>
      </w:tblGrid>
      <w:tr>
        <w:trPr>
          <w:tblHeader/>
        </w:trPr>
        <w:tc>
          <w:tcPr>
            <w:tcW w:type="dxa" w:w="1000"/>
            <w:shd w:fill="1F3864" w:val="clear"/>
            <w:tcMar>
              <w:top w:type="dxa" w:w="80"/>
              <w:left w:type="dxa" w:w="100"/>
              <w:bottom w:type="dxa" w:w="80"/>
              <w:right w:type="dxa" w:w="100"/>
            </w:tcMar>
            <w:vAlign w:val="center"/>
          </w:tcPr>
          <w:p>
            <w:r>
              <w:rPr>
                <w:b/>
                <w:bCs/>
                <w:color w:val="FFFFFF"/>
                <w:sz w:val="19"/>
                <w:szCs w:val="19"/>
              </w:rPr>
              <w:t xml:space="preserve">Sub-fase</w:t>
            </w:r>
          </w:p>
        </w:tc>
        <w:tc>
          <w:tcPr>
            <w:tcW w:type="dxa" w:w="1900"/>
            <w:shd w:fill="1F3864" w:val="clear"/>
            <w:tcMar>
              <w:top w:type="dxa" w:w="80"/>
              <w:left w:type="dxa" w:w="100"/>
              <w:bottom w:type="dxa" w:w="80"/>
              <w:right w:type="dxa" w:w="100"/>
            </w:tcMar>
            <w:vAlign w:val="center"/>
          </w:tcPr>
          <w:p>
            <w:r>
              <w:rPr>
                <w:b/>
                <w:bCs/>
                <w:color w:val="FFFFFF"/>
                <w:sz w:val="19"/>
                <w:szCs w:val="19"/>
              </w:rPr>
              <w:t xml:space="preserve">Nombre</w:t>
            </w:r>
          </w:p>
        </w:tc>
        <w:tc>
          <w:tcPr>
            <w:tcW w:type="dxa" w:w="5480"/>
            <w:shd w:fill="1F3864" w:val="clear"/>
            <w:tcMar>
              <w:top w:type="dxa" w:w="80"/>
              <w:left w:type="dxa" w:w="100"/>
              <w:bottom w:type="dxa" w:w="80"/>
              <w:right w:type="dxa" w:w="100"/>
            </w:tcMar>
            <w:vAlign w:val="center"/>
          </w:tcPr>
          <w:p>
            <w:r>
              <w:rPr>
                <w:b/>
                <w:bCs/>
                <w:color w:val="FFFFFF"/>
                <w:sz w:val="19"/>
                <w:szCs w:val="19"/>
              </w:rPr>
              <w:t xml:space="preserve">Qué resuelve</w:t>
            </w:r>
          </w:p>
        </w:tc>
        <w:tc>
          <w:tcPr>
            <w:tcW w:type="dxa" w:w="1700"/>
            <w:shd w:fill="1F3864" w:val="clear"/>
            <w:tcMar>
              <w:top w:type="dxa" w:w="80"/>
              <w:left w:type="dxa" w:w="100"/>
              <w:bottom w:type="dxa" w:w="80"/>
              <w:right w:type="dxa" w:w="100"/>
            </w:tcMar>
            <w:vAlign w:val="center"/>
          </w:tcPr>
          <w:p>
            <w:r>
              <w:rPr>
                <w:b/>
                <w:bCs/>
                <w:color w:val="FFFFFF"/>
                <w:sz w:val="19"/>
                <w:szCs w:val="19"/>
              </w:rPr>
              <w:t xml:space="preserve">Migración SQL</w:t>
            </w:r>
          </w:p>
        </w:tc>
      </w:tr>
      <w:tr>
        <w:tc>
          <w:tcPr>
            <w:tcW w:type="dxa" w:w="1000"/>
            <w:tcMar>
              <w:top w:type="dxa" w:w="80"/>
              <w:left w:type="dxa" w:w="100"/>
              <w:bottom w:type="dxa" w:w="80"/>
              <w:right w:type="dxa" w:w="100"/>
            </w:tcMar>
            <w:vAlign w:val="center"/>
          </w:tcPr>
          <w:p>
            <w:r>
              <w:rPr>
                <w:b w:val="false"/>
                <w:bCs w:val="false"/>
                <w:sz w:val="19"/>
                <w:szCs w:val="19"/>
              </w:rPr>
              <w:t xml:space="preserve">27a</w:t>
            </w:r>
          </w:p>
        </w:tc>
        <w:tc>
          <w:tcPr>
            <w:tcW w:type="dxa" w:w="1900"/>
            <w:tcMar>
              <w:top w:type="dxa" w:w="80"/>
              <w:left w:type="dxa" w:w="100"/>
              <w:bottom w:type="dxa" w:w="80"/>
              <w:right w:type="dxa" w:w="100"/>
            </w:tcMar>
            <w:vAlign w:val="center"/>
          </w:tcPr>
          <w:p>
            <w:r>
              <w:rPr>
                <w:b w:val="false"/>
                <w:bCs w:val="false"/>
                <w:sz w:val="19"/>
                <w:szCs w:val="19"/>
              </w:rPr>
              <w:t xml:space="preserve">Base multi-sucursal</w:t>
            </w:r>
          </w:p>
        </w:tc>
        <w:tc>
          <w:tcPr>
            <w:tcW w:type="dxa" w:w="5480"/>
            <w:tcMar>
              <w:top w:type="dxa" w:w="80"/>
              <w:left w:type="dxa" w:w="100"/>
              <w:bottom w:type="dxa" w:w="80"/>
              <w:right w:type="dxa" w:w="100"/>
            </w:tcMar>
            <w:vAlign w:val="center"/>
          </w:tcPr>
          <w:p>
            <w:r>
              <w:rPr>
                <w:b w:val="false"/>
                <w:bCs w:val="false"/>
                <w:sz w:val="19"/>
                <w:szCs w:val="19"/>
              </w:rPr>
              <w:t xml:space="preserve">Tabla puntos_venta (nunca versionada hasta acá pese a que la pantalla de Configuración ya la esperaba). Restricción de usuario por local (usuarios_cliente.punto_venta_id) y la función punto_venta_del_usuario_actual().</w:t>
            </w:r>
          </w:p>
        </w:tc>
        <w:tc>
          <w:tcPr>
            <w:tcW w:type="dxa" w:w="1700"/>
            <w:tcMar>
              <w:top w:type="dxa" w:w="80"/>
              <w:left w:type="dxa" w:w="100"/>
              <w:bottom w:type="dxa" w:w="80"/>
              <w:right w:type="dxa" w:w="100"/>
            </w:tcMar>
            <w:vAlign w:val="center"/>
          </w:tcPr>
          <w:p>
            <w:r>
              <w:rPr>
                <w:b w:val="false"/>
                <w:bCs w:val="false"/>
                <w:sz w:val="19"/>
                <w:szCs w:val="19"/>
              </w:rPr>
              <w:t xml:space="preserve">0069</w:t>
            </w:r>
          </w:p>
        </w:tc>
      </w:tr>
      <w:tr>
        <w:tc>
          <w:tcPr>
            <w:tcW w:type="dxa" w:w="1000"/>
            <w:tcMar>
              <w:top w:type="dxa" w:w="80"/>
              <w:left w:type="dxa" w:w="100"/>
              <w:bottom w:type="dxa" w:w="80"/>
              <w:right w:type="dxa" w:w="100"/>
            </w:tcMar>
            <w:vAlign w:val="center"/>
          </w:tcPr>
          <w:p>
            <w:r>
              <w:rPr>
                <w:b w:val="false"/>
                <w:bCs w:val="false"/>
                <w:sz w:val="19"/>
                <w:szCs w:val="19"/>
              </w:rPr>
              <w:t xml:space="preserve">27b</w:t>
            </w:r>
          </w:p>
        </w:tc>
        <w:tc>
          <w:tcPr>
            <w:tcW w:type="dxa" w:w="1900"/>
            <w:tcMar>
              <w:top w:type="dxa" w:w="80"/>
              <w:left w:type="dxa" w:w="100"/>
              <w:bottom w:type="dxa" w:w="80"/>
              <w:right w:type="dxa" w:w="100"/>
            </w:tcMar>
            <w:vAlign w:val="center"/>
          </w:tcPr>
          <w:p>
            <w:r>
              <w:rPr>
                <w:b w:val="false"/>
                <w:bCs w:val="false"/>
                <w:sz w:val="19"/>
                <w:szCs w:val="19"/>
              </w:rPr>
              <w:t xml:space="preserve">ARCA multi-punto de venta</w:t>
            </w:r>
          </w:p>
        </w:tc>
        <w:tc>
          <w:tcPr>
            <w:tcW w:type="dxa" w:w="5480"/>
            <w:tcMar>
              <w:top w:type="dxa" w:w="80"/>
              <w:left w:type="dxa" w:w="100"/>
              <w:bottom w:type="dxa" w:w="80"/>
              <w:right w:type="dxa" w:w="100"/>
            </w:tcMar>
            <w:vAlign w:val="center"/>
          </w:tcPr>
          <w:p>
            <w:r>
              <w:rPr>
                <w:b w:val="false"/>
                <w:bCs w:val="false"/>
                <w:sz w:val="19"/>
                <w:szCs w:val="19"/>
              </w:rPr>
              <w:t xml:space="preserve">comprobantes_venta.punto_venta_id: qué local emite cada comprobante. Backfill automático de puntos_venta desde clientes_arca_config para no romper a nadie que ya facturaba.</w:t>
            </w:r>
          </w:p>
        </w:tc>
        <w:tc>
          <w:tcPr>
            <w:tcW w:type="dxa" w:w="1700"/>
            <w:tcMar>
              <w:top w:type="dxa" w:w="80"/>
              <w:left w:type="dxa" w:w="100"/>
              <w:bottom w:type="dxa" w:w="80"/>
              <w:right w:type="dxa" w:w="100"/>
            </w:tcMar>
            <w:vAlign w:val="center"/>
          </w:tcPr>
          <w:p>
            <w:r>
              <w:rPr>
                <w:b w:val="false"/>
                <w:bCs w:val="false"/>
                <w:sz w:val="19"/>
                <w:szCs w:val="19"/>
              </w:rPr>
              <w:t xml:space="preserve">0070</w:t>
            </w:r>
          </w:p>
        </w:tc>
      </w:tr>
      <w:tr>
        <w:tc>
          <w:tcPr>
            <w:tcW w:type="dxa" w:w="1000"/>
            <w:tcMar>
              <w:top w:type="dxa" w:w="80"/>
              <w:left w:type="dxa" w:w="100"/>
              <w:bottom w:type="dxa" w:w="80"/>
              <w:right w:type="dxa" w:w="100"/>
            </w:tcMar>
            <w:vAlign w:val="center"/>
          </w:tcPr>
          <w:p>
            <w:r>
              <w:rPr>
                <w:b w:val="false"/>
                <w:bCs w:val="false"/>
                <w:sz w:val="19"/>
                <w:szCs w:val="19"/>
              </w:rPr>
              <w:t xml:space="preserve">27c</w:t>
            </w:r>
          </w:p>
        </w:tc>
        <w:tc>
          <w:tcPr>
            <w:tcW w:type="dxa" w:w="1900"/>
            <w:tcMar>
              <w:top w:type="dxa" w:w="80"/>
              <w:left w:type="dxa" w:w="100"/>
              <w:bottom w:type="dxa" w:w="80"/>
              <w:right w:type="dxa" w:w="100"/>
            </w:tcMar>
            <w:vAlign w:val="center"/>
          </w:tcPr>
          <w:p>
            <w:r>
              <w:rPr>
                <w:b w:val="false"/>
                <w:bCs w:val="false"/>
                <w:sz w:val="19"/>
                <w:szCs w:val="19"/>
              </w:rPr>
              <w:t xml:space="preserve">Selector de sucursal en Ventas</w:t>
            </w:r>
          </w:p>
        </w:tc>
        <w:tc>
          <w:tcPr>
            <w:tcW w:type="dxa" w:w="5480"/>
            <w:tcMar>
              <w:top w:type="dxa" w:w="80"/>
              <w:left w:type="dxa" w:w="100"/>
              <w:bottom w:type="dxa" w:w="80"/>
              <w:right w:type="dxa" w:w="100"/>
            </w:tcMar>
            <w:vAlign w:val="center"/>
          </w:tcPr>
          <w:p>
            <w:r>
              <w:rPr>
                <w:b w:val="false"/>
                <w:bCs w:val="false"/>
                <w:sz w:val="19"/>
                <w:szCs w:val="19"/>
              </w:rPr>
              <w:t xml:space="preserve">ComprobanteDialog pide el local al facturar (solo si hay 2+), para que el backend ARCA resuelva el punto de venta fiscal correcto.</w:t>
            </w:r>
          </w:p>
        </w:tc>
        <w:tc>
          <w:tcPr>
            <w:tcW w:type="dxa" w:w="1700"/>
            <w:tcMar>
              <w:top w:type="dxa" w:w="80"/>
              <w:left w:type="dxa" w:w="100"/>
              <w:bottom w:type="dxa" w:w="80"/>
              <w:right w:type="dxa" w:w="100"/>
            </w:tcMar>
            <w:vAlign w:val="center"/>
          </w:tcPr>
          <w:p>
            <w:r>
              <w:rPr>
                <w:b w:val="false"/>
                <w:bCs w:val="false"/>
                <w:sz w:val="19"/>
                <w:szCs w:val="19"/>
              </w:rPr>
              <w:t xml:space="preserve">(sin migración nueva)</w:t>
            </w:r>
          </w:p>
        </w:tc>
      </w:tr>
      <w:tr>
        <w:tc>
          <w:tcPr>
            <w:tcW w:type="dxa" w:w="1000"/>
            <w:tcMar>
              <w:top w:type="dxa" w:w="80"/>
              <w:left w:type="dxa" w:w="100"/>
              <w:bottom w:type="dxa" w:w="80"/>
              <w:right w:type="dxa" w:w="100"/>
            </w:tcMar>
            <w:vAlign w:val="center"/>
          </w:tcPr>
          <w:p>
            <w:r>
              <w:rPr>
                <w:b w:val="false"/>
                <w:bCs w:val="false"/>
                <w:sz w:val="19"/>
                <w:szCs w:val="19"/>
              </w:rPr>
              <w:t xml:space="preserve">27d</w:t>
            </w:r>
          </w:p>
        </w:tc>
        <w:tc>
          <w:tcPr>
            <w:tcW w:type="dxa" w:w="1900"/>
            <w:tcMar>
              <w:top w:type="dxa" w:w="80"/>
              <w:left w:type="dxa" w:w="100"/>
              <w:bottom w:type="dxa" w:w="80"/>
              <w:right w:type="dxa" w:w="100"/>
            </w:tcMar>
            <w:vAlign w:val="center"/>
          </w:tcPr>
          <w:p>
            <w:r>
              <w:rPr>
                <w:b w:val="false"/>
                <w:bCs w:val="false"/>
                <w:sz w:val="19"/>
                <w:szCs w:val="19"/>
              </w:rPr>
              <w:t xml:space="preserve">Catálogo compartido o exclusivo</w:t>
            </w:r>
          </w:p>
        </w:tc>
        <w:tc>
          <w:tcPr>
            <w:tcW w:type="dxa" w:w="5480"/>
            <w:tcMar>
              <w:top w:type="dxa" w:w="80"/>
              <w:left w:type="dxa" w:w="100"/>
              <w:bottom w:type="dxa" w:w="80"/>
              <w:right w:type="dxa" w:w="100"/>
            </w:tcMar>
            <w:vAlign w:val="center"/>
          </w:tcPr>
          <w:p>
            <w:r>
              <w:rPr>
                <w:b w:val="false"/>
                <w:bCs w:val="false"/>
                <w:sz w:val="19"/>
                <w:szCs w:val="19"/>
              </w:rPr>
              <w:t xml:space="preserve">productos.punto_venta_id / combos.punto_venta_id: un producto puede ser de un local puntual o quedar visible en todos (default). RLS de lectura scoped.</w:t>
            </w:r>
          </w:p>
        </w:tc>
        <w:tc>
          <w:tcPr>
            <w:tcW w:type="dxa" w:w="1700"/>
            <w:tcMar>
              <w:top w:type="dxa" w:w="80"/>
              <w:left w:type="dxa" w:w="100"/>
              <w:bottom w:type="dxa" w:w="80"/>
              <w:right w:type="dxa" w:w="100"/>
            </w:tcMar>
            <w:vAlign w:val="center"/>
          </w:tcPr>
          <w:p>
            <w:r>
              <w:rPr>
                <w:b w:val="false"/>
                <w:bCs w:val="false"/>
                <w:sz w:val="19"/>
                <w:szCs w:val="19"/>
              </w:rPr>
              <w:t xml:space="preserve">0071</w:t>
            </w:r>
          </w:p>
        </w:tc>
      </w:tr>
      <w:tr>
        <w:tc>
          <w:tcPr>
            <w:tcW w:type="dxa" w:w="1000"/>
            <w:tcMar>
              <w:top w:type="dxa" w:w="80"/>
              <w:left w:type="dxa" w:w="100"/>
              <w:bottom w:type="dxa" w:w="80"/>
              <w:right w:type="dxa" w:w="100"/>
            </w:tcMar>
            <w:vAlign w:val="center"/>
          </w:tcPr>
          <w:p>
            <w:r>
              <w:rPr>
                <w:b w:val="false"/>
                <w:bCs w:val="false"/>
                <w:sz w:val="19"/>
                <w:szCs w:val="19"/>
              </w:rPr>
              <w:t xml:space="preserve">27d-2</w:t>
            </w:r>
          </w:p>
        </w:tc>
        <w:tc>
          <w:tcPr>
            <w:tcW w:type="dxa" w:w="1900"/>
            <w:tcMar>
              <w:top w:type="dxa" w:w="80"/>
              <w:left w:type="dxa" w:w="100"/>
              <w:bottom w:type="dxa" w:w="80"/>
              <w:right w:type="dxa" w:w="100"/>
            </w:tcMar>
            <w:vAlign w:val="center"/>
          </w:tcPr>
          <w:p>
            <w:r>
              <w:rPr>
                <w:b w:val="false"/>
                <w:bCs w:val="false"/>
                <w:sz w:val="19"/>
                <w:szCs w:val="19"/>
              </w:rPr>
              <w:t xml:space="preserve">Menú público por local</w:t>
            </w:r>
          </w:p>
        </w:tc>
        <w:tc>
          <w:tcPr>
            <w:tcW w:type="dxa" w:w="5480"/>
            <w:tcMar>
              <w:top w:type="dxa" w:w="80"/>
              <w:left w:type="dxa" w:w="100"/>
              <w:bottom w:type="dxa" w:w="80"/>
              <w:right w:type="dxa" w:w="100"/>
            </w:tcMar>
            <w:vAlign w:val="center"/>
          </w:tcPr>
          <w:p>
            <w:r>
              <w:rPr>
                <w:b w:val="false"/>
                <w:bCs w:val="false"/>
                <w:sz w:val="19"/>
                <w:szCs w:val="19"/>
              </w:rPr>
              <w:t xml:space="preserve">Cada local tiene su propio slug y link de Menú QR/Delivery, con SU catálogo (compartido + exclusivo). Antes había un único link genérico por cliente.</w:t>
            </w:r>
          </w:p>
        </w:tc>
        <w:tc>
          <w:tcPr>
            <w:tcW w:type="dxa" w:w="1700"/>
            <w:tcMar>
              <w:top w:type="dxa" w:w="80"/>
              <w:left w:type="dxa" w:w="100"/>
              <w:bottom w:type="dxa" w:w="80"/>
              <w:right w:type="dxa" w:w="100"/>
            </w:tcMar>
            <w:vAlign w:val="center"/>
          </w:tcPr>
          <w:p>
            <w:r>
              <w:rPr>
                <w:b w:val="false"/>
                <w:bCs w:val="false"/>
                <w:sz w:val="19"/>
                <w:szCs w:val="19"/>
              </w:rPr>
              <w:t xml:space="preserve">0072</w:t>
            </w:r>
          </w:p>
        </w:tc>
      </w:tr>
      <w:tr>
        <w:tc>
          <w:tcPr>
            <w:tcW w:type="dxa" w:w="1000"/>
            <w:tcMar>
              <w:top w:type="dxa" w:w="80"/>
              <w:left w:type="dxa" w:w="100"/>
              <w:bottom w:type="dxa" w:w="80"/>
              <w:right w:type="dxa" w:w="100"/>
            </w:tcMar>
            <w:vAlign w:val="center"/>
          </w:tcPr>
          <w:p>
            <w:r>
              <w:rPr>
                <w:b w:val="false"/>
                <w:bCs w:val="false"/>
                <w:sz w:val="19"/>
                <w:szCs w:val="19"/>
              </w:rPr>
              <w:t xml:space="preserve">27e-1</w:t>
            </w:r>
          </w:p>
        </w:tc>
        <w:tc>
          <w:tcPr>
            <w:tcW w:type="dxa" w:w="1900"/>
            <w:tcMar>
              <w:top w:type="dxa" w:w="80"/>
              <w:left w:type="dxa" w:w="100"/>
              <w:bottom w:type="dxa" w:w="80"/>
              <w:right w:type="dxa" w:w="100"/>
            </w:tcMar>
            <w:vAlign w:val="center"/>
          </w:tcPr>
          <w:p>
            <w:r>
              <w:rPr>
                <w:b w:val="false"/>
                <w:bCs w:val="false"/>
                <w:sz w:val="19"/>
                <w:szCs w:val="19"/>
              </w:rPr>
              <w:t xml:space="preserve">Stock por local + Transferencias</w:t>
            </w:r>
          </w:p>
        </w:tc>
        <w:tc>
          <w:tcPr>
            <w:tcW w:type="dxa" w:w="5480"/>
            <w:tcMar>
              <w:top w:type="dxa" w:w="80"/>
              <w:left w:type="dxa" w:w="100"/>
              <w:bottom w:type="dxa" w:w="80"/>
              <w:right w:type="dxa" w:w="100"/>
            </w:tcMar>
            <w:vAlign w:val="center"/>
          </w:tcPr>
          <w:p>
            <w:r>
              <w:rPr>
                <w:b w:val="false"/>
                <w:bCs w:val="false"/>
                <w:sz w:val="19"/>
                <w:szCs w:val="19"/>
              </w:rPr>
              <w:t xml:space="preserve">Tabla overlay stock_por_punto_venta + trigger que mantiene productos.stock/insumos.stock como total. RPC crear_transferencia (movimiento atómico). "Nueva transferencia" pasa de estar deshabilitada a funcionar de verdad.</w:t>
            </w:r>
          </w:p>
        </w:tc>
        <w:tc>
          <w:tcPr>
            <w:tcW w:type="dxa" w:w="1700"/>
            <w:tcMar>
              <w:top w:type="dxa" w:w="80"/>
              <w:left w:type="dxa" w:w="100"/>
              <w:bottom w:type="dxa" w:w="80"/>
              <w:right w:type="dxa" w:w="100"/>
            </w:tcMar>
            <w:vAlign w:val="center"/>
          </w:tcPr>
          <w:p>
            <w:r>
              <w:rPr>
                <w:b w:val="false"/>
                <w:bCs w:val="false"/>
                <w:sz w:val="19"/>
                <w:szCs w:val="19"/>
              </w:rPr>
              <w:t xml:space="preserve">0073</w:t>
            </w:r>
          </w:p>
        </w:tc>
      </w:tr>
      <w:tr>
        <w:tc>
          <w:tcPr>
            <w:tcW w:type="dxa" w:w="1000"/>
            <w:tcMar>
              <w:top w:type="dxa" w:w="80"/>
              <w:left w:type="dxa" w:w="100"/>
              <w:bottom w:type="dxa" w:w="80"/>
              <w:right w:type="dxa" w:w="100"/>
            </w:tcMar>
            <w:vAlign w:val="center"/>
          </w:tcPr>
          <w:p>
            <w:r>
              <w:rPr>
                <w:b w:val="false"/>
                <w:bCs w:val="false"/>
                <w:sz w:val="19"/>
                <w:szCs w:val="19"/>
              </w:rPr>
              <w:t xml:space="preserve">27e-2</w:t>
            </w:r>
          </w:p>
        </w:tc>
        <w:tc>
          <w:tcPr>
            <w:tcW w:type="dxa" w:w="1900"/>
            <w:tcMar>
              <w:top w:type="dxa" w:w="80"/>
              <w:left w:type="dxa" w:w="100"/>
              <w:bottom w:type="dxa" w:w="80"/>
              <w:right w:type="dxa" w:w="100"/>
            </w:tcMar>
            <w:vAlign w:val="center"/>
          </w:tcPr>
          <w:p>
            <w:r>
              <w:rPr>
                <w:b w:val="false"/>
                <w:bCs w:val="false"/>
                <w:sz w:val="19"/>
                <w:szCs w:val="19"/>
              </w:rPr>
              <w:t xml:space="preserve">Conectar los 9 puntos de escritura de stock</w:t>
            </w:r>
          </w:p>
        </w:tc>
        <w:tc>
          <w:tcPr>
            <w:tcW w:type="dxa" w:w="5480"/>
            <w:tcMar>
              <w:top w:type="dxa" w:w="80"/>
              <w:left w:type="dxa" w:w="100"/>
              <w:bottom w:type="dxa" w:w="80"/>
              <w:right w:type="dxa" w:w="100"/>
            </w:tcMar>
            <w:vAlign w:val="center"/>
          </w:tcPr>
          <w:p>
            <w:r>
              <w:rPr>
                <w:b w:val="false"/>
                <w:bCs w:val="false"/>
                <w:sz w:val="19"/>
                <w:szCs w:val="19"/>
              </w:rPr>
              <w:t xml:space="preserve">Ventas, Compras, Comandas, Ventas Online, Ajustes/Recepción/Producción empiezan a resolver el local del operador y mover stock_por_punto_venta cuando el cliente es multi-local.</w:t>
            </w:r>
          </w:p>
        </w:tc>
        <w:tc>
          <w:tcPr>
            <w:tcW w:type="dxa" w:w="1700"/>
            <w:tcMar>
              <w:top w:type="dxa" w:w="80"/>
              <w:left w:type="dxa" w:w="100"/>
              <w:bottom w:type="dxa" w:w="80"/>
              <w:right w:type="dxa" w:w="100"/>
            </w:tcMar>
            <w:vAlign w:val="center"/>
          </w:tcPr>
          <w:p>
            <w:r>
              <w:rPr>
                <w:b w:val="false"/>
                <w:bCs w:val="false"/>
                <w:sz w:val="19"/>
                <w:szCs w:val="19"/>
              </w:rPr>
              <w:t xml:space="preserve">(sin migración nueva)</w:t>
            </w:r>
          </w:p>
        </w:tc>
      </w:tr>
      <w:tr>
        <w:tc>
          <w:tcPr>
            <w:tcW w:type="dxa" w:w="1000"/>
            <w:tcMar>
              <w:top w:type="dxa" w:w="80"/>
              <w:left w:type="dxa" w:w="100"/>
              <w:bottom w:type="dxa" w:w="80"/>
              <w:right w:type="dxa" w:w="100"/>
            </w:tcMar>
            <w:vAlign w:val="center"/>
          </w:tcPr>
          <w:p>
            <w:r>
              <w:rPr>
                <w:b w:val="false"/>
                <w:bCs w:val="false"/>
                <w:sz w:val="19"/>
                <w:szCs w:val="19"/>
              </w:rPr>
              <w:t xml:space="preserve">27f</w:t>
            </w:r>
          </w:p>
        </w:tc>
        <w:tc>
          <w:tcPr>
            <w:tcW w:type="dxa" w:w="1900"/>
            <w:tcMar>
              <w:top w:type="dxa" w:w="80"/>
              <w:left w:type="dxa" w:w="100"/>
              <w:bottom w:type="dxa" w:w="80"/>
              <w:right w:type="dxa" w:w="100"/>
            </w:tcMar>
            <w:vAlign w:val="center"/>
          </w:tcPr>
          <w:p>
            <w:r>
              <w:rPr>
                <w:b w:val="false"/>
                <w:bCs w:val="false"/>
                <w:sz w:val="19"/>
                <w:szCs w:val="19"/>
              </w:rPr>
              <w:t xml:space="preserve">Caja por turno + RLS finales</w:t>
            </w:r>
          </w:p>
        </w:tc>
        <w:tc>
          <w:tcPr>
            <w:tcW w:type="dxa" w:w="5480"/>
            <w:tcMar>
              <w:top w:type="dxa" w:w="80"/>
              <w:left w:type="dxa" w:w="100"/>
              <w:bottom w:type="dxa" w:w="80"/>
              <w:right w:type="dxa" w:w="100"/>
            </w:tcMar>
            <w:vAlign w:val="center"/>
          </w:tcPr>
          <w:p>
            <w:r>
              <w:rPr>
                <w:b w:val="false"/>
                <w:bCs w:val="false"/>
                <w:sz w:val="19"/>
                <w:szCs w:val="19"/>
              </w:rPr>
              <w:t xml:space="preserve">turnos_caja y movimientos_caja por local (cada sucursal puede tener su propio turno abierto, arqueo sin mezclar efectivo). Políticas RESTRICTIVE que cierran los huecos de escritura/lectura cruzada entre locales que quedaban abiertos desde fases anteriores.</w:t>
            </w:r>
          </w:p>
        </w:tc>
        <w:tc>
          <w:tcPr>
            <w:tcW w:type="dxa" w:w="1700"/>
            <w:tcMar>
              <w:top w:type="dxa" w:w="80"/>
              <w:left w:type="dxa" w:w="100"/>
              <w:bottom w:type="dxa" w:w="80"/>
              <w:right w:type="dxa" w:w="100"/>
            </w:tcMar>
            <w:vAlign w:val="center"/>
          </w:tcPr>
          <w:p>
            <w:r>
              <w:rPr>
                <w:b w:val="false"/>
                <w:bCs w:val="false"/>
                <w:sz w:val="19"/>
                <w:szCs w:val="19"/>
              </w:rPr>
              <w:t xml:space="preserve">0074</w:t>
            </w:r>
          </w:p>
        </w:tc>
      </w:tr>
    </w:tbl>
    <w:p>
      <w:pPr>
        <w:spacing w:before="200"/>
      </w:pPr>
    </w:p>
    <w:p>
      <w:r>
        <w:br w:type="page"/>
      </w:r>
    </w:p>
    <w:p>
      <w:pPr>
        <w:pStyle w:val="Heading1"/>
        <w:spacing w:after="200" w:before="400"/>
      </w:pPr>
      <w:r>
        <w:t xml:space="preserve">4. Detalle técnico por sub-fase</w:t>
      </w:r>
    </w:p>
    <w:p>
      <w:pPr>
        <w:pStyle w:val="Heading2"/>
        <w:spacing w:after="150" w:before="300"/>
      </w:pPr>
      <w:r>
        <w:t xml:space="preserve">4.1 — 27a: Base multi-sucursal</w:t>
      </w:r>
    </w:p>
    <w:p>
      <w:pPr>
        <w:spacing w:after="160" w:line="276"/>
      </w:pPr>
      <w:r>
        <w:rPr>
          <w:sz w:val="22"/>
          <w:szCs w:val="22"/>
        </w:rPr>
        <w:t xml:space="preserve">Punto de partida: edgy_gestion.puntos_venta no existía en la base real a pesar de que src/modules/configuracion/pages/PuntosVenta.tsx ya la consultaba — la pantalla estaba rota para cualquier cliente que la abriera. La migración 0069 crea la tabla (id, cliente_id, alias, numero, direccion, activo, por_defecto, para_integraciones), con un índice único parcial sobre (cliente_id, numero) para evitar puntos fiscales duplicados dentro de un mismo cliente.</w:t>
      </w:r>
    </w:p>
    <w:p>
      <w:pPr>
        <w:spacing w:after="160" w:line="276"/>
      </w:pPr>
      <w:r>
        <w:rPr>
          <w:sz w:val="22"/>
          <w:szCs w:val="22"/>
        </w:rPr>
        <w:t xml:space="preserve">Se agrega usuarios_cliente.punto_venta_id (nullable): null significa acceso global (así queda cualquier usuario existente, sin cambiar nada para ellos); un valor puntual restringe a ese usuario a operar solo ese local en las pantallas que empiezan a filtrar por local en las sub-fases siguientes. La función punto_venta_del_usuario_actual() (SECURITY DEFINER) es el helper que todas las políticas RLS posteriores usan para resolver esa restricción.</w:t>
      </w:r>
    </w:p>
    <w:p>
      <w:pPr>
        <w:pStyle w:val="Heading2"/>
        <w:spacing w:after="150" w:before="300"/>
      </w:pPr>
      <w:r>
        <w:t xml:space="preserve">4.2 — 27b: ARCA con un punto de venta por local</w:t>
      </w:r>
    </w:p>
    <w:p>
      <w:pPr>
        <w:spacing w:after="160" w:line="276"/>
      </w:pPr>
      <w:r>
        <w:rPr>
          <w:sz w:val="22"/>
          <w:szCs w:val="22"/>
        </w:rPr>
        <w:t xml:space="preserve">clientes_arca_config.punto_venta era, hasta acá, un entero único por cliente: toda la facturación electrónica salía siempre con el mismo número de punto de venta AFIP, sin importar cuántos locales tuviera el negocio. La migración 0070 conecta comprobantes_venta.punto_venta_id (nullable) con la tabla puntos_venta ya creada en 27a, y hace un backfill automático: todo cliente con clientes_arca_config existente recibe una fila en puntos_venta con ese mismo número, para que nadie pierda su configuración ni tenga que volver a cargar el certificado. El campo legado clientes_arca_config.punto_venta se deja como fallback, no se borra.</w:t>
      </w:r>
    </w:p>
    <w:p>
      <w:pPr>
        <w:pStyle w:val="Heading2"/>
        <w:spacing w:after="150" w:before="300"/>
      </w:pPr>
      <w:r>
        <w:t xml:space="preserve">4.3 — 27c: Selector de sucursal en Ventas</w:t>
      </w:r>
    </w:p>
    <w:p>
      <w:pPr>
        <w:spacing w:after="160" w:line="276"/>
      </w:pPr>
      <w:r>
        <w:rPr>
          <w:sz w:val="22"/>
          <w:szCs w:val="22"/>
        </w:rPr>
        <w:t xml:space="preserve">Con la columna ya en su lugar, esta sub-fase agregó el selector de punto de venta en ComprobanteDialog (Ventas): solo se muestra cuando el cliente tiene más de un local, se precarga con el local del usuario si está restringido, y viaja en el payload de Comprobantes, Presupuestos y Órdenes. No hizo falta ninguna migración nueva — la columna ya existía desde 27b.</w:t>
      </w:r>
    </w:p>
    <w:p>
      <w:pPr>
        <w:pStyle w:val="Heading2"/>
        <w:spacing w:after="150" w:before="300"/>
      </w:pPr>
      <w:r>
        <w:t xml:space="preserve">4.4 — 27d: Catálogo compartido o exclusivo por sucursal</w:t>
      </w:r>
    </w:p>
    <w:p>
      <w:pPr>
        <w:spacing w:after="160" w:line="276"/>
      </w:pPr>
      <w:r>
        <w:rPr>
          <w:sz w:val="22"/>
          <w:szCs w:val="22"/>
        </w:rPr>
        <w:t xml:space="preserve">Requisito explícito: un producto tiene que poder ofrecerse en TODOS los locales (default, sin cambios) o quedar restringido a uno solo — decisión por producto, no una bandera global del cliente. La migración 0071 agrega productos.punto_venta_id y combos.punto_venta_id (nullable = compartido) y recorta cinco políticas de lectura (Ventas, Comandas, Ventas Online) para que, cuando el campo está seteado, solo lo vea quien opera ese local. El RPC menu_publico() también se actualiza para que el link genérico del cliente muestre únicamente el catálogo compartido.</w:t>
      </w:r>
    </w:p>
    <w:p>
      <w:pPr>
        <w:pStyle w:val="Heading2"/>
        <w:spacing w:after="150" w:before="300"/>
      </w:pPr>
      <w:r>
        <w:t xml:space="preserve">4.5 — 27d-2: Menú público con link separado por local</w:t>
      </w:r>
    </w:p>
    <w:p>
      <w:pPr>
        <w:spacing w:after="160" w:line="276"/>
      </w:pPr>
      <w:r>
        <w:rPr>
          <w:sz w:val="22"/>
          <w:szCs w:val="22"/>
        </w:rPr>
        <w:t xml:space="preserve">Sub-fase agregada a pedido explícito, antes de seguir con 27e: en vez de un único link genérico de Menú QR/Delivery por cliente, cada local pasa a tener el suyo propio (/menu/‹cliente›/‹local›), mostrando el catálogo que le corresponde (compartido + exclusivo de ESE local) — mucho más relevante para el comprador que un catálogo mezclado. La migración 0072 agrega puntos_venta.slug (único por cliente) y ordenes_venta.punto_venta_id, redefine menu_publico() como dos sobrecargas (una de un parámetro, delegando a la de dos, para no romper los links viejos) y recrea crear_orden_venta_publica con un octavo parámetro — de paso cierra un hueco de seguridad real: antes, un pedido público con datos manipulados podía pasar la validación aunque pidiera un producto exclusivo de OTRO local al mostrado.</w:t>
      </w:r>
    </w:p>
    <w:p>
      <w:pPr>
        <w:spacing w:after="160" w:line="276"/>
      </w:pPr>
      <w:r>
        <w:rPr>
          <w:sz w:val="22"/>
          <w:szCs w:val="22"/>
        </w:rPr>
        <w:t xml:space="preserve">Del lado del frontend: Configuración &gt; Puntos de venta gana edición de slug con vista previa de URL; Menú QR y Ventas Online (Delivery/WhatsApp) muestran una tarjeta de link/QR por local en vez de una sola, cuando el cliente tiene 2+ locales.</w:t>
      </w:r>
    </w:p>
    <w:p>
      <w:pPr>
        <w:pStyle w:val="Heading2"/>
        <w:spacing w:after="150" w:before="300"/>
      </w:pPr>
      <w:r>
        <w:t xml:space="preserve">4.6 — 27e-1: Stock por punto de venta + activar Transferencias</w:t>
      </w:r>
    </w:p>
    <w:p>
      <w:pPr>
        <w:spacing w:after="160" w:line="276"/>
      </w:pPr>
      <w:r>
        <w:rPr>
          <w:sz w:val="22"/>
          <w:szCs w:val="22"/>
        </w:rPr>
        <w:t xml:space="preserve">La sub-fase de mayor riesgo del plan, por tocar 9 puntos distintos donde el sistema ya escribía stock. El diseño se presentó en el chat antes de tocar código y se confirmó explícitamente. Se optó por una tabla overlay — stock_por_punto_venta (cliente_id, punto_venta_id, item_tipo, item_id, variante_id, cantidad) — en vez de reemplazar productos.stock/insumos.stock: el campo plano pasa a ser un TOTAL calculado automáticamente por un trigger (recalcular_stock_total()) que suma las filas del overlay cada vez que cambian. Así ningún módulo que solo LEE stock (alertas de stock bajo, valor de inventario, Control de Stock) tuvo que cambiar una sola línea.</w:t>
      </w:r>
    </w:p>
    <w:p>
      <w:pPr>
        <w:spacing w:after="160" w:line="276"/>
      </w:pPr>
      <w:r>
        <w:rPr>
          <w:sz w:val="22"/>
          <w:szCs w:val="22"/>
        </w:rPr>
        <w:t xml:space="preserve">Se agregó el RPC ajustar_stock_punto_venta (UPSERT atómico, sin el patrón leer-calcular-escribir que tiene el resto del sistema y que es una condición de carrera latente bajo escritura concurrente) y el RPC crear_transferencia, que hace en una sola transacción: valida stock suficiente en origen, crea la transferencia y sus líneas, mueve el stock de los dos locales, y genera los dos movimientos_stock correspondientes. Con esto, "Nueva transferencia" — que hasta esta fase era un botón permanentemente deshabilitado sin ningún diálogo de alta, un hueco funcional que existía desde antes de este refactor — pasó a mover mercadería real.</w:t>
      </w:r>
    </w:p>
    <w:p>
      <w:pPr>
        <w:spacing w:after="160" w:line="276"/>
      </w:pPr>
      <w:r>
        <w:rPr>
          <w:sz w:val="22"/>
          <w:szCs w:val="22"/>
        </w:rPr>
        <w:t xml:space="preserve">El backfill de la migración 0073 solo alcanza a clientes con 2 o más puntos de venta activos: asigna el stock total actual de cada producto/insumo al local marcado como "por defecto". El resto de los clientes no recibe ni una sola fila nueva.</w:t>
      </w:r>
    </w:p>
    <w:p>
      <w:pPr>
        <w:pStyle w:val="Heading2"/>
        <w:spacing w:after="150" w:before="300"/>
      </w:pPr>
      <w:r>
        <w:t xml:space="preserve">4.7 — 27e-2: Conectar los 9 puntos de escritura de stock</w:t>
      </w:r>
    </w:p>
    <w:p>
      <w:pPr>
        <w:spacing w:after="160" w:line="276"/>
      </w:pPr>
      <w:r>
        <w:rPr>
          <w:sz w:val="22"/>
          <w:szCs w:val="22"/>
        </w:rPr>
        <w:t xml:space="preserve">27e-1 dejó el modelo listo pero, deliberadamente, sin conectar los flujos existentes — se scopeó así para poder verificar el esquema y Transferencias de forma aislada antes de tocar código que ya funcionaba en producción. Esta sub-fase conectó Ventas (Punto de Venta, Comprobantes, Comandas y Ventas Online, que convergen en la misma función descontarStockPorVenta), Compras (actualizarStockCompra.ts) y los cuatro flujos de Productos y Stock (Ajustar stock, Recibir stock, confirmar Recepción, Registrar Producción).</w:t>
      </w:r>
    </w:p>
    <w:p>
      <w:pPr>
        <w:spacing w:after="160" w:line="276"/>
      </w:pPr>
      <w:r>
        <w:rPr>
          <w:sz w:val="22"/>
          <w:szCs w:val="22"/>
        </w:rPr>
        <w:t xml:space="preserve">Se creó un helper compartido, src/lib/puntoVenta.ts, con dos funciones: resolverPuntoVentaId() (mismo criterio en los nueve puntos: el local al que está restringido el usuario logueado, o el "por defecto" del cliente si tiene acceso global — y null si el cliente tiene 0 o 1 local, que es la señal para no tocar la tabla nueva en absoluto) y ajustarStockPuntoVenta() (wrapper del RPC de 27e-1). Cada punto de escritura ahora resuelve el local una vez y bifurca: si hay local, ajusta el overlay (el trigger mantiene el total); si no, escribe el campo plano exactamente como lo hacía antes de esta fase — sin ninguna diferencia de comportamiento para un cliente de un solo local.</w:t>
      </w:r>
    </w:p>
    <w:p>
      <w:pPr>
        <w:pStyle w:val="Heading2"/>
        <w:spacing w:after="150" w:before="300"/>
      </w:pPr>
      <w:r>
        <w:t xml:space="preserve">4.8 — 27f: Caja por turno por local + auditoría final de RLS</w:t>
      </w:r>
    </w:p>
    <w:p>
      <w:pPr>
        <w:spacing w:after="160" w:line="276"/>
      </w:pPr>
      <w:r>
        <w:rPr>
          <w:sz w:val="22"/>
          <w:szCs w:val="22"/>
        </w:rPr>
        <w:t xml:space="preserve">Hasta esta sub-fase solo podía haber un turno de caja "abierto" por CLIENTE, sin distinguir local — con dos locales operando en simultáneo, el cajero de uno vería el turno del otro como si fuera el propio, y el arqueo (monto esperado = apertura + neto de efectivo en Tesorería) mezclaría el efectivo físico de las dos cajas en una sola cuenta. La migración 0074 agrega punto_venta_id a turnos_caja y a movimientos_caja (para que el arqueo de cada turno filtre solo el efectivo de SU local), y el flujo de apertura de turno pasa por el mismo resolverPuntoVentaId() del resto del sistema.</w:t>
      </w:r>
    </w:p>
    <w:p>
      <w:pPr>
        <w:spacing w:after="160" w:line="276"/>
      </w:pPr>
      <w:r>
        <w:rPr>
          <w:sz w:val="22"/>
          <w:szCs w:val="22"/>
        </w:rPr>
        <w:t xml:space="preserve">La segunda mitad de esta sub-fase es una auditoría de RLS: durante 27b-27e se habían agregado columnas punto_venta_id a varias tablas, pero solo el catálogo (productos/combos) había quedado con el lado de LECTURA reforzado — nada impedía todavía que un usuario restringido a un local escribiera (o incluso leyera) datos de OTRO local en comprobantes_venta, ordenes_venta, stock_por_punto_venta o transferencias. Se cerró con siete políticas RESTRICTIVE nuevas: a diferencia de las políticas normales (permissive, se combinan por OR entre sí), las restrictive se combinan por AND con TODAS las políticas permissive existentes de cada tabla. Esto permitió agregar la restricción final sin necesidad de conocer ni tocar los nombres de las políticas existentes de tablas que, en varios casos, son anteriores al propio historial de migraciones versionado del proyecto.</w:t>
      </w:r>
    </w:p>
    <w:p>
      <w:r>
        <w:br w:type="page"/>
      </w:r>
    </w:p>
    <w:p>
      <w:pPr>
        <w:pStyle w:val="Heading1"/>
        <w:spacing w:after="200" w:before="400"/>
      </w:pPr>
      <w:r>
        <w:t xml:space="preserve">5. Patrones técnicos transversales</w:t>
      </w:r>
    </w:p>
    <w:p>
      <w:pPr>
        <w:spacing w:after="160" w:line="276"/>
      </w:pPr>
      <w:r>
        <w:rPr>
          <w:sz w:val="22"/>
          <w:szCs w:val="22"/>
        </w:rPr>
        <w:t xml:space="preserve">Algunas decisiones se repiten en todas las sub-fases y conviene dejarlas explícitas, porque son la razón de que el refactor haya podido avanzar en ocho entregas incrementales sin romper producción en ningún punto intermedio.</w:t>
      </w:r>
    </w:p>
    <w:p>
      <w:pPr>
        <w:pStyle w:val="Heading2"/>
        <w:spacing w:after="150" w:before="300"/>
      </w:pPr>
      <w:r>
        <w:t xml:space="preserve">5.1 Gating por "2 o más locales activos"</w:t>
      </w:r>
    </w:p>
    <w:p>
      <w:pPr>
        <w:spacing w:after="160" w:line="276"/>
      </w:pPr>
      <w:r>
        <w:rPr>
          <w:sz w:val="22"/>
          <w:szCs w:val="22"/>
        </w:rPr>
        <w:t xml:space="preserve">Cada pieza nueva (catálogo exclusivo, link por local, stock por local, turno por local) solo se activa si el cliente tiene 2+ filas activas en puntos_venta. Un cliente de un solo local no genera ninguna fila en las tablas nuevas y no ve ningún selector nuevo en pantalla — el sistema es indistinguible del que había antes de la Fase 27.</w:t>
      </w:r>
    </w:p>
    <w:p>
      <w:pPr>
        <w:pStyle w:val="Heading2"/>
        <w:spacing w:after="150" w:before="300"/>
      </w:pPr>
      <w:r>
        <w:t xml:space="preserve">5.2 null = "sin restricción" / "compartido" / "comportamiento legado"</w:t>
      </w:r>
    </w:p>
    <w:p>
      <w:pPr>
        <w:spacing w:after="160" w:line="276"/>
      </w:pPr>
      <w:r>
        <w:rPr>
          <w:sz w:val="22"/>
          <w:szCs w:val="22"/>
        </w:rPr>
        <w:t xml:space="preserve">El mismo valor null se reutiliza con el mismo significado en todos los campos nuevos: usuarios_cliente.punto_venta_id null es acceso global; productos.punto_venta_id null es catálogo compartido entre locales; comprobantes_venta.punto_venta_id null es el comportamiento previo a 27b. Un solo helper (punto_venta_del_usuario_actual() en SQL, resolverPuntoVentaId() en el frontend) resuelve esa semántica en un único lugar, en vez de reimplementarla en cada módulo.</w:t>
      </w:r>
    </w:p>
    <w:p>
      <w:pPr>
        <w:pStyle w:val="Heading2"/>
        <w:spacing w:after="150" w:before="300"/>
      </w:pPr>
      <w:r>
        <w:t xml:space="preserve">5.3 RLS aditiva (permissive) vs. RLS de cierre (restrictive)</w:t>
      </w:r>
    </w:p>
    <w:p>
      <w:pPr>
        <w:spacing w:after="160" w:line="276"/>
      </w:pPr>
      <w:r>
        <w:rPr>
          <w:sz w:val="22"/>
          <w:szCs w:val="22"/>
        </w:rPr>
        <w:t xml:space="preserve">Durante la construcción del catálogo y el stock por local, las políticas nuevas se agregaron como PERMISSIVE adicionales — se combinan por OR con las políticas existentes de cada módulo (Ventas, Comandas, Ventas Online), así que un usuario con permiso en cualquiera de esos módulos puede seguir operando sin depender de tener también el permiso de Productos. Recién en 27f, una vez que el modelo estaba completo, se cerró el círculo con políticas RESTRICTIVE — estas se combinan por AND con todo lo anterior, y son la herramienta correcta para una regla que tiene que aplicar siempre, sin excepción, sobre una tabla que ya tiene múltiples políticas permissive de distintas fases del proyecto.</w:t>
      </w:r>
    </w:p>
    <w:p>
      <w:pPr>
        <w:pStyle w:val="Heading2"/>
        <w:spacing w:after="150" w:before="300"/>
      </w:pPr>
      <w:r>
        <w:t xml:space="preserve">5.4 Overlay + trigger en vez de reemplazar el campo plano</w:t>
      </w:r>
    </w:p>
    <w:p>
      <w:pPr>
        <w:spacing w:after="160" w:line="276"/>
      </w:pPr>
      <w:r>
        <w:rPr>
          <w:sz w:val="22"/>
          <w:szCs w:val="22"/>
        </w:rPr>
        <w:t xml:space="preserve">En Fase 27e, en vez de migrar productos.stock a un modelo por local (lo que hubiera obligado a tocar cada lectura de stock en todo el sistema), se agregó una tabla nueva y se dejó que un trigger mantenga el campo plano sincronizado como la suma de todos los locales. El costo es un trigger más en la base; el beneficio es que ningún reporte, alerta o pantalla de solo lectura necesitó cambios.</w:t>
      </w:r>
    </w:p>
    <w:p>
      <w:pPr>
        <w:pStyle w:val="Heading2"/>
        <w:spacing w:after="150" w:before="300"/>
      </w:pPr>
      <w:r>
        <w:t xml:space="preserve">5.5 RPCs atómicos para operaciones que mueven dos entidades a la vez</w:t>
      </w:r>
    </w:p>
    <w:p>
      <w:pPr>
        <w:spacing w:after="160" w:line="276"/>
      </w:pPr>
      <w:r>
        <w:rPr>
          <w:sz w:val="22"/>
          <w:szCs w:val="22"/>
        </w:rPr>
        <w:t xml:space="preserve">crear_transferencia (27e-1) y, en menor medida, la resolución de local en Caja por turno (27f) resuelven en el servidor, en una sola transacción, operaciones que antes se hubieran hecho con múltiples escrituras secuenciales desde el cliente — el patrón que ya tenía el resto del sistema (leer stock, calcular, escribir) es una condición de carrera bajo uso concurrente real, que se evitó a propósito para todo lo nuevo de esta fase sin intentar corregir retroactivamente el código preexistente que la tiene.</w:t>
      </w:r>
    </w:p>
    <w:p>
      <w:pPr>
        <w:pStyle w:val="Heading1"/>
        <w:spacing w:after="200" w:before="400"/>
      </w:pPr>
      <w:r>
        <w:t xml:space="preserve">6. Estado actual del sistema</w:t>
      </w:r>
    </w:p>
    <w:p>
      <w:pPr>
        <w:spacing w:after="160" w:line="276"/>
      </w:pPr>
      <w:r>
        <w:rPr>
          <w:sz w:val="22"/>
          <w:szCs w:val="22"/>
        </w:rPr>
        <w:t xml:space="preserve">Fase 27 (27a a 27f, incluidas 27d-2 y 27e-2) está completa, con las seis migraciones aplicadas en la base de producción y el código correspondiente pusheado a main. Todas las verificaciones de tipos (tsc --noEmit) se hicieron contra el mismo baseline de 362 errores preexistentes (ruido de resolución de tipos de lucide-react y react-router-dom, sin relación con este refactor) para confirmar que cada entrega no introdujo errores nuevos.</w:t>
      </w:r>
    </w:p>
    <w:p>
      <w:pPr>
        <w:spacing w:after="160" w:line="276"/>
      </w:pPr>
      <w:r>
        <w:rPr>
          <w:sz w:val="22"/>
          <w:szCs w:val="22"/>
        </w:rPr>
        <w:t xml:space="preserve">El sistema, hoy, funciona exactamente igual para todo cliente de un solo local. Para un cliente con 2+ locales activos, quedan disponibles: selector de local al facturar, catálogo compartido o exclusivo por local, link de Menú QR/Delivery propio por local, stock desglosado por local con transferencias reales entre locales, y caja de turno independiente por local — todo protegido por RLS para que un usuario restringido a un local no pueda operar ni ver datos de otro.</w:t>
      </w:r>
    </w:p>
    <w:p>
      <w:pPr>
        <w:pStyle w:val="Heading2"/>
        <w:spacing w:after="150" w:before="300"/>
      </w:pPr>
      <w:r>
        <w:t xml:space="preserve">6.1 Qué queda pendiente</w:t>
      </w:r>
    </w:p>
    <w:p>
      <w:pPr>
        <w:pStyle w:val="ListParagraph"/>
        <w:numPr>
          <w:ilvl w:val="0"/>
          <w:numId w:val="1"/>
        </w:numPr>
        <w:spacing w:after="80" w:line="276"/>
      </w:pPr>
      <w:r>
        <w:rPr>
          <w:sz w:val="22"/>
          <w:szCs w:val="22"/>
        </w:rPr>
        <w:t xml:space="preserve">Onboarding real de Marina Copelotti (Punto Tex + Rúa): el wizard de alta de cliente (Pasos 1 a 5) todavía no se ejecutó para este caso — es el paso siguiente, ahora que la base multi-sucursal está terminada.</w:t>
      </w:r>
    </w:p>
    <w:p>
      <w:pPr>
        <w:pStyle w:val="ListParagraph"/>
        <w:numPr>
          <w:ilvl w:val="0"/>
          <w:numId w:val="1"/>
        </w:numPr>
        <w:spacing w:after="80" w:line="276"/>
      </w:pPr>
      <w:r>
        <w:rPr>
          <w:sz w:val="22"/>
          <w:szCs w:val="22"/>
        </w:rPr>
        <w:t xml:space="preserve">Dashboard/reportes con filtro por punto de venta: quedó fuera del alcance de 27f por tiempo — hoy el dashboard sigue mostrando todo el cliente consolidado, sin desglose por local.</w:t>
      </w:r>
    </w:p>
    <w:p>
      <w:pPr>
        <w:pStyle w:val="ListParagraph"/>
        <w:numPr>
          <w:ilvl w:val="0"/>
          <w:numId w:val="1"/>
        </w:numPr>
        <w:spacing w:after="80" w:line="276"/>
      </w:pPr>
      <w:r>
        <w:rPr>
          <w:sz w:val="22"/>
          <w:szCs w:val="22"/>
        </w:rPr>
        <w:t xml:space="preserve">Fase 20 (motor de indicadores/métricas de gestión): pendiente de antes de este refactor, sin relación directa con Fase 27.</w:t>
      </w:r>
    </w:p>
    <w:p>
      <w:pPr>
        <w:pStyle w:val="ListParagraph"/>
        <w:numPr>
          <w:ilvl w:val="0"/>
          <w:numId w:val="1"/>
        </w:numPr>
        <w:spacing w:after="80" w:line="276"/>
      </w:pPr>
      <w:r>
        <w:rPr>
          <w:sz w:val="22"/>
          <w:szCs w:val="22"/>
        </w:rPr>
        <w:t xml:space="preserve">Fase de pruebas final ("antes de prueba de fuerza"): pendiente, sigue en la lista general del proyecto.</w:t>
      </w:r>
    </w:p>
    <w:p>
      <w:pPr>
        <w:pStyle w:val="ListParagraph"/>
        <w:numPr>
          <w:ilvl w:val="0"/>
          <w:numId w:val="1"/>
        </w:numPr>
        <w:spacing w:after="80" w:line="276"/>
      </w:pPr>
      <w:r>
        <w:rPr>
          <w:sz w:val="22"/>
          <w:szCs w:val="22"/>
        </w:rPr>
        <w:t xml:space="preserve">Dos investigaciones menores sin resolver (no relacionadas a Fase 27): por qué el primer cambio de contraseña de un usuario nuevo no permitía loguearse, y revisar el redirectTo del mail de recuperación de contraseña.</w:t>
      </w:r>
    </w:p>
    <w:p>
      <w:r>
        <w:br w:type="page"/>
      </w:r>
    </w:p>
    <w:p>
      <w:pPr>
        <w:pStyle w:val="Heading1"/>
        <w:spacing w:after="200" w:before="400"/>
      </w:pPr>
      <w:r>
        <w:t xml:space="preserve">7. Anexo — Migraciones y commits</w:t>
      </w:r>
    </w:p>
    <w:p>
      <w:pPr>
        <w:pStyle w:val="Heading2"/>
        <w:spacing w:after="150" w:before="300"/>
      </w:pPr>
      <w:r>
        <w:t xml:space="preserve">7.1 Migraciones 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Archivo</w:t>
            </w:r>
          </w:p>
        </w:tc>
        <w:tc>
          <w:tcPr>
            <w:tcW w:type="dxa" w:w="8680"/>
            <w:shd w:fill="1F3864" w:val="clear"/>
            <w:tcMar>
              <w:top w:type="dxa" w:w="80"/>
              <w:left w:type="dxa" w:w="100"/>
              <w:bottom w:type="dxa" w:w="80"/>
              <w:right w:type="dxa" w:w="100"/>
            </w:tcMar>
            <w:vAlign w:val="center"/>
          </w:tcPr>
          <w:p>
            <w:r>
              <w:rPr>
                <w:b/>
                <w:bCs/>
                <w:color w:val="FFFFFF"/>
                <w:sz w:val="19"/>
                <w:szCs w:val="19"/>
              </w:rPr>
              <w:t xml:space="preserve">Contenido</w:t>
            </w:r>
          </w:p>
        </w:tc>
      </w:tr>
      <w:tr>
        <w:tc>
          <w:tcPr>
            <w:tcW w:type="dxa" w:w="1400"/>
            <w:tcMar>
              <w:top w:type="dxa" w:w="80"/>
              <w:left w:type="dxa" w:w="100"/>
              <w:bottom w:type="dxa" w:w="80"/>
              <w:right w:type="dxa" w:w="100"/>
            </w:tcMar>
            <w:vAlign w:val="center"/>
          </w:tcPr>
          <w:p>
            <w:r>
              <w:rPr>
                <w:b w:val="false"/>
                <w:bCs w:val="false"/>
                <w:sz w:val="19"/>
                <w:szCs w:val="19"/>
              </w:rPr>
              <w:t xml:space="preserve">0069</w:t>
            </w:r>
          </w:p>
        </w:tc>
        <w:tc>
          <w:tcPr>
            <w:tcW w:type="dxa" w:w="8680"/>
            <w:tcMar>
              <w:top w:type="dxa" w:w="80"/>
              <w:left w:type="dxa" w:w="100"/>
              <w:bottom w:type="dxa" w:w="80"/>
              <w:right w:type="dxa" w:w="100"/>
            </w:tcMar>
            <w:vAlign w:val="center"/>
          </w:tcPr>
          <w:p>
            <w:r>
              <w:rPr>
                <w:b w:val="false"/>
                <w:bCs w:val="false"/>
                <w:sz w:val="19"/>
                <w:szCs w:val="19"/>
              </w:rPr>
              <w:t xml:space="preserve">puntos_venta (tabla nueva) + usuarios_cliente.punto_venta_id + punto_venta_del_usuario_actual()</w:t>
            </w:r>
          </w:p>
        </w:tc>
      </w:tr>
      <w:tr>
        <w:tc>
          <w:tcPr>
            <w:tcW w:type="dxa" w:w="1400"/>
            <w:tcMar>
              <w:top w:type="dxa" w:w="80"/>
              <w:left w:type="dxa" w:w="100"/>
              <w:bottom w:type="dxa" w:w="80"/>
              <w:right w:type="dxa" w:w="100"/>
            </w:tcMar>
            <w:vAlign w:val="center"/>
          </w:tcPr>
          <w:p>
            <w:r>
              <w:rPr>
                <w:b w:val="false"/>
                <w:bCs w:val="false"/>
                <w:sz w:val="19"/>
                <w:szCs w:val="19"/>
              </w:rPr>
              <w:t xml:space="preserve">0070</w:t>
            </w:r>
          </w:p>
        </w:tc>
        <w:tc>
          <w:tcPr>
            <w:tcW w:type="dxa" w:w="8680"/>
            <w:tcMar>
              <w:top w:type="dxa" w:w="80"/>
              <w:left w:type="dxa" w:w="100"/>
              <w:bottom w:type="dxa" w:w="80"/>
              <w:right w:type="dxa" w:w="100"/>
            </w:tcMar>
            <w:vAlign w:val="center"/>
          </w:tcPr>
          <w:p>
            <w:r>
              <w:rPr>
                <w:b w:val="false"/>
                <w:bCs w:val="false"/>
                <w:sz w:val="19"/>
                <w:szCs w:val="19"/>
              </w:rPr>
              <w:t xml:space="preserve">comprobantes_venta.punto_venta_id + backfill de puntos_venta desde clientes_arca_config</w:t>
            </w:r>
          </w:p>
        </w:tc>
      </w:tr>
      <w:tr>
        <w:tc>
          <w:tcPr>
            <w:tcW w:type="dxa" w:w="1400"/>
            <w:tcMar>
              <w:top w:type="dxa" w:w="80"/>
              <w:left w:type="dxa" w:w="100"/>
              <w:bottom w:type="dxa" w:w="80"/>
              <w:right w:type="dxa" w:w="100"/>
            </w:tcMar>
            <w:vAlign w:val="center"/>
          </w:tcPr>
          <w:p>
            <w:r>
              <w:rPr>
                <w:b w:val="false"/>
                <w:bCs w:val="false"/>
                <w:sz w:val="19"/>
                <w:szCs w:val="19"/>
              </w:rPr>
              <w:t xml:space="preserve">0071</w:t>
            </w:r>
          </w:p>
        </w:tc>
        <w:tc>
          <w:tcPr>
            <w:tcW w:type="dxa" w:w="8680"/>
            <w:tcMar>
              <w:top w:type="dxa" w:w="80"/>
              <w:left w:type="dxa" w:w="100"/>
              <w:bottom w:type="dxa" w:w="80"/>
              <w:right w:type="dxa" w:w="100"/>
            </w:tcMar>
            <w:vAlign w:val="center"/>
          </w:tcPr>
          <w:p>
            <w:r>
              <w:rPr>
                <w:b w:val="false"/>
                <w:bCs w:val="false"/>
                <w:sz w:val="19"/>
                <w:szCs w:val="19"/>
              </w:rPr>
              <w:t xml:space="preserve">productos.punto_venta_id, combos.punto_venta_id + RLS de lectura scoped + menu_publico() filtra catálogo exclusivo</w:t>
            </w:r>
          </w:p>
        </w:tc>
      </w:tr>
      <w:tr>
        <w:tc>
          <w:tcPr>
            <w:tcW w:type="dxa" w:w="1400"/>
            <w:tcMar>
              <w:top w:type="dxa" w:w="80"/>
              <w:left w:type="dxa" w:w="100"/>
              <w:bottom w:type="dxa" w:w="80"/>
              <w:right w:type="dxa" w:w="100"/>
            </w:tcMar>
            <w:vAlign w:val="center"/>
          </w:tcPr>
          <w:p>
            <w:r>
              <w:rPr>
                <w:b w:val="false"/>
                <w:bCs w:val="false"/>
                <w:sz w:val="19"/>
                <w:szCs w:val="19"/>
              </w:rPr>
              <w:t xml:space="preserve">0072</w:t>
            </w:r>
          </w:p>
        </w:tc>
        <w:tc>
          <w:tcPr>
            <w:tcW w:type="dxa" w:w="8680"/>
            <w:tcMar>
              <w:top w:type="dxa" w:w="80"/>
              <w:left w:type="dxa" w:w="100"/>
              <w:bottom w:type="dxa" w:w="80"/>
              <w:right w:type="dxa" w:w="100"/>
            </w:tcMar>
            <w:vAlign w:val="center"/>
          </w:tcPr>
          <w:p>
            <w:r>
              <w:rPr>
                <w:b w:val="false"/>
                <w:bCs w:val="false"/>
                <w:sz w:val="19"/>
                <w:szCs w:val="19"/>
              </w:rPr>
              <w:t xml:space="preserve">puntos_venta.slug + ordenes_venta.punto_venta_id + menu_publico(slug, local) + crear_orden_venta_publica con validación de local</w:t>
            </w:r>
          </w:p>
        </w:tc>
      </w:tr>
      <w:tr>
        <w:tc>
          <w:tcPr>
            <w:tcW w:type="dxa" w:w="1400"/>
            <w:tcMar>
              <w:top w:type="dxa" w:w="80"/>
              <w:left w:type="dxa" w:w="100"/>
              <w:bottom w:type="dxa" w:w="80"/>
              <w:right w:type="dxa" w:w="100"/>
            </w:tcMar>
            <w:vAlign w:val="center"/>
          </w:tcPr>
          <w:p>
            <w:r>
              <w:rPr>
                <w:b w:val="false"/>
                <w:bCs w:val="false"/>
                <w:sz w:val="19"/>
                <w:szCs w:val="19"/>
              </w:rPr>
              <w:t xml:space="preserve">0073</w:t>
            </w:r>
          </w:p>
        </w:tc>
        <w:tc>
          <w:tcPr>
            <w:tcW w:type="dxa" w:w="8680"/>
            <w:tcMar>
              <w:top w:type="dxa" w:w="80"/>
              <w:left w:type="dxa" w:w="100"/>
              <w:bottom w:type="dxa" w:w="80"/>
              <w:right w:type="dxa" w:w="100"/>
            </w:tcMar>
            <w:vAlign w:val="center"/>
          </w:tcPr>
          <w:p>
            <w:r>
              <w:rPr>
                <w:b w:val="false"/>
                <w:bCs w:val="false"/>
                <w:sz w:val="19"/>
                <w:szCs w:val="19"/>
              </w:rPr>
              <w:t xml:space="preserve">stock_por_punto_venta (tabla nueva) + trigger recalcular_stock_total() + RPC ajustar_stock_punto_venta + RPC crear_transferencia + columnas nuevas en transferencias/transferencia_lineas/movimientos_stock</w:t>
            </w:r>
          </w:p>
        </w:tc>
      </w:tr>
      <w:tr>
        <w:tc>
          <w:tcPr>
            <w:tcW w:type="dxa" w:w="1400"/>
            <w:tcMar>
              <w:top w:type="dxa" w:w="80"/>
              <w:left w:type="dxa" w:w="100"/>
              <w:bottom w:type="dxa" w:w="80"/>
              <w:right w:type="dxa" w:w="100"/>
            </w:tcMar>
            <w:vAlign w:val="center"/>
          </w:tcPr>
          <w:p>
            <w:r>
              <w:rPr>
                <w:b w:val="false"/>
                <w:bCs w:val="false"/>
                <w:sz w:val="19"/>
                <w:szCs w:val="19"/>
              </w:rPr>
              <w:t xml:space="preserve">0074</w:t>
            </w:r>
          </w:p>
        </w:tc>
        <w:tc>
          <w:tcPr>
            <w:tcW w:type="dxa" w:w="8680"/>
            <w:tcMar>
              <w:top w:type="dxa" w:w="80"/>
              <w:left w:type="dxa" w:w="100"/>
              <w:bottom w:type="dxa" w:w="80"/>
              <w:right w:type="dxa" w:w="100"/>
            </w:tcMar>
            <w:vAlign w:val="center"/>
          </w:tcPr>
          <w:p>
            <w:r>
              <w:rPr>
                <w:b w:val="false"/>
                <w:bCs w:val="false"/>
                <w:sz w:val="19"/>
                <w:szCs w:val="19"/>
              </w:rPr>
              <w:t xml:space="preserve">turnos_caja.punto_venta_id + movimientos_caja.punto_venta_id + 7 políticas RESTRICTIVE (turnos_caja, comprobantes_venta, ordenes_venta, productos, combos, stock_por_punto_venta, transferencias)</w:t>
            </w:r>
          </w:p>
        </w:tc>
      </w:tr>
    </w:tbl>
    <w:p>
      <w:pPr>
        <w:spacing w:before="300"/>
      </w:pPr>
    </w:p>
    <w:p>
      <w:pPr>
        <w:pStyle w:val="Heading2"/>
        <w:spacing w:after="150" w:before="300"/>
      </w:pPr>
      <w:r>
        <w:t xml:space="preserve">7.2 Commits (en orden)</w:t>
      </w:r>
    </w:p>
    <w:p>
      <w:pPr>
        <w:shd w:fill="F2F2F2" w:val="clear"/>
        <w:spacing w:after="160"/>
      </w:pPr>
      <w:r>
        <w:rPr>
          <w:rFonts w:ascii="Consolas" w:cs="Consolas" w:eastAsia="Consolas" w:hAnsi="Consolas"/>
          <w:sz w:val="19"/>
          <w:szCs w:val="19"/>
        </w:rPr>
        <w:t xml:space="preserve">a937129 — Fase 27c: selector de sucursal + numeración de comprobantes</w:t>
      </w:r>
    </w:p>
    <w:p>
      <w:pPr>
        <w:shd w:fill="F2F2F2" w:val="clear"/>
        <w:spacing w:after="160"/>
      </w:pPr>
      <w:r>
        <w:rPr>
          <w:rFonts w:ascii="Consolas" w:cs="Consolas" w:eastAsia="Consolas" w:hAnsi="Consolas"/>
          <w:sz w:val="19"/>
          <w:szCs w:val="19"/>
        </w:rPr>
        <w:t xml:space="preserve">66159f7 — Fase 27d: catálogo compartido o exclusivo por punto de venta</w:t>
      </w:r>
    </w:p>
    <w:p>
      <w:pPr>
        <w:shd w:fill="F2F2F2" w:val="clear"/>
        <w:spacing w:after="160"/>
      </w:pPr>
      <w:r>
        <w:rPr>
          <w:rFonts w:ascii="Consolas" w:cs="Consolas" w:eastAsia="Consolas" w:hAnsi="Consolas"/>
          <w:sz w:val="19"/>
          <w:szCs w:val="19"/>
        </w:rPr>
        <w:t xml:space="preserve">facc488 — Fase 27d-2: menú público con link separado por punto de venta</w:t>
      </w:r>
    </w:p>
    <w:p>
      <w:pPr>
        <w:shd w:fill="F2F2F2" w:val="clear"/>
        <w:spacing w:after="160"/>
      </w:pPr>
      <w:r>
        <w:rPr>
          <w:rFonts w:ascii="Consolas" w:cs="Consolas" w:eastAsia="Consolas" w:hAnsi="Consolas"/>
          <w:sz w:val="19"/>
          <w:szCs w:val="19"/>
        </w:rPr>
        <w:t xml:space="preserve">4f248d1 — Fase 27e-1: stock por punto de venta + activar Transferencias</w:t>
      </w:r>
    </w:p>
    <w:p>
      <w:pPr>
        <w:shd w:fill="F2F2F2" w:val="clear"/>
        <w:spacing w:after="160"/>
      </w:pPr>
      <w:r>
        <w:rPr>
          <w:rFonts w:ascii="Consolas" w:cs="Consolas" w:eastAsia="Consolas" w:hAnsi="Consolas"/>
          <w:sz w:val="19"/>
          <w:szCs w:val="19"/>
        </w:rPr>
        <w:t xml:space="preserve">00ea94d — Fase 27e-2: conectar Ventas/Compras/Comandas/Producción/Ajustes al stock por punto de venta</w:t>
      </w:r>
    </w:p>
    <w:p>
      <w:pPr>
        <w:shd w:fill="F2F2F2" w:val="clear"/>
        <w:spacing w:after="160"/>
      </w:pPr>
      <w:r>
        <w:rPr>
          <w:rFonts w:ascii="Consolas" w:cs="Consolas" w:eastAsia="Consolas" w:hAnsi="Consolas"/>
          <w:sz w:val="19"/>
          <w:szCs w:val="19"/>
        </w:rPr>
        <w:t xml:space="preserve">7bc0bff — Fase 27f: Caja por turno por local + RLS restrictivas finales de multi-sucursal</w:t>
      </w:r>
    </w:p>
    <w:p>
      <w:pPr>
        <w:spacing w:before="200"/>
      </w:pPr>
    </w:p>
    <w:p>
      <w:pPr>
        <w:spacing w:after="160" w:line="276"/>
      </w:pPr>
      <w:r>
        <w:rPr>
          <w:i/>
          <w:iCs/>
          <w:color w:val="595959"/>
          <w:sz w:val="20"/>
          <w:szCs w:val="20"/>
        </w:rPr>
        <w:t xml:space="preserve">Las sub-fases 27a y 27b se completaron en una sesión anterior a la cubierta por este documento; su código quedó integrado en el mismo commit que 27c (a937129).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2026-08-05T19:33:51.820Z</dcterms:created>
  <dcterms:modified xsi:type="dcterms:W3CDTF">2026-08-05T19:33:51.821Z</dcterms:modified>
</cp:coreProperties>
</file>

<file path=docProps/custom.xml><?xml version="1.0" encoding="utf-8"?>
<Properties xmlns="http://schemas.openxmlformats.org/officeDocument/2006/custom-properties" xmlns:vt="http://schemas.openxmlformats.org/officeDocument/2006/docPropsVTypes"/>
</file>