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0000E0"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</w:tcPr>
          <w:p w:rsidR="000000E0" w:rsidRDefault="00BD6880">
            <w:pPr>
              <w:jc w:val="right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1188720" cy="1188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lowerflow_transparen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7" w:type="dxa"/>
            <w:tcBorders>
              <w:top w:val="nil"/>
              <w:left w:val="nil"/>
              <w:bottom w:val="nil"/>
              <w:right w:val="nil"/>
            </w:tcBorders>
          </w:tcPr>
          <w:p w:rsidR="000000E0" w:rsidRDefault="00BD6880">
            <w:pPr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1417320" cy="14173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florecehermosillo_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900"/>
        <w:jc w:val="center"/>
        <w:rPr>
          <w:rFonts w:hint="eastAsia"/>
        </w:rPr>
      </w:pPr>
      <w:r>
        <w:rPr>
          <w:b/>
          <w:caps/>
          <w:color w:val="167C5B"/>
          <w:sz w:val="30"/>
        </w:rPr>
        <w:t>MANUAL DE USUARIO</w:t>
      </w:r>
    </w:p>
    <w:p w:rsidR="000000E0" w:rsidRDefault="00BD6880">
      <w:pPr>
        <w:spacing w:after="160"/>
        <w:jc w:val="center"/>
        <w:rPr>
          <w:rFonts w:hint="eastAsia"/>
        </w:rPr>
      </w:pPr>
      <w:r>
        <w:rPr>
          <w:b/>
          <w:sz w:val="68"/>
        </w:rPr>
        <w:t>Rol de Juez</w:t>
      </w:r>
    </w:p>
    <w:p w:rsidR="000000E0" w:rsidRDefault="00BD6880">
      <w:pPr>
        <w:spacing w:after="560"/>
        <w:jc w:val="center"/>
        <w:rPr>
          <w:rFonts w:hint="eastAsia"/>
        </w:rPr>
      </w:pPr>
      <w:r>
        <w:rPr>
          <w:b/>
          <w:color w:val="E23A0A"/>
          <w:sz w:val="34"/>
        </w:rPr>
        <w:t>Hermosillo Florece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94"/>
      </w:tblGrid>
      <w:tr w:rsidR="000000E0">
        <w:tc>
          <w:tcPr>
            <w:tcW w:w="9994" w:type="dxa"/>
            <w:shd w:val="clear" w:color="auto" w:fill="0B5C42"/>
            <w:tcMar>
              <w:top w:w="280" w:type="dxa"/>
              <w:left w:w="300" w:type="dxa"/>
              <w:bottom w:w="280" w:type="dxa"/>
              <w:right w:w="30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30"/>
              </w:rPr>
              <w:t>Una guía clara para activar tu cuenta, revisar proyectos y enviar evaluaciones con confianza.</w:t>
            </w:r>
          </w:p>
        </w:tc>
      </w:tr>
    </w:tbl>
    <w:p w:rsidR="000000E0" w:rsidRDefault="000000E0">
      <w:pPr>
        <w:spacing w:after="240"/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97"/>
        <w:gridCol w:w="4997"/>
      </w:tblGrid>
      <w:tr w:rsidR="000000E0">
        <w:tc>
          <w:tcPr>
            <w:tcW w:w="4997" w:type="dxa"/>
            <w:shd w:val="clear" w:color="auto" w:fill="EAF5F0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0B5C42"/>
                <w:sz w:val="19"/>
              </w:rPr>
              <w:t>Audiencia</w:t>
            </w:r>
          </w:p>
        </w:tc>
        <w:tc>
          <w:tcPr>
            <w:tcW w:w="4997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9"/>
              </w:rPr>
              <w:t>Jueces registrados</w:t>
            </w:r>
          </w:p>
        </w:tc>
      </w:tr>
      <w:tr w:rsidR="000000E0">
        <w:tc>
          <w:tcPr>
            <w:tcW w:w="4997" w:type="dxa"/>
            <w:shd w:val="clear" w:color="auto" w:fill="EAF5F0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0B5C42"/>
                <w:sz w:val="19"/>
              </w:rPr>
              <w:t>Edición</w:t>
            </w:r>
          </w:p>
        </w:tc>
        <w:tc>
          <w:tcPr>
            <w:tcW w:w="4997" w:type="dxa"/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9"/>
              </w:rPr>
              <w:t>1.0 · 25 de agosto de 2026</w:t>
            </w:r>
          </w:p>
        </w:tc>
      </w:tr>
    </w:tbl>
    <w:p w:rsidR="00C15267" w:rsidRDefault="00C15267">
      <w:pPr>
        <w:spacing w:before="840"/>
        <w:jc w:val="center"/>
        <w:rPr>
          <w:b/>
          <w:caps/>
          <w:color w:val="0B5C42"/>
          <w:sz w:val="18"/>
        </w:rPr>
      </w:pPr>
    </w:p>
    <w:p w:rsidR="000000E0" w:rsidRDefault="00BD6880">
      <w:pPr>
        <w:spacing w:before="840"/>
        <w:jc w:val="center"/>
        <w:rPr>
          <w:rFonts w:hint="eastAsia"/>
        </w:rPr>
      </w:pPr>
      <w:r>
        <w:rPr>
          <w:b/>
          <w:caps/>
          <w:color w:val="0B5C42"/>
          <w:sz w:val="18"/>
        </w:rPr>
        <w:t>FLOWER FLOW  ·  FLORECE HERMOSILLO</w:t>
      </w:r>
    </w:p>
    <w:p w:rsidR="000000E0" w:rsidRDefault="00BD6880">
      <w:pPr>
        <w:pStyle w:val="Ttulo1"/>
        <w:pageBreakBefore/>
      </w:pPr>
      <w:r>
        <w:lastRenderedPageBreak/>
        <w:t>Cómo usar este manual</w:t>
      </w:r>
    </w:p>
    <w:p w:rsidR="000000E0" w:rsidRDefault="00BD6880">
      <w:pPr>
        <w:spacing w:after="140"/>
        <w:rPr>
          <w:rFonts w:hint="eastAsia"/>
        </w:rPr>
      </w:pPr>
      <w:r>
        <w:t xml:space="preserve">Este manual acompaña todo el recorrido de una persona juez, desde la invitación inicial hasta el envío de una evaluación. 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0B5C42"/>
              <w:bottom w:val="nil"/>
              <w:right w:val="nil"/>
            </w:tcBorders>
            <w:shd w:val="clear" w:color="auto" w:fill="E7F7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0B5C42"/>
              </w:rPr>
              <w:t>✓</w:t>
            </w:r>
            <w:r>
              <w:rPr>
                <w:b/>
                <w:color w:val="0B5C42"/>
              </w:rPr>
              <w:t xml:space="preserve"> Antes de comenzar: </w:t>
            </w:r>
            <w:r>
              <w:t>Ten a la mano el correo de invitación y utiliza un dispositivo de confianza. La plataforma funciona en computadora, tableta y teléfono.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t>Convenciones visuales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259"/>
        <w:gridCol w:w="6095"/>
      </w:tblGrid>
      <w:tr w:rsidR="000000E0" w:rsidTr="00C15267">
        <w:trPr>
          <w:tblHeader/>
          <w:jc w:val="center"/>
        </w:trPr>
        <w:tc>
          <w:tcPr>
            <w:tcW w:w="3259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En el manual</w:t>
            </w:r>
          </w:p>
        </w:tc>
        <w:tc>
          <w:tcPr>
            <w:tcW w:w="609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 w:rsidR="000000E0" w:rsidTr="00C15267">
        <w:trPr>
          <w:cantSplit/>
          <w:jc w:val="center"/>
        </w:trPr>
        <w:tc>
          <w:tcPr>
            <w:tcW w:w="3259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Texto en negritas</w:t>
            </w:r>
          </w:p>
        </w:tc>
        <w:tc>
          <w:tcPr>
            <w:tcW w:w="609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Es el nombre exacto de un botón, menú o enlace que verás en pantalla.</w:t>
            </w:r>
          </w:p>
        </w:tc>
      </w:tr>
      <w:tr w:rsidR="000000E0" w:rsidTr="00C15267">
        <w:trPr>
          <w:cantSplit/>
          <w:jc w:val="center"/>
        </w:trPr>
        <w:tc>
          <w:tcPr>
            <w:tcW w:w="3259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Bloque verde o azul</w:t>
            </w:r>
          </w:p>
        </w:tc>
        <w:tc>
          <w:tcPr>
            <w:tcW w:w="609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Es una recomendación para completar el flujo con mayor tranquilidad.</w:t>
            </w:r>
          </w:p>
        </w:tc>
      </w:tr>
      <w:tr w:rsidR="000000E0" w:rsidTr="00C15267">
        <w:trPr>
          <w:cantSplit/>
          <w:jc w:val="center"/>
        </w:trPr>
        <w:tc>
          <w:tcPr>
            <w:tcW w:w="3259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Bloque amarillo</w:t>
            </w:r>
          </w:p>
        </w:tc>
        <w:tc>
          <w:tcPr>
            <w:tcW w:w="609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 xml:space="preserve">Es una advertencia que debes leer antes de </w:t>
            </w:r>
            <w:r>
              <w:rPr>
                <w:sz w:val="18"/>
              </w:rPr>
              <w:t>continuar.</w:t>
            </w:r>
          </w:p>
        </w:tc>
      </w:tr>
      <w:tr w:rsidR="000000E0" w:rsidTr="00C15267">
        <w:trPr>
          <w:cantSplit/>
          <w:jc w:val="center"/>
        </w:trPr>
        <w:tc>
          <w:tcPr>
            <w:tcW w:w="3259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Captura de pantalla</w:t>
            </w:r>
          </w:p>
        </w:tc>
        <w:tc>
          <w:tcPr>
            <w:tcW w:w="609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Muestra el lugar exacto donde encontrarás la acción descrita.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t>Ruta rápida de una evaluación</w:t>
      </w:r>
    </w:p>
    <w:p w:rsidR="00C15267" w:rsidRPr="00C15267" w:rsidRDefault="00C15267" w:rsidP="00C1526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0000E0">
        <w:tc>
          <w:tcPr>
            <w:tcW w:w="24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67C5B"/>
            <w:tcMar>
              <w:top w:w="150" w:type="dxa"/>
              <w:left w:w="90" w:type="dxa"/>
              <w:bottom w:w="150" w:type="dxa"/>
              <w:right w:w="9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8"/>
              </w:rPr>
              <w:t>1</w:t>
            </w:r>
            <w:r>
              <w:rPr>
                <w:b/>
                <w:color w:val="FFFFFF"/>
                <w:sz w:val="28"/>
              </w:rPr>
              <w:br/>
            </w:r>
            <w:r>
              <w:rPr>
                <w:b/>
                <w:color w:val="FFFFFF"/>
                <w:sz w:val="18"/>
              </w:rPr>
              <w:t>Inicio</w:t>
            </w:r>
            <w:r>
              <w:rPr>
                <w:b/>
                <w:color w:val="FFFFFF"/>
                <w:sz w:val="18"/>
              </w:rPr>
              <w:br/>
            </w:r>
            <w:r>
              <w:rPr>
                <w:color w:val="FFFFFF"/>
                <w:sz w:val="16"/>
              </w:rPr>
              <w:t>Abre la asignación</w:t>
            </w:r>
          </w:p>
        </w:tc>
        <w:tc>
          <w:tcPr>
            <w:tcW w:w="24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F0"/>
            <w:tcMar>
              <w:top w:w="150" w:type="dxa"/>
              <w:left w:w="90" w:type="dxa"/>
              <w:bottom w:w="150" w:type="dxa"/>
              <w:right w:w="9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b/>
                <w:color w:val="0B5C42"/>
                <w:sz w:val="28"/>
              </w:rPr>
              <w:t>2</w:t>
            </w:r>
            <w:r>
              <w:rPr>
                <w:b/>
                <w:color w:val="0B5C42"/>
                <w:sz w:val="28"/>
              </w:rPr>
              <w:br/>
            </w:r>
            <w:r>
              <w:rPr>
                <w:b/>
                <w:color w:val="0B5C42"/>
                <w:sz w:val="18"/>
              </w:rPr>
              <w:t>Proyecto</w:t>
            </w:r>
            <w:r>
              <w:rPr>
                <w:b/>
                <w:color w:val="0B5C42"/>
                <w:sz w:val="18"/>
              </w:rPr>
              <w:br/>
            </w:r>
            <w:r>
              <w:rPr>
                <w:sz w:val="16"/>
              </w:rPr>
              <w:t>Revisa la información</w:t>
            </w:r>
          </w:p>
        </w:tc>
        <w:tc>
          <w:tcPr>
            <w:tcW w:w="24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F0"/>
            <w:tcMar>
              <w:top w:w="150" w:type="dxa"/>
              <w:left w:w="90" w:type="dxa"/>
              <w:bottom w:w="150" w:type="dxa"/>
              <w:right w:w="9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b/>
                <w:color w:val="0B5C42"/>
                <w:sz w:val="28"/>
              </w:rPr>
              <w:t>3</w:t>
            </w:r>
            <w:r>
              <w:rPr>
                <w:b/>
                <w:color w:val="0B5C42"/>
                <w:sz w:val="28"/>
              </w:rPr>
              <w:br/>
            </w:r>
            <w:r>
              <w:rPr>
                <w:b/>
                <w:color w:val="0B5C42"/>
                <w:sz w:val="18"/>
              </w:rPr>
              <w:t>Evaluación</w:t>
            </w:r>
            <w:r>
              <w:rPr>
                <w:b/>
                <w:color w:val="0B5C42"/>
                <w:sz w:val="18"/>
              </w:rPr>
              <w:br/>
            </w:r>
            <w:r>
              <w:rPr>
                <w:sz w:val="16"/>
              </w:rPr>
              <w:t>Captura y guarda</w:t>
            </w:r>
          </w:p>
        </w:tc>
        <w:tc>
          <w:tcPr>
            <w:tcW w:w="249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5F0"/>
            <w:tcMar>
              <w:top w:w="150" w:type="dxa"/>
              <w:left w:w="90" w:type="dxa"/>
              <w:bottom w:w="150" w:type="dxa"/>
              <w:right w:w="9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b/>
                <w:color w:val="0B5C42"/>
                <w:sz w:val="28"/>
              </w:rPr>
              <w:t>4</w:t>
            </w:r>
            <w:r>
              <w:rPr>
                <w:b/>
                <w:color w:val="0B5C42"/>
                <w:sz w:val="28"/>
              </w:rPr>
              <w:br/>
            </w:r>
            <w:r>
              <w:rPr>
                <w:b/>
                <w:color w:val="0B5C42"/>
                <w:sz w:val="18"/>
              </w:rPr>
              <w:t>Enviar</w:t>
            </w:r>
            <w:r>
              <w:rPr>
                <w:b/>
                <w:color w:val="0B5C42"/>
                <w:sz w:val="18"/>
              </w:rPr>
              <w:br/>
            </w:r>
            <w:r>
              <w:rPr>
                <w:sz w:val="16"/>
              </w:rPr>
              <w:t>Confirma y sella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1"/>
        <w:pageBreakBefore/>
      </w:pPr>
      <w:r>
        <w:lastRenderedPageBreak/>
        <w:t>1. Bienvenida y activación de cuenta</w:t>
      </w:r>
    </w:p>
    <w:p w:rsidR="000000E0" w:rsidRDefault="00BD6880" w:rsidP="00592700">
      <w:pPr>
        <w:spacing w:after="140"/>
        <w:jc w:val="both"/>
        <w:rPr>
          <w:rFonts w:hint="eastAsia"/>
        </w:rPr>
      </w:pPr>
      <w:r>
        <w:t xml:space="preserve">Tu </w:t>
      </w:r>
      <w:r>
        <w:t>acceso comienza con un correo de invitación enviado por Flower Flow. Ese mensaje confirma que se creó una cuenta de juez para ti y contiene un enlace personal de un solo uso.</w:t>
      </w:r>
    </w:p>
    <w:p w:rsidR="000000E0" w:rsidRDefault="00BD6880">
      <w:pPr>
        <w:pStyle w:val="Ttulo2"/>
      </w:pPr>
      <w:r>
        <w:t>1.1 Abre el correo de invitación</w:t>
      </w:r>
    </w:p>
    <w:p w:rsidR="00C15267" w:rsidRDefault="00C15267">
      <w:pPr>
        <w:spacing w:after="100" w:line="269" w:lineRule="auto"/>
        <w:ind w:left="403" w:hanging="317"/>
        <w:rPr>
          <w:rFonts w:ascii="Consolas" w:hAnsi="Consolas"/>
          <w:b/>
          <w:color w:val="E23A0A"/>
          <w:sz w:val="19"/>
        </w:rPr>
      </w:pPr>
      <w:r>
        <w:rPr>
          <w:rFonts w:ascii="Consolas" w:hAnsi="Consolas"/>
          <w:b/>
          <w:color w:val="E23A0A"/>
          <w:sz w:val="19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8.95pt;height:294.05pt">
            <v:imagedata r:id="rId10" o:title="confirmacion_email"/>
          </v:shape>
        </w:pic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>1</w:t>
      </w:r>
      <w:r>
        <w:rPr>
          <w:b/>
          <w:color w:val="0B5C42"/>
        </w:rPr>
        <w:t xml:space="preserve">. </w:t>
      </w:r>
      <w:r>
        <w:t>Abre el correo con el asunto relacionado con la configuración de tu acceso de juez.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Comprueba que el mensaje identifica a Flower Flow y Florece Hermosillo.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Haz clic en </w:t>
      </w:r>
      <w:r>
        <w:rPr>
          <w:b/>
        </w:rPr>
        <w:t>Establecer mi contraseña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>Continúa antes de la fecha y hora de vencimiento qu</w:t>
      </w:r>
      <w:r>
        <w:t>e aparecen en el mensaje.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B7860B"/>
              <w:bottom w:val="nil"/>
              <w:right w:val="nil"/>
            </w:tcBorders>
            <w:shd w:val="clear" w:color="auto" w:fill="FFF1C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B7860B"/>
              </w:rPr>
              <w:t>⚠</w:t>
            </w:r>
            <w:r>
              <w:rPr>
                <w:b/>
                <w:color w:val="B7860B"/>
              </w:rPr>
              <w:t xml:space="preserve"> </w:t>
            </w:r>
            <w:r w:rsidR="00592700">
              <w:rPr>
                <w:b/>
                <w:color w:val="B7860B"/>
              </w:rPr>
              <w:t xml:space="preserve"> </w:t>
            </w:r>
            <w:r>
              <w:rPr>
                <w:b/>
                <w:color w:val="B7860B"/>
              </w:rPr>
              <w:t xml:space="preserve">Seguridad: </w:t>
            </w:r>
            <w:r>
              <w:t>El enlace es personal, temporal y sólo puede utilizarse una vez. No lo reenvíes ni lo compartas.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lastRenderedPageBreak/>
        <w:t>1.2 Crea tu contraseña y verifica tu correo</w:t>
      </w:r>
    </w:p>
    <w:tbl>
      <w:tblPr>
        <w:tblW w:w="9477" w:type="dxa"/>
        <w:jc w:val="center"/>
        <w:tblLayout w:type="fixed"/>
        <w:tblLook w:val="04A0" w:firstRow="1" w:lastRow="0" w:firstColumn="1" w:lastColumn="0" w:noHBand="0" w:noVBand="1"/>
      </w:tblPr>
      <w:tblGrid>
        <w:gridCol w:w="9477"/>
      </w:tblGrid>
      <w:tr w:rsidR="000000E0" w:rsidTr="00C15267">
        <w:trPr>
          <w:cantSplit/>
          <w:jc w:val="center"/>
        </w:trPr>
        <w:tc>
          <w:tcPr>
            <w:tcW w:w="9477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629275" cy="4890433"/>
                  <wp:effectExtent l="0" t="0" r="0" b="5715"/>
                  <wp:docPr id="3" name="Picture 3" descr="Formulario para crear y confirmar la contraseña del juez y verificar su correo." title="Pantalla de activación de la cuenta de juez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activacion-cuen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2747" cy="48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 xml:space="preserve">Pantalla de </w:t>
      </w:r>
      <w:r>
        <w:rPr>
          <w:i/>
          <w:color w:val="65727D"/>
          <w:sz w:val="17"/>
        </w:rPr>
        <w:t>activación de la cuenta de juez.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Escribe tu contraseña en </w:t>
      </w:r>
      <w:r>
        <w:rPr>
          <w:b/>
        </w:rPr>
        <w:t>Nueva contraseña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 xml:space="preserve">Repítela en </w:t>
      </w:r>
      <w:r>
        <w:rPr>
          <w:b/>
        </w:rPr>
        <w:t>Confirmar nueva contraseña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Usa </w:t>
      </w:r>
      <w:r>
        <w:rPr>
          <w:b/>
        </w:rPr>
        <w:t>Mostrar</w:t>
      </w:r>
      <w:r>
        <w:t xml:space="preserve"> sólo si estás en un lugar privado y deseas revisar lo que escribiste.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 xml:space="preserve">Cuando todos los requisitos estén cumplidos, haz clic en </w:t>
      </w:r>
      <w:r>
        <w:rPr>
          <w:b/>
        </w:rPr>
        <w:t>Guardar contraseña y verificar correo</w:t>
      </w:r>
      <w:r>
        <w:t>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Debe tener al menos 8 caracteres.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Debe incluir una letra minúscula y una mayúscula.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Debe incluir al menos un número.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Debe incluir al menos un símbolo, por ejemp</w:t>
      </w:r>
      <w:r>
        <w:rPr>
          <w:sz w:val="21"/>
        </w:rPr>
        <w:t>lo: !, @ o #.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592700">
        <w:tc>
          <w:tcPr>
            <w:tcW w:w="9994" w:type="dxa"/>
            <w:tcBorders>
              <w:top w:val="nil"/>
              <w:left w:val="single" w:sz="18" w:space="0" w:color="167C5B"/>
              <w:bottom w:val="nil"/>
              <w:right w:val="nil"/>
            </w:tcBorders>
            <w:shd w:val="clear" w:color="auto" w:fill="EAF5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C15267" w:rsidP="00592700">
            <w:pPr>
              <w:spacing w:after="0"/>
              <w:rPr>
                <w:rFonts w:hint="eastAsia"/>
              </w:rPr>
            </w:pPr>
            <w:r w:rsidRPr="00592700">
              <w:rPr>
                <w:rFonts w:ascii="Segoe UI Symbol" w:hAnsi="Segoe UI Symbol" w:cs="Segoe UI Symbol"/>
                <w:b/>
                <w:color w:val="167C5B"/>
              </w:rPr>
              <w:t>✓</w:t>
            </w:r>
            <w:r>
              <w:rPr>
                <w:b/>
                <w:color w:val="0B5C42"/>
              </w:rPr>
              <w:t xml:space="preserve"> </w:t>
            </w:r>
            <w:r w:rsidR="00BD6880">
              <w:rPr>
                <w:b/>
                <w:color w:val="167C5B"/>
              </w:rPr>
              <w:t xml:space="preserve">Confirmación automática: </w:t>
            </w:r>
            <w:r w:rsidR="00BD6880">
              <w:t>Al guardar la contraseña, tu correo queda verificado en la misma operación. No necesitas esperar ni abrir un segundo correo.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t>1.3 Inicia sesión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806440" cy="3629025"/>
                  <wp:effectExtent l="0" t="0" r="0" b="0"/>
                  <wp:docPr id="4" name="Picture 4" descr="Formulario de inicio de sesión del juez con correo, contraseña y botón Entrar." title="Acceso exclusivo al área de evaluac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inicio-sesion-juez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Acceso</w:t>
      </w:r>
      <w:r>
        <w:rPr>
          <w:i/>
          <w:color w:val="65727D"/>
          <w:sz w:val="17"/>
        </w:rPr>
        <w:t xml:space="preserve"> exclusivo al área de evaluación.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Escribe el mismo correo en </w:t>
      </w:r>
      <w:r>
        <w:rPr>
          <w:b/>
        </w:rPr>
        <w:t>Correo electrónico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Escribe la contraseña que acabas de crear.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Haz clic en </w:t>
      </w:r>
      <w:r>
        <w:rPr>
          <w:b/>
        </w:rPr>
        <w:t>Entrar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 xml:space="preserve">Si olvidaste tu contraseña, elige </w:t>
      </w:r>
      <w:r>
        <w:rPr>
          <w:b/>
        </w:rPr>
        <w:t>Olvidé mi contraseña</w:t>
      </w:r>
      <w:r>
        <w:t xml:space="preserve"> y sigue las instrucciones.</w:t>
      </w:r>
    </w:p>
    <w:p w:rsidR="000000E0" w:rsidRDefault="00BD6880">
      <w:pPr>
        <w:pStyle w:val="Ttulo1"/>
        <w:pageBreakBefore/>
      </w:pPr>
      <w:r>
        <w:lastRenderedPageBreak/>
        <w:t xml:space="preserve">2. Pantalla de </w:t>
      </w:r>
      <w:r>
        <w:t>inicio — Panel principal</w:t>
      </w:r>
    </w:p>
    <w:p w:rsidR="000000E0" w:rsidRDefault="00BD6880">
      <w:pPr>
        <w:spacing w:after="140"/>
        <w:rPr>
          <w:rFonts w:hint="eastAsia"/>
        </w:rPr>
      </w:pPr>
      <w:r>
        <w:t>Al entrar verás un resumen de tu trabajo. Esta pantalla te ayuda a saber qué requiere atención sin abrir cada asignación.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806440" cy="3629025"/>
                  <wp:effectExtent l="0" t="0" r="0" b="0"/>
                  <wp:docPr id="5" name="Picture 5" descr="Panel con los contadores de asignaciones, Siguiente paso y Flujo sencillo." title="Panel principal del juez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-panel-principa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Panel principal del juez.</w:t>
      </w:r>
    </w:p>
    <w:p w:rsidR="000000E0" w:rsidRDefault="00BD6880">
      <w:pPr>
        <w:pStyle w:val="Ttulo2"/>
      </w:pPr>
      <w:r>
        <w:t>2.1 Entiende los contadores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692"/>
        <w:gridCol w:w="6662"/>
      </w:tblGrid>
      <w:tr w:rsidR="000000E0" w:rsidTr="00F93C05">
        <w:trPr>
          <w:tblHeader/>
          <w:jc w:val="center"/>
        </w:trPr>
        <w:tc>
          <w:tcPr>
            <w:tcW w:w="269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Contador</w:t>
            </w:r>
          </w:p>
        </w:tc>
        <w:tc>
          <w:tcPr>
            <w:tcW w:w="666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Qué te indica</w:t>
            </w:r>
          </w:p>
        </w:tc>
      </w:tr>
      <w:tr w:rsidR="000000E0" w:rsidTr="00F93C05">
        <w:trPr>
          <w:cantSplit/>
          <w:jc w:val="center"/>
        </w:trPr>
        <w:tc>
          <w:tcPr>
            <w:tcW w:w="269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Vigentes</w:t>
            </w:r>
          </w:p>
        </w:tc>
        <w:tc>
          <w:tcPr>
            <w:tcW w:w="666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Asignaciones que permanecen activas y que todavía puedes consultar o evaluar.</w:t>
            </w:r>
          </w:p>
        </w:tc>
      </w:tr>
      <w:tr w:rsidR="000000E0" w:rsidTr="00F93C05">
        <w:trPr>
          <w:cantSplit/>
          <w:jc w:val="center"/>
        </w:trPr>
        <w:tc>
          <w:tcPr>
            <w:tcW w:w="269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Sin iniciar</w:t>
            </w:r>
          </w:p>
        </w:tc>
        <w:tc>
          <w:tcPr>
            <w:tcW w:w="666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Asignaciones en las que aún no has creado un borrador de evaluación.</w:t>
            </w:r>
          </w:p>
        </w:tc>
      </w:tr>
      <w:tr w:rsidR="000000E0" w:rsidTr="00F93C05">
        <w:trPr>
          <w:cantSplit/>
          <w:jc w:val="center"/>
        </w:trPr>
        <w:tc>
          <w:tcPr>
            <w:tcW w:w="269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Borradores en progreso</w:t>
            </w:r>
          </w:p>
        </w:tc>
        <w:tc>
          <w:tcPr>
            <w:tcW w:w="666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 xml:space="preserve">Evaluaciones que ya comenzaste pero </w:t>
            </w:r>
            <w:r>
              <w:rPr>
                <w:sz w:val="18"/>
              </w:rPr>
              <w:t>todavía no has enviado.</w:t>
            </w:r>
          </w:p>
        </w:tc>
      </w:tr>
      <w:tr w:rsidR="000000E0" w:rsidTr="00F93C05">
        <w:trPr>
          <w:cantSplit/>
          <w:jc w:val="center"/>
        </w:trPr>
        <w:tc>
          <w:tcPr>
            <w:tcW w:w="269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Próximas a vencer</w:t>
            </w:r>
          </w:p>
        </w:tc>
        <w:tc>
          <w:tcPr>
            <w:tcW w:w="6662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Asignaciones cuyo plazo termina dentro de las próximas 48 horas.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0B5C42"/>
              <w:bottom w:val="nil"/>
              <w:right w:val="nil"/>
            </w:tcBorders>
            <w:shd w:val="clear" w:color="auto" w:fill="E7F7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0B5C42"/>
              </w:rPr>
              <w:t>✓</w:t>
            </w:r>
            <w:r>
              <w:rPr>
                <w:b/>
                <w:color w:val="0B5C42"/>
              </w:rPr>
              <w:t xml:space="preserve"> Lectura rápida: </w:t>
            </w:r>
            <w:r>
              <w:t>Un cero no es un error. Significa que en ese momento no tienes asignaciones dentro de esa situación.</w:t>
            </w:r>
          </w:p>
        </w:tc>
      </w:tr>
    </w:tbl>
    <w:p w:rsidR="000000E0" w:rsidRDefault="00BD6880">
      <w:pPr>
        <w:pStyle w:val="Ttulo2"/>
      </w:pPr>
      <w:r>
        <w:lastRenderedPageBreak/>
        <w:t>2.2 Usa “Siguiente paso”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Localiza la tarjeta </w:t>
      </w:r>
      <w:r>
        <w:rPr>
          <w:b/>
        </w:rPr>
        <w:t>Siguiente paso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Revisa el identificador de la asignación con el plazo más próximo.</w:t>
      </w:r>
    </w:p>
    <w:p w:rsidR="000000E0" w:rsidRDefault="00BD6880">
      <w:pPr>
        <w:spacing w:after="100" w:line="269" w:lineRule="auto"/>
        <w:ind w:left="403" w:hanging="317"/>
      </w:pPr>
      <w:r>
        <w:rPr>
          <w:b/>
          <w:color w:val="0B5C42"/>
        </w:rPr>
        <w:t xml:space="preserve">3. </w:t>
      </w:r>
      <w:r>
        <w:t xml:space="preserve">Haz clic en </w:t>
      </w:r>
      <w:r>
        <w:rPr>
          <w:b/>
        </w:rPr>
        <w:t>Abrir siguiente asignación</w:t>
      </w:r>
      <w:r>
        <w:t xml:space="preserve"> para ir directamente a su detalle.</w:t>
      </w:r>
    </w:p>
    <w:p w:rsidR="00C15267" w:rsidRDefault="00C15267">
      <w:pPr>
        <w:spacing w:after="100" w:line="269" w:lineRule="auto"/>
        <w:ind w:left="403" w:hanging="317"/>
        <w:rPr>
          <w:rFonts w:hint="eastAsia"/>
        </w:rPr>
      </w:pPr>
    </w:p>
    <w:p w:rsidR="000000E0" w:rsidRDefault="00BD6880">
      <w:pPr>
        <w:pStyle w:val="Ttulo2"/>
      </w:pPr>
      <w:r>
        <w:t>2.3 Sigue el “Flujo sencillo”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>Abre la asignación.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Revisa el paqu</w:t>
      </w:r>
      <w:r>
        <w:t>ete ciego del proyecto.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>Inicia o continúa la evaluación.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>Guarda tu borrador.</w:t>
      </w:r>
    </w:p>
    <w:p w:rsidR="000000E0" w:rsidRDefault="00BD6880">
      <w:pPr>
        <w:spacing w:after="100" w:line="269" w:lineRule="auto"/>
        <w:ind w:left="403" w:hanging="317"/>
      </w:pPr>
      <w:r>
        <w:rPr>
          <w:b/>
          <w:color w:val="0B5C42"/>
        </w:rPr>
        <w:t xml:space="preserve">5. </w:t>
      </w:r>
      <w:r>
        <w:t>Revisa y confirma el envío.</w:t>
      </w:r>
    </w:p>
    <w:p w:rsidR="00F93C05" w:rsidRDefault="00F93C05">
      <w:pPr>
        <w:spacing w:after="100" w:line="269" w:lineRule="auto"/>
        <w:ind w:left="403" w:hanging="317"/>
        <w:rPr>
          <w:rFonts w:hint="eastAsia"/>
        </w:rPr>
      </w:pP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B7860B"/>
              <w:bottom w:val="nil"/>
              <w:right w:val="nil"/>
            </w:tcBorders>
            <w:shd w:val="clear" w:color="auto" w:fill="FFF1C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B7860B"/>
              </w:rPr>
              <w:t>⚠</w:t>
            </w:r>
            <w:r>
              <w:rPr>
                <w:b/>
                <w:color w:val="B7860B"/>
              </w:rPr>
              <w:t xml:space="preserve"> </w:t>
            </w:r>
            <w:r w:rsidR="00592700">
              <w:rPr>
                <w:b/>
                <w:color w:val="B7860B"/>
              </w:rPr>
              <w:t xml:space="preserve"> </w:t>
            </w:r>
            <w:r>
              <w:rPr>
                <w:b/>
                <w:color w:val="B7860B"/>
              </w:rPr>
              <w:t xml:space="preserve">Muy importante: </w:t>
            </w:r>
            <w:r>
              <w:t>Cuando envías una evaluación, la revisión queda sellada y ya no puedes modificarla</w:t>
            </w:r>
            <w:r w:rsidR="00592700">
              <w:t>, se tendría que solicitor al administrador</w:t>
            </w:r>
            <w:r>
              <w:t>. Revisa todo antes de confirmar.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lastRenderedPageBreak/>
        <w:t xml:space="preserve">2.4 </w:t>
      </w:r>
      <w:r>
        <w:t>Navega desde un teléfono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1874519" cy="6911688"/>
                  <wp:effectExtent l="0" t="0" r="0" b="0"/>
                  <wp:docPr id="6" name="Picture 6" descr="Vista móvil del panel con contadores apilados y botón de menú." title="Panel principal adaptado a teléfon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-panel-movi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6911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Panel principal adaptado a teléfono.</w:t>
      </w:r>
    </w:p>
    <w:p w:rsidR="000000E0" w:rsidRDefault="00BD6880" w:rsidP="00592700">
      <w:pPr>
        <w:spacing w:after="140"/>
        <w:jc w:val="both"/>
        <w:rPr>
          <w:rFonts w:hint="eastAsia"/>
        </w:rPr>
      </w:pPr>
      <w:r>
        <w:t xml:space="preserve">En una pantalla pequeña, toca el botón de menú de la esquina superior izquierda para abrir </w:t>
      </w:r>
      <w:r>
        <w:rPr>
          <w:b/>
        </w:rPr>
        <w:t>Inicio</w:t>
      </w:r>
      <w:r>
        <w:t xml:space="preserve">, </w:t>
      </w:r>
      <w:r>
        <w:rPr>
          <w:b/>
        </w:rPr>
        <w:t>Mis asignaciones</w:t>
      </w:r>
      <w:r>
        <w:t xml:space="preserve">, </w:t>
      </w:r>
      <w:r>
        <w:rPr>
          <w:b/>
        </w:rPr>
        <w:t>Cuenta y seguri</w:t>
      </w:r>
      <w:r>
        <w:rPr>
          <w:b/>
        </w:rPr>
        <w:t>dad</w:t>
      </w:r>
      <w:r>
        <w:t xml:space="preserve"> o </w:t>
      </w:r>
      <w:r>
        <w:rPr>
          <w:b/>
        </w:rPr>
        <w:t>Cerrar sesión</w:t>
      </w:r>
      <w:r>
        <w:t>. Los contadores se acomodan uno debajo del otro para evitar desplazamiento lateral.</w:t>
      </w:r>
    </w:p>
    <w:p w:rsidR="000000E0" w:rsidRDefault="00BD6880">
      <w:pPr>
        <w:pStyle w:val="Ttulo1"/>
        <w:pageBreakBefore/>
      </w:pPr>
      <w:r>
        <w:lastRenderedPageBreak/>
        <w:t>3. Mis asignaciones</w:t>
      </w:r>
    </w:p>
    <w:p w:rsidR="000000E0" w:rsidRDefault="00BD6880" w:rsidP="00592700">
      <w:pPr>
        <w:spacing w:after="140"/>
        <w:jc w:val="both"/>
        <w:rPr>
          <w:rFonts w:hint="eastAsia"/>
        </w:rPr>
      </w:pPr>
      <w:r>
        <w:t xml:space="preserve">El módulo </w:t>
      </w:r>
      <w:r>
        <w:rPr>
          <w:b/>
        </w:rPr>
        <w:t>Mis asignaciones</w:t>
      </w:r>
      <w:r>
        <w:t xml:space="preserve"> reúne todos los proyectos que la administración te ha asignado. Las asignaciones vigentes aparecen primero y se ordenan por el plazo más cercano.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806440" cy="3629025"/>
                  <wp:effectExtent l="0" t="0" r="0" b="0"/>
                  <wp:docPr id="7" name="Picture 7" descr="Tarjeta de una asignación activa con categoría, plazo, paquete, progreso y acción principal." title="Listado de asignaciones del juez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-mis-asignacion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Listado de asignaciones del juez.</w:t>
      </w:r>
    </w:p>
    <w:p w:rsidR="000000E0" w:rsidRDefault="00BD6880">
      <w:pPr>
        <w:pStyle w:val="Ttulo2"/>
      </w:pPr>
      <w:r>
        <w:t>3.1 Lee cada tarjeta</w:t>
      </w:r>
    </w:p>
    <w:tbl>
      <w:tblPr>
        <w:tblW w:w="9779" w:type="dxa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8221"/>
      </w:tblGrid>
      <w:tr w:rsidR="000000E0" w:rsidTr="00F93C05">
        <w:trPr>
          <w:tblHeader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Cómo utilizarlo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Asignación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Es el identificador que distingue el proyecto sin revelar la identidad de la persona participante.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Indica si la asignación está activa o si ya no admite acciones.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Categoría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Ubica el tema general al que pertenece el</w:t>
            </w:r>
            <w:r>
              <w:rPr>
                <w:sz w:val="18"/>
              </w:rPr>
              <w:t xml:space="preserve"> proyecto.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Plazo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Muestra la fecha y hora límite en horario de Hermosillo.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Paquete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Debe aparecer como Activo para consultar el proyecto y evaluarlo.</w:t>
            </w:r>
          </w:p>
        </w:tc>
      </w:tr>
      <w:tr w:rsidR="000000E0" w:rsidTr="00F93C05">
        <w:trPr>
          <w:cantSplit/>
          <w:jc w:val="center"/>
        </w:trPr>
        <w:tc>
          <w:tcPr>
            <w:tcW w:w="155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Progreso</w:t>
            </w:r>
          </w:p>
        </w:tc>
        <w:tc>
          <w:tcPr>
            <w:tcW w:w="822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 xml:space="preserve">Muestra cuántos criterios ya tienen puntaje. Antes de iniciar puede verse vacío o como Sin </w:t>
            </w:r>
            <w:r>
              <w:rPr>
                <w:sz w:val="18"/>
              </w:rPr>
              <w:t>iniciar.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t>3.2 Elige la acción correcta</w:t>
      </w:r>
    </w:p>
    <w:tbl>
      <w:tblPr>
        <w:tblW w:w="9496" w:type="dxa"/>
        <w:jc w:val="center"/>
        <w:tblLayout w:type="fixed"/>
        <w:tblLook w:val="04A0" w:firstRow="1" w:lastRow="0" w:firstColumn="1" w:lastColumn="0" w:noHBand="0" w:noVBand="1"/>
      </w:tblPr>
      <w:tblGrid>
        <w:gridCol w:w="2408"/>
        <w:gridCol w:w="2977"/>
        <w:gridCol w:w="4111"/>
      </w:tblGrid>
      <w:tr w:rsidR="000000E0" w:rsidTr="00F93C05">
        <w:trPr>
          <w:tblHeader/>
          <w:jc w:val="center"/>
        </w:trPr>
        <w:tc>
          <w:tcPr>
            <w:tcW w:w="240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Botón</w:t>
            </w:r>
          </w:p>
        </w:tc>
        <w:tc>
          <w:tcPr>
            <w:tcW w:w="2977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Cuándo aparece</w:t>
            </w:r>
          </w:p>
        </w:tc>
        <w:tc>
          <w:tcPr>
            <w:tcW w:w="411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Qué hace</w:t>
            </w:r>
          </w:p>
        </w:tc>
      </w:tr>
      <w:tr w:rsidR="000000E0" w:rsidTr="00F93C05">
        <w:trPr>
          <w:cantSplit/>
          <w:jc w:val="center"/>
        </w:trPr>
        <w:tc>
          <w:tcPr>
            <w:tcW w:w="240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Iniciar evaluación</w:t>
            </w:r>
          </w:p>
        </w:tc>
        <w:tc>
          <w:tcPr>
            <w:tcW w:w="2977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Todavía no existe un borrador.</w:t>
            </w:r>
          </w:p>
        </w:tc>
        <w:tc>
          <w:tcPr>
            <w:tcW w:w="411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Abre el detalle para comenzar el flujo.</w:t>
            </w:r>
          </w:p>
        </w:tc>
      </w:tr>
      <w:tr w:rsidR="000000E0" w:rsidTr="00F93C05">
        <w:trPr>
          <w:cantSplit/>
          <w:jc w:val="center"/>
        </w:trPr>
        <w:tc>
          <w:tcPr>
            <w:tcW w:w="240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Continuar evaluación</w:t>
            </w:r>
          </w:p>
        </w:tc>
        <w:tc>
          <w:tcPr>
            <w:tcW w:w="2977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Ya existe un borrador.</w:t>
            </w:r>
          </w:p>
        </w:tc>
        <w:tc>
          <w:tcPr>
            <w:tcW w:w="411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 xml:space="preserve">Regresa directamente a la captura de puntajes y </w:t>
            </w:r>
            <w:r>
              <w:rPr>
                <w:sz w:val="18"/>
              </w:rPr>
              <w:t>comentarios.</w:t>
            </w:r>
          </w:p>
        </w:tc>
      </w:tr>
      <w:tr w:rsidR="000000E0" w:rsidTr="00F93C05">
        <w:trPr>
          <w:cantSplit/>
          <w:jc w:val="center"/>
        </w:trPr>
        <w:tc>
          <w:tcPr>
            <w:tcW w:w="240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Ver evaluación</w:t>
            </w:r>
          </w:p>
        </w:tc>
        <w:tc>
          <w:tcPr>
            <w:tcW w:w="2977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La evaluación ya fue enviada.</w:t>
            </w:r>
          </w:p>
        </w:tc>
        <w:tc>
          <w:tcPr>
            <w:tcW w:w="411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Muestra la revisión sellada en modo de consulta.</w:t>
            </w:r>
          </w:p>
        </w:tc>
      </w:tr>
      <w:tr w:rsidR="000000E0" w:rsidTr="00F93C05">
        <w:trPr>
          <w:cantSplit/>
          <w:jc w:val="center"/>
        </w:trPr>
        <w:tc>
          <w:tcPr>
            <w:tcW w:w="2408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Ver detalle</w:t>
            </w:r>
          </w:p>
        </w:tc>
        <w:tc>
          <w:tcPr>
            <w:tcW w:w="2977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La asignación dejó de estar activa.</w:t>
            </w:r>
          </w:p>
        </w:tc>
        <w:tc>
          <w:tcPr>
            <w:tcW w:w="4111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Permite consultar la información disponible sin modificarla.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167C5B"/>
              <w:bottom w:val="nil"/>
              <w:right w:val="nil"/>
            </w:tcBorders>
            <w:shd w:val="clear" w:color="auto" w:fill="EAF5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C15267">
            <w:pPr>
              <w:spacing w:after="0"/>
              <w:rPr>
                <w:rFonts w:hint="eastAsia"/>
              </w:rPr>
            </w:pPr>
            <w:r>
              <w:rPr>
                <w:b/>
                <w:color w:val="0B5C42"/>
              </w:rPr>
              <w:t xml:space="preserve">✓ </w:t>
            </w:r>
            <w:r w:rsidR="00BD6880">
              <w:rPr>
                <w:b/>
                <w:color w:val="167C5B"/>
              </w:rPr>
              <w:t xml:space="preserve">Privacidad: </w:t>
            </w:r>
            <w:r w:rsidR="00BD6880">
              <w:t>En este listado no se</w:t>
            </w:r>
            <w:r w:rsidR="00BD6880">
              <w:t xml:space="preserve"> muestran nombres de participantes ni otros jueces. Trabaja siempre con el identificador de la asignación.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1"/>
        <w:pageBreakBefore/>
      </w:pPr>
      <w:r>
        <w:lastRenderedPageBreak/>
        <w:t>4. Detalle de la asignación — evaluación y conflictos</w:t>
      </w:r>
    </w:p>
    <w:p w:rsidR="000000E0" w:rsidRDefault="00BD6880">
      <w:pPr>
        <w:spacing w:after="140"/>
        <w:rPr>
          <w:rFonts w:hint="eastAsia"/>
        </w:rPr>
      </w:pPr>
      <w:r>
        <w:t>La evaluación se organiza como un recorrido de cuatro pasos. La barra superior siempre indica</w:t>
      </w:r>
      <w:r>
        <w:t xml:space="preserve"> dónde estás y qué pasos ya completaste.</w:t>
      </w:r>
    </w:p>
    <w:p w:rsidR="000000E0" w:rsidRDefault="00BD6880">
      <w:pPr>
        <w:pStyle w:val="Ttulo2"/>
      </w:pPr>
      <w:r>
        <w:t>4.1 Paso 1 — Decide cómo continuar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806440" cy="3778218"/>
                  <wp:effectExtent l="0" t="0" r="0" b="0"/>
                  <wp:docPr id="8" name="Picture 8" descr="Detalle de la asignación con Iniciar evaluación como acción principal y Declarar conflicto como opción secundaria." title="Paso 1: inicio de evaluación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-detalle-asignac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778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Paso 1: inicio de evaluación.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>Confirma la categoría, el plazo y el estado de la asignación.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 xml:space="preserve">Si puedes evaluar con imparcialidad, haz clic en </w:t>
      </w:r>
      <w:r>
        <w:rPr>
          <w:b/>
        </w:rPr>
        <w:t>Iniciar evaluación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Si ya habías comenzado, usa </w:t>
      </w:r>
      <w:r>
        <w:rPr>
          <w:b/>
        </w:rPr>
        <w:t>Continuar evaluación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 xml:space="preserve">Si existe una situación que impide evaluar con imparcialidad, no captures puntajes y utiliza </w:t>
      </w:r>
      <w:r>
        <w:rPr>
          <w:b/>
        </w:rPr>
        <w:t>Declarar conflicto</w:t>
      </w:r>
      <w:r>
        <w:t>.</w:t>
      </w:r>
    </w:p>
    <w:p w:rsidR="000000E0" w:rsidRDefault="00BD6880">
      <w:pPr>
        <w:pStyle w:val="Ttulo2"/>
      </w:pPr>
      <w:r>
        <w:lastRenderedPageBreak/>
        <w:t>4.3 Paso 2 — Revisa el proyecto asignado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713043" cy="6208967"/>
                  <wp:effectExtent l="0" t="0" r="2540" b="1905"/>
                  <wp:docPr id="9" name="Picture 9" descr="Pantalla con el contenido del proyecto, anonimización estructural, enlaces, anexos y exportaciones." title="Paso 2: proyecto asignado y paquete cieg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-proyecto-asignad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7587" cy="621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 xml:space="preserve">Paso 2: </w:t>
      </w:r>
      <w:r>
        <w:rPr>
          <w:i/>
          <w:color w:val="65727D"/>
          <w:sz w:val="17"/>
        </w:rPr>
        <w:t>proyecto asignado y paquete ciego.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>Lee el título, el resumen y la descripción completa.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Abre los enlaces externos únicamente cuando sean necesarios para valorar el proyecto.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En </w:t>
      </w:r>
      <w:r>
        <w:rPr>
          <w:b/>
        </w:rPr>
        <w:t>Anexos evaluables</w:t>
      </w:r>
      <w:r>
        <w:t xml:space="preserve"> utiliza </w:t>
      </w:r>
      <w:r>
        <w:rPr>
          <w:b/>
        </w:rPr>
        <w:t>Descargar anexo</w:t>
      </w:r>
      <w:r>
        <w:t xml:space="preserve"> para revisar cada archivo.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 xml:space="preserve">Si deseas una copia ordenada, utiliza </w:t>
      </w:r>
      <w:r>
        <w:rPr>
          <w:b/>
        </w:rPr>
        <w:t>Exportar PDF</w:t>
      </w:r>
      <w:r>
        <w:t xml:space="preserve"> o </w:t>
      </w:r>
      <w:r>
        <w:rPr>
          <w:b/>
        </w:rPr>
        <w:t>Exportar Excel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5. </w:t>
      </w:r>
      <w:r>
        <w:t xml:space="preserve">Cuando termines, haz clic en </w:t>
      </w:r>
      <w:r>
        <w:rPr>
          <w:b/>
        </w:rPr>
        <w:t>Ir a evaluación</w:t>
      </w:r>
      <w:r>
        <w:t>.</w:t>
      </w:r>
    </w:p>
    <w:p w:rsidR="000000E0" w:rsidRDefault="00BD6880">
      <w:pPr>
        <w:pStyle w:val="Ttulo2"/>
      </w:pPr>
      <w:r>
        <w:lastRenderedPageBreak/>
        <w:t>4.4 Qué significa “Anonimización estructural”</w:t>
      </w:r>
    </w:p>
    <w:p w:rsidR="000000E0" w:rsidRDefault="00BD6880" w:rsidP="00F93C05">
      <w:pPr>
        <w:spacing w:after="140"/>
        <w:jc w:val="both"/>
        <w:rPr>
          <w:rFonts w:hint="eastAsia"/>
        </w:rPr>
      </w:pPr>
      <w:r>
        <w:t xml:space="preserve">Flower Flow oculta los datos que la plataforma conoce por separado, como nombre, correo, </w:t>
      </w:r>
      <w:r>
        <w:t>teléfono, domicilio, notas internas y nombres originales de archivos. Por eso el juez trabaja con un paquete ciego y un identificador de asignación.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B7860B"/>
              <w:bottom w:val="nil"/>
              <w:right w:val="nil"/>
            </w:tcBorders>
            <w:shd w:val="clear" w:color="auto" w:fill="FFF1C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B7860B"/>
              </w:rPr>
              <w:t>⚠</w:t>
            </w:r>
            <w:r>
              <w:rPr>
                <w:b/>
                <w:color w:val="B7860B"/>
              </w:rPr>
              <w:t xml:space="preserve"> </w:t>
            </w:r>
            <w:r w:rsidR="00F93C05">
              <w:rPr>
                <w:b/>
                <w:color w:val="B7860B"/>
              </w:rPr>
              <w:t xml:space="preserve"> </w:t>
            </w:r>
            <w:r>
              <w:rPr>
                <w:b/>
                <w:color w:val="B7860B"/>
              </w:rPr>
              <w:t xml:space="preserve">Límite de la anonimización: </w:t>
            </w:r>
            <w:r>
              <w:t>El texto, los enlaces o los anexos fueron aportados por la persona participan</w:t>
            </w:r>
            <w:r>
              <w:t>te y podrían contener pistas sobre su identidad. La plataforma no puede prometer que el contenido sea anónimo por completo.</w:t>
            </w:r>
          </w:p>
        </w:tc>
      </w:tr>
    </w:tbl>
    <w:p w:rsidR="000000E0" w:rsidRDefault="00BD6880">
      <w:pPr>
        <w:pStyle w:val="Ttulo2"/>
      </w:pPr>
      <w:r>
        <w:t xml:space="preserve">4.5 </w:t>
      </w:r>
      <w:r>
        <w:t>Paso 3 — Captura la evaluación</w:t>
      </w:r>
    </w:p>
    <w:tbl>
      <w:tblPr>
        <w:tblW w:w="8892" w:type="dxa"/>
        <w:jc w:val="center"/>
        <w:tblLayout w:type="fixed"/>
        <w:tblLook w:val="04A0" w:firstRow="1" w:lastRow="0" w:firstColumn="1" w:lastColumn="0" w:noHBand="0" w:noVBand="1"/>
      </w:tblPr>
      <w:tblGrid>
        <w:gridCol w:w="8892"/>
      </w:tblGrid>
      <w:tr w:rsidR="000000E0" w:rsidTr="00F93C05">
        <w:trPr>
          <w:cantSplit/>
          <w:trHeight w:val="4968"/>
          <w:jc w:val="center"/>
        </w:trPr>
        <w:tc>
          <w:tcPr>
            <w:tcW w:w="8892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435245" cy="3397029"/>
                  <wp:effectExtent l="0" t="0" r="0" b="0"/>
                  <wp:docPr id="10" name="Picture 10" descr="Parte superior del formulario de evaluación con progreso, total y primer criterio." title="Paso 3: captura de puntajes y comentario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-evaluacion-captur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096" cy="341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 xml:space="preserve">Paso 3: captura de puntajes y </w:t>
      </w:r>
      <w:r>
        <w:rPr>
          <w:i/>
          <w:color w:val="65727D"/>
          <w:sz w:val="17"/>
        </w:rPr>
        <w:t>comentarios.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>Asigna un puntaje a cada criterio entre 0 y 10.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Utiliza incrementos de 0.5, por ejemplo: 7, 7.5, 8 u 8.5.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>Si lo deseas, agrega un comentario de hasta 1,000 caracteres en cada criterio.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 xml:space="preserve">Escribe el </w:t>
      </w:r>
      <w:r>
        <w:rPr>
          <w:b/>
        </w:rPr>
        <w:t>Comentario general</w:t>
      </w:r>
      <w:r>
        <w:t xml:space="preserve">. Puede quedar </w:t>
      </w:r>
      <w:r>
        <w:t>vacío mientras guardas un borrador; para enviar debe tener entre 100 y 2,000 caracteres.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5. </w:t>
      </w:r>
      <w:r>
        <w:t>Comprueba el progreso. El total aparece únicamente cuando todos los criterios tienen puntaje.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0B5C42"/>
              <w:bottom w:val="nil"/>
              <w:right w:val="nil"/>
            </w:tcBorders>
            <w:shd w:val="clear" w:color="auto" w:fill="E7F7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Pr="00F93C05" w:rsidRDefault="00BD6880">
            <w:pPr>
              <w:spacing w:after="0"/>
              <w:rPr>
                <w:rFonts w:hint="eastAsia"/>
                <w:sz w:val="20"/>
                <w:szCs w:val="20"/>
              </w:rPr>
            </w:pPr>
            <w:r w:rsidRPr="00F93C05">
              <w:rPr>
                <w:b/>
                <w:color w:val="0B5C42"/>
                <w:sz w:val="20"/>
                <w:szCs w:val="20"/>
              </w:rPr>
              <w:t>✓</w:t>
            </w:r>
            <w:r w:rsidRPr="00F93C05">
              <w:rPr>
                <w:b/>
                <w:color w:val="0B5C42"/>
                <w:sz w:val="20"/>
                <w:szCs w:val="20"/>
              </w:rPr>
              <w:t xml:space="preserve"> Cálculo automático: </w:t>
            </w:r>
            <w:r w:rsidRPr="00F93C05">
              <w:rPr>
                <w:sz w:val="20"/>
                <w:szCs w:val="20"/>
              </w:rPr>
              <w:t>No necesitas sumar los puntajes. Flower Flow cal</w:t>
            </w:r>
            <w:r w:rsidRPr="00F93C05">
              <w:rPr>
                <w:sz w:val="20"/>
                <w:szCs w:val="20"/>
              </w:rPr>
              <w:t>cula y muestra el total después de guardar todos los criterios.</w:t>
            </w:r>
          </w:p>
        </w:tc>
      </w:tr>
    </w:tbl>
    <w:p w:rsidR="000000E0" w:rsidRDefault="00BD6880">
      <w:pPr>
        <w:pStyle w:val="Ttulo2"/>
      </w:pPr>
      <w:r>
        <w:lastRenderedPageBreak/>
        <w:t>4.6 Guarda avances y cambia de paso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806440" cy="3629025"/>
                  <wp:effectExtent l="0" t="0" r="0" b="0"/>
                  <wp:docPr id="11" name="Picture 11" descr="Parte final del formulario con comentario general, estado de guardado y botones Guardar borrador y Revisar y enviar." title="Borrador guardado con acciones disponible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-evaluacion-guardada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Borrador guardado con acciones disponibles.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La plataforma intenta guardar automáticamente los </w:t>
      </w:r>
      <w:r>
        <w:rPr>
          <w:sz w:val="21"/>
        </w:rPr>
        <w:t>cambios cada 30 segundos.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El mensaje </w:t>
      </w:r>
      <w:r>
        <w:rPr>
          <w:b/>
          <w:sz w:val="21"/>
        </w:rPr>
        <w:t>Todos los cambios guardados</w:t>
      </w:r>
      <w:r>
        <w:rPr>
          <w:sz w:val="21"/>
        </w:rPr>
        <w:t xml:space="preserve"> confirma que la información ya quedó registrada.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Puedes guardar en cualquier momento con </w:t>
      </w:r>
      <w:r>
        <w:rPr>
          <w:b/>
          <w:sz w:val="21"/>
        </w:rPr>
        <w:t>Guardar borrador</w:t>
      </w:r>
      <w:r>
        <w:rPr>
          <w:sz w:val="21"/>
        </w:rPr>
        <w:t>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Puedes pasar entre </w:t>
      </w:r>
      <w:r>
        <w:rPr>
          <w:b/>
          <w:sz w:val="21"/>
        </w:rPr>
        <w:t>Proyecto asignado</w:t>
      </w:r>
      <w:r>
        <w:rPr>
          <w:sz w:val="21"/>
        </w:rPr>
        <w:t xml:space="preserve"> y </w:t>
      </w:r>
      <w:r>
        <w:rPr>
          <w:b/>
          <w:sz w:val="21"/>
        </w:rPr>
        <w:t>Evaluación</w:t>
      </w:r>
      <w:r>
        <w:rPr>
          <w:sz w:val="21"/>
        </w:rPr>
        <w:t xml:space="preserve"> desde la barra de pasos.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Si sales </w:t>
      </w:r>
      <w:r>
        <w:rPr>
          <w:sz w:val="21"/>
        </w:rPr>
        <w:t>de Evaluación hacia Proyecto, espera la confirmación del guardado antes de que cambie la pantalla.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B7860B"/>
              <w:bottom w:val="nil"/>
              <w:right w:val="nil"/>
            </w:tcBorders>
            <w:shd w:val="clear" w:color="auto" w:fill="FFF1C7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B7860B"/>
              </w:rPr>
              <w:t>⚠</w:t>
            </w:r>
            <w:r w:rsidR="00F93C05">
              <w:rPr>
                <w:b/>
                <w:color w:val="B7860B"/>
              </w:rPr>
              <w:t xml:space="preserve"> </w:t>
            </w:r>
            <w:r>
              <w:rPr>
                <w:b/>
                <w:color w:val="B7860B"/>
              </w:rPr>
              <w:t xml:space="preserve"> Si pierdes conexión: </w:t>
            </w:r>
            <w:r>
              <w:t>No cierres la pestaña. Conserva la pantalla abierta, recupera la conexión y utiliza Guardar borrador. Si otra pestaña guardó una versi</w:t>
            </w:r>
            <w:r>
              <w:t>ón más reciente, la plataforma te pedirá recargar y no sobrescribirá ese avance.</w:t>
            </w:r>
          </w:p>
        </w:tc>
      </w:tr>
    </w:tbl>
    <w:p w:rsidR="000000E0" w:rsidRDefault="00BD6880">
      <w:pPr>
        <w:pStyle w:val="Ttulo2"/>
      </w:pPr>
      <w:r>
        <w:lastRenderedPageBreak/>
        <w:t>4.7 Paso 4 — Revisa y envía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4981242" cy="5541631"/>
                  <wp:effectExtent l="0" t="0" r="0" b="2540"/>
                  <wp:docPr id="12" name="Picture 12" descr="Resumen de revisión con total, criterios, comentario general, confirmación y botón Enviar evaluación." title="Paso 4: confirmación del enví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-revisar-y-enviar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010" cy="556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Paso 4: confirmación del envío.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Haz clic en </w:t>
      </w:r>
      <w:r>
        <w:rPr>
          <w:b/>
        </w:rPr>
        <w:t>Revisar y enviar</w:t>
      </w:r>
      <w:r>
        <w:t xml:space="preserve"> sólo cuando el progreso esté completo.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Lee nuevamente cada puntaje, comentario y el total mostrado.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Si necesitas corregir algo, selecciona </w:t>
      </w:r>
      <w:r>
        <w:rPr>
          <w:b/>
        </w:rPr>
        <w:t>Volver a la evaluación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>Si todo es correcto, marca la casilla de confirmación.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5. </w:t>
      </w:r>
      <w:r>
        <w:t xml:space="preserve">Haz clic en </w:t>
      </w:r>
      <w:r>
        <w:rPr>
          <w:b/>
        </w:rPr>
        <w:t xml:space="preserve">Enviar </w:t>
      </w:r>
      <w:r>
        <w:rPr>
          <w:b/>
        </w:rPr>
        <w:t>evaluación</w:t>
      </w:r>
      <w:r>
        <w:t>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E23A0A"/>
              <w:bottom w:val="nil"/>
              <w:right w:val="nil"/>
            </w:tcBorders>
            <w:shd w:val="clear" w:color="auto" w:fill="FFF1EC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E23A0A"/>
              </w:rPr>
              <w:t xml:space="preserve">! Confirmación final: </w:t>
            </w:r>
            <w:r>
              <w:t>El comentario general debe tener al menos 100 caracteres y todos los criterios deben contar con puntaje. El envío no se completa sólo por abrir esta pantalla.</w:t>
            </w:r>
          </w:p>
        </w:tc>
      </w:tr>
    </w:tbl>
    <w:p w:rsidR="000000E0" w:rsidRDefault="00BD6880">
      <w:pPr>
        <w:pStyle w:val="Ttulo2"/>
      </w:pPr>
      <w:r>
        <w:lastRenderedPageBreak/>
        <w:t>4.8 Después del envío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4754880" cy="5131308"/>
                  <wp:effectExtent l="0" t="0" r="0" b="0"/>
                  <wp:docPr id="13" name="Picture 13" descr="Revisión sellada con estado Enviada, progreso completo y total calculado." title="Evaluación enviada y disponible sólo para lectur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-evaluacion-enviada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5131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Evaluación enviada y disponible sólo para lectura.</w:t>
      </w:r>
    </w:p>
    <w:p w:rsidR="000000E0" w:rsidRDefault="00BD6880" w:rsidP="009C29A8">
      <w:pPr>
        <w:spacing w:after="140"/>
        <w:jc w:val="both"/>
        <w:rPr>
          <w:rFonts w:hint="eastAsia"/>
        </w:rPr>
      </w:pPr>
      <w:r>
        <w:t xml:space="preserve">La pantalla mostrará el estado </w:t>
      </w:r>
      <w:r>
        <w:rPr>
          <w:b/>
        </w:rPr>
        <w:t>Enviada</w:t>
      </w:r>
      <w:r>
        <w:t xml:space="preserve"> y el aviso de que la revisión está sellada. Ya no aparecerán campos editables ni botones para guardar. Conserva esta pantalla como confirmación dentro de la plataforma.</w:t>
      </w:r>
    </w:p>
    <w:p w:rsidR="000000E0" w:rsidRDefault="00BD6880" w:rsidP="009C29A8">
      <w:pPr>
        <w:spacing w:after="140"/>
        <w:jc w:val="both"/>
        <w:rPr>
          <w:rFonts w:hint="eastAsia"/>
        </w:rPr>
      </w:pPr>
      <w:r>
        <w:rPr>
          <w:b/>
        </w:rPr>
        <w:t>Reapertura:</w:t>
      </w:r>
      <w:r>
        <w:t xml:space="preserve"> Sólo la administración puede reabrir una evaluación. Si ocurre, verás un a</w:t>
      </w:r>
      <w:r>
        <w:t>viso y una nueva revisión editable; la revisión enviada anterior permanecerá intacta.</w:t>
      </w:r>
    </w:p>
    <w:p w:rsidR="000000E0" w:rsidRDefault="00BD6880">
      <w:pPr>
        <w:pStyle w:val="Ttulo1"/>
        <w:pageBreakBefore/>
      </w:pPr>
      <w:r>
        <w:lastRenderedPageBreak/>
        <w:t>5. Configuración de cuenta y seguridad</w:t>
      </w:r>
    </w:p>
    <w:p w:rsidR="000000E0" w:rsidRDefault="00BD6880" w:rsidP="009C29A8">
      <w:pPr>
        <w:spacing w:after="140"/>
        <w:jc w:val="both"/>
        <w:rPr>
          <w:rFonts w:hint="eastAsia"/>
        </w:rPr>
      </w:pPr>
      <w:r>
        <w:t xml:space="preserve">Desde </w:t>
      </w:r>
      <w:r>
        <w:rPr>
          <w:b/>
        </w:rPr>
        <w:t>Cuenta y seguridad</w:t>
      </w:r>
      <w:r>
        <w:t xml:space="preserve"> puedes confirmar tu identidad de acceso, cambiar tu contraseña y, si lo deseas, activar una segunda verifi</w:t>
      </w:r>
      <w:r>
        <w:t>cación.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 w:rsidTr="00C15267">
        <w:trPr>
          <w:cantSplit/>
        </w:trPr>
        <w:tc>
          <w:tcPr>
            <w:tcW w:w="10000" w:type="dxa"/>
            <w:tcBorders>
              <w:top w:val="single" w:sz="8" w:space="0" w:color="E1E5E3"/>
              <w:left w:val="single" w:sz="8" w:space="0" w:color="E1E5E3"/>
              <w:bottom w:val="single" w:sz="8" w:space="0" w:color="E1E5E3"/>
              <w:right w:val="single" w:sz="8" w:space="0" w:color="E1E5E3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</w:tcPr>
          <w:p w:rsidR="000000E0" w:rsidRDefault="00BD6880">
            <w:pPr>
              <w:jc w:val="center"/>
              <w:rPr>
                <w:rFonts w:hint="eastAsia"/>
              </w:rPr>
            </w:pPr>
            <w:r>
              <w:rPr>
                <w:noProof/>
                <w:lang w:val="es-MX" w:eastAsia="es-MX"/>
              </w:rPr>
              <w:drawing>
                <wp:inline distT="0" distB="0" distL="0" distR="0">
                  <wp:extent cx="5531161" cy="4551684"/>
                  <wp:effectExtent l="0" t="0" r="0" b="1270"/>
                  <wp:docPr id="14" name="Picture 14" descr="Pantalla con identidad de acceso, cambio de contraseña y autenticación en dos pasos." title="Cuenta y seguridad del juez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-cuenta-segurida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8386" cy="45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E0" w:rsidRDefault="00BD6880">
      <w:pPr>
        <w:spacing w:before="60" w:after="180"/>
        <w:jc w:val="center"/>
        <w:rPr>
          <w:rFonts w:hint="eastAsia"/>
        </w:rPr>
      </w:pPr>
      <w:r>
        <w:rPr>
          <w:i/>
          <w:color w:val="65727D"/>
          <w:sz w:val="17"/>
        </w:rPr>
        <w:t>Cuenta y seguridad del juez.</w:t>
      </w:r>
    </w:p>
    <w:p w:rsidR="000000E0" w:rsidRDefault="00BD6880">
      <w:pPr>
        <w:pStyle w:val="Ttulo2"/>
      </w:pPr>
      <w:r>
        <w:t>5.1 Cambia tu contraseña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En el menú, haz clic en </w:t>
      </w:r>
      <w:r>
        <w:rPr>
          <w:b/>
        </w:rPr>
        <w:t>Cuenta y seguridad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 xml:space="preserve">En </w:t>
      </w:r>
      <w:r>
        <w:rPr>
          <w:b/>
        </w:rPr>
        <w:t>Cambiar contraseña</w:t>
      </w:r>
      <w:r>
        <w:t xml:space="preserve"> escribe tu contraseña actual.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 xml:space="preserve">Escribe la nueva contraseña y </w:t>
      </w:r>
      <w:r>
        <w:t>repítela en el campo de confirmación.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>Verifica que cumpla todos los requisitos mostrados en pantalla.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5. </w:t>
      </w:r>
      <w:r>
        <w:t xml:space="preserve">Haz clic en </w:t>
      </w:r>
      <w:r>
        <w:rPr>
          <w:b/>
        </w:rPr>
        <w:t>Cambiar contraseña</w:t>
      </w:r>
      <w:r>
        <w:t>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0B5C42"/>
              <w:bottom w:val="nil"/>
              <w:right w:val="nil"/>
            </w:tcBorders>
            <w:shd w:val="clear" w:color="auto" w:fill="E7F7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0B5C42"/>
              </w:rPr>
              <w:t>✓</w:t>
            </w:r>
            <w:r>
              <w:rPr>
                <w:b/>
                <w:color w:val="0B5C42"/>
              </w:rPr>
              <w:t xml:space="preserve"> Buena práctica: </w:t>
            </w:r>
            <w:r>
              <w:t xml:space="preserve">Usa una contraseña exclusiva para Flower Flow. Evita nombres, fechas fáciles de adivinar o </w:t>
            </w:r>
            <w:r>
              <w:t>contraseñas que ya utilices en otros servicios.</w:t>
            </w:r>
          </w:p>
        </w:tc>
      </w:tr>
    </w:tbl>
    <w:p w:rsidR="000000E0" w:rsidRDefault="00BD6880">
      <w:pPr>
        <w:pStyle w:val="Ttulo2"/>
      </w:pPr>
      <w:r>
        <w:lastRenderedPageBreak/>
        <w:t>5.2 Activa la autenticación en dos pasos (opcional)</w:t>
      </w:r>
    </w:p>
    <w:p w:rsidR="000000E0" w:rsidRDefault="00BD6880">
      <w:pPr>
        <w:spacing w:after="140"/>
        <w:rPr>
          <w:rFonts w:hint="eastAsia"/>
        </w:rPr>
      </w:pPr>
      <w:r>
        <w:t>Esta opción agrega una comprobación adicional mediante una aplicación autenticadora en tu teléfono.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1. </w:t>
      </w:r>
      <w:r>
        <w:t xml:space="preserve">Escribe tu contraseña actual y haz clic en </w:t>
      </w:r>
      <w:r>
        <w:rPr>
          <w:b/>
        </w:rPr>
        <w:t xml:space="preserve">Activar </w:t>
      </w:r>
      <w:r>
        <w:rPr>
          <w:b/>
        </w:rPr>
        <w:t>2FA</w:t>
      </w:r>
      <w:r>
        <w:t>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2. </w:t>
      </w:r>
      <w:r>
        <w:t>Escanea el código que mostrará la plataforma con tu aplicación autenticadora.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3. </w:t>
      </w:r>
      <w:r>
        <w:t>Escribe el código de seis dígitos y confirma la activación.</w:t>
      </w:r>
    </w:p>
    <w:p w:rsidR="000000E0" w:rsidRDefault="00BD6880">
      <w:pPr>
        <w:spacing w:after="100" w:line="269" w:lineRule="auto"/>
        <w:ind w:left="403" w:hanging="317"/>
        <w:rPr>
          <w:rFonts w:hint="eastAsia"/>
        </w:rPr>
      </w:pPr>
      <w:r>
        <w:rPr>
          <w:b/>
          <w:color w:val="0B5C42"/>
        </w:rPr>
        <w:t xml:space="preserve">4. </w:t>
      </w:r>
      <w:r>
        <w:t>Guarda los códigos de recuperación en un lugar privado y separado de tu contraseña.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167C5B"/>
              <w:bottom w:val="nil"/>
              <w:right w:val="nil"/>
            </w:tcBorders>
            <w:shd w:val="clear" w:color="auto" w:fill="EAF5F0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167C5B"/>
              </w:rPr>
              <w:t xml:space="preserve"> Correo verificado</w:t>
            </w:r>
            <w:r>
              <w:rPr>
                <w:b/>
                <w:color w:val="167C5B"/>
              </w:rPr>
              <w:t xml:space="preserve">: </w:t>
            </w:r>
            <w:r>
              <w:t>La pantalla debe mostrar Correo verificado. Si una modificación autorizada cambia tu dirección, deberás verificar la nueva antes de recuperar el acceso como juez activo.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1"/>
        <w:pageBreakBefore/>
      </w:pPr>
      <w:r>
        <w:lastRenderedPageBreak/>
        <w:t>6. Ayuda rápida</w:t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5386"/>
      </w:tblGrid>
      <w:tr w:rsidR="000000E0" w:rsidTr="00BD6880">
        <w:trPr>
          <w:tblHeader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Situación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0B5C42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El enlace de invitación venció o ya fue usado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Solicita a la administración que emita un nuevo enlace. No reutilices ni compartas el anterior.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No aparecen asignaciones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Confirma que ingresaste con la cuenta correcta. Es posible que todavía no se te haya asignado un proyecto.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bookmarkStart w:id="0" w:name="_GoBack"/>
            <w:r>
              <w:rPr>
                <w:b/>
                <w:sz w:val="18"/>
              </w:rPr>
              <w:t xml:space="preserve">El paquete no está </w:t>
            </w:r>
            <w:r>
              <w:rPr>
                <w:b/>
                <w:sz w:val="18"/>
              </w:rPr>
              <w:t>disponible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No intentes continuar. Comunícate con la administración e indica el identificador de la asignación.</w:t>
            </w:r>
          </w:p>
        </w:tc>
      </w:tr>
      <w:bookmarkEnd w:id="0"/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El total no aparece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Revisa que cada criterio tenga un puntaje válido y guarda el borrador.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El guardado automático no confirma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Mantén la pantall</w:t>
            </w:r>
            <w:r>
              <w:rPr>
                <w:sz w:val="18"/>
              </w:rPr>
              <w:t>a abierta, verifica tu conexión y utiliza Guardar borrador.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La plataforma pide recargar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DF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Otra pestaña guardó una versión más reciente. Recarga y verifica los datos antes de continuar.</w:t>
            </w:r>
          </w:p>
        </w:tc>
      </w:tr>
      <w:tr w:rsidR="000000E0" w:rsidTr="00BD6880">
        <w:trPr>
          <w:cantSplit/>
          <w:jc w:val="center"/>
        </w:trPr>
        <w:tc>
          <w:tcPr>
            <w:tcW w:w="4535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b/>
                <w:sz w:val="18"/>
              </w:rPr>
              <w:t>El plazo ya terminó</w:t>
            </w:r>
          </w:p>
        </w:tc>
        <w:tc>
          <w:tcPr>
            <w:tcW w:w="5386" w:type="dxa"/>
            <w:tcBorders>
              <w:top w:val="single" w:sz="4" w:space="0" w:color="E1E5E3"/>
              <w:left w:val="single" w:sz="4" w:space="0" w:color="E1E5E3"/>
              <w:bottom w:val="single" w:sz="4" w:space="0" w:color="E1E5E3"/>
              <w:right w:val="single" w:sz="4" w:space="0" w:color="E1E5E3"/>
            </w:tcBorders>
            <w:shd w:val="clear" w:color="auto" w:fill="FFFFFF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0000E0" w:rsidRDefault="00BD6880">
            <w:pPr>
              <w:rPr>
                <w:rFonts w:hint="eastAsia"/>
              </w:rPr>
            </w:pPr>
            <w:r>
              <w:rPr>
                <w:sz w:val="18"/>
              </w:rPr>
              <w:t>La plataforma bloquea nuevos cambios. Contacta a la</w:t>
            </w:r>
            <w:r>
              <w:rPr>
                <w:sz w:val="18"/>
              </w:rPr>
              <w:t xml:space="preserve"> administración; no abras varias pestañas ni intentes repetir el envío.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p w:rsidR="000000E0" w:rsidRDefault="00BD6880">
      <w:pPr>
        <w:pStyle w:val="Ttulo2"/>
      </w:pPr>
      <w:r>
        <w:t>6.1 Lista final antes de enviar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Revisé el proyecto, los enlaces y los anexos disponibles.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Confirmé que no existe un conflicto que afecte mi imparcialidad.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Capturé los cuatro criterio</w:t>
      </w:r>
      <w:r>
        <w:rPr>
          <w:sz w:val="21"/>
        </w:rPr>
        <w:t>s de la rúbrica vigente.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Verifiqué que cada puntaje usa incrementos de 0.5.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Escribí un comentario general claro de al menos 100 caracteres.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Esperé el mensaje de cambios guardados.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>Revisé el total y la información del Paso 4.</w:t>
      </w:r>
    </w:p>
    <w:p w:rsidR="000000E0" w:rsidRDefault="00BD6880">
      <w:pPr>
        <w:pStyle w:val="Listaconvietas"/>
        <w:spacing w:after="80"/>
        <w:rPr>
          <w:rFonts w:hint="eastAsia"/>
        </w:rPr>
      </w:pPr>
      <w:r>
        <w:rPr>
          <w:sz w:val="21"/>
        </w:rPr>
        <w:t xml:space="preserve">Entiendo que Enviar evaluación </w:t>
      </w:r>
      <w:r>
        <w:rPr>
          <w:sz w:val="21"/>
        </w:rPr>
        <w:t>sella la revisión.</w:t>
      </w:r>
    </w:p>
    <w:tbl>
      <w:tblPr>
        <w:tblW w:w="10000" w:type="dxa"/>
        <w:tblLayout w:type="fixed"/>
        <w:tblLook w:val="04A0" w:firstRow="1" w:lastRow="0" w:firstColumn="1" w:lastColumn="0" w:noHBand="0" w:noVBand="1"/>
      </w:tblPr>
      <w:tblGrid>
        <w:gridCol w:w="10000"/>
      </w:tblGrid>
      <w:tr w:rsidR="000000E0">
        <w:tc>
          <w:tcPr>
            <w:tcW w:w="9994" w:type="dxa"/>
            <w:tcBorders>
              <w:top w:val="nil"/>
              <w:left w:val="single" w:sz="18" w:space="0" w:color="0B5C42"/>
              <w:bottom w:val="nil"/>
              <w:right w:val="nil"/>
            </w:tcBorders>
            <w:shd w:val="clear" w:color="auto" w:fill="E7F7FB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0000E0" w:rsidRDefault="00BD6880">
            <w:pPr>
              <w:spacing w:after="0"/>
              <w:rPr>
                <w:rFonts w:hint="eastAsia"/>
              </w:rPr>
            </w:pPr>
            <w:r>
              <w:rPr>
                <w:b/>
                <w:color w:val="0B5C42"/>
              </w:rPr>
              <w:t>✓</w:t>
            </w:r>
            <w:r>
              <w:rPr>
                <w:b/>
                <w:color w:val="0B5C42"/>
              </w:rPr>
              <w:t xml:space="preserve"> ¿Necesitas ayuda?: </w:t>
            </w:r>
            <w:r>
              <w:t>Utiliza el enlace Escríbenos por correo disponible en el menú del juez. Incluye el identificador de la asignación y describe lo que ves, sin compartir puntajes o comentarios sensibles.</w:t>
            </w:r>
          </w:p>
        </w:tc>
      </w:tr>
    </w:tbl>
    <w:p w:rsidR="000000E0" w:rsidRDefault="000000E0">
      <w:pPr>
        <w:spacing w:after="0"/>
        <w:rPr>
          <w:rFonts w:hint="eastAsia"/>
        </w:rPr>
      </w:pPr>
    </w:p>
    <w:sectPr w:rsidR="000000E0" w:rsidSect="00034616">
      <w:headerReference w:type="default" r:id="rId23"/>
      <w:footerReference w:type="default" r:id="rId24"/>
      <w:pgSz w:w="12240" w:h="15840"/>
      <w:pgMar w:top="1008" w:right="1123" w:bottom="936" w:left="1123" w:header="317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D68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000000" w:rsidRDefault="00BD68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E0" w:rsidRDefault="00BD6880">
    <w:pPr>
      <w:pStyle w:val="Piedepgina"/>
      <w:jc w:val="right"/>
      <w:rPr>
        <w:rFonts w:hint="eastAsia"/>
      </w:rPr>
    </w:pPr>
    <w:r>
      <w:rPr>
        <w:color w:val="65727D"/>
        <w:sz w:val="16"/>
      </w:rPr>
      <w:t xml:space="preserve">FLOWER FLOW  ·  MANUAL DEL JUEZ     </w:t>
    </w:r>
    <w:r>
      <w:rPr>
        <w:color w:val="65727D"/>
        <w:sz w:val="16"/>
      </w:rPr>
      <w:fldChar w:fldCharType="begin"/>
    </w:r>
    <w:r>
      <w:rPr>
        <w:color w:val="65727D"/>
        <w:sz w:val="16"/>
      </w:rPr>
      <w:instrText>PAGE</w:instrText>
    </w:r>
    <w:r w:rsidR="00C15267">
      <w:rPr>
        <w:color w:val="65727D"/>
        <w:sz w:val="16"/>
      </w:rPr>
      <w:fldChar w:fldCharType="separate"/>
    </w:r>
    <w:r>
      <w:rPr>
        <w:noProof/>
        <w:color w:val="65727D"/>
        <w:sz w:val="16"/>
      </w:rPr>
      <w:t>19</w:t>
    </w:r>
    <w:r>
      <w:rPr>
        <w:color w:val="65727D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D68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000000" w:rsidRDefault="00BD68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E0" w:rsidRDefault="000000E0">
    <w:pPr>
      <w:pStyle w:val="Encabezado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312"/>
      <w:gridCol w:w="3312"/>
      <w:gridCol w:w="3312"/>
    </w:tblGrid>
    <w:tr w:rsidR="000000E0">
      <w:tc>
        <w:tcPr>
          <w:tcW w:w="3312" w:type="dxa"/>
          <w:tcBorders>
            <w:bottom w:val="single" w:sz="6" w:space="0" w:color="E1E5E3"/>
          </w:tcBorders>
        </w:tcPr>
        <w:p w:rsidR="000000E0" w:rsidRDefault="00BD6880">
          <w:pPr>
            <w:rPr>
              <w:rFonts w:hint="eastAsia"/>
            </w:rPr>
          </w:pPr>
          <w:r>
            <w:rPr>
              <w:noProof/>
              <w:lang w:val="es-MX" w:eastAsia="es-MX"/>
            </w:rPr>
            <w:drawing>
              <wp:inline distT="0" distB="0" distL="0" distR="0">
                <wp:extent cx="384048" cy="384048"/>
                <wp:effectExtent l="0" t="0" r="0" b="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flowerflow_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2" w:type="dxa"/>
          <w:tcBorders>
            <w:bottom w:val="single" w:sz="6" w:space="0" w:color="E1E5E3"/>
          </w:tcBorders>
        </w:tcPr>
        <w:p w:rsidR="000000E0" w:rsidRDefault="00BD6880">
          <w:pPr>
            <w:jc w:val="center"/>
            <w:rPr>
              <w:rFonts w:hint="eastAsia"/>
            </w:rPr>
          </w:pPr>
          <w:r>
            <w:rPr>
              <w:b/>
              <w:caps/>
              <w:color w:val="0B5C42"/>
              <w:sz w:val="16"/>
            </w:rPr>
            <w:t>MANUAL DE USUARIO  ·  ROL JUEZ</w:t>
          </w:r>
        </w:p>
      </w:tc>
      <w:tc>
        <w:tcPr>
          <w:tcW w:w="3312" w:type="dxa"/>
          <w:tcBorders>
            <w:bottom w:val="single" w:sz="6" w:space="0" w:color="E1E5E3"/>
          </w:tcBorders>
        </w:tcPr>
        <w:p w:rsidR="000000E0" w:rsidRDefault="00BD6880">
          <w:pPr>
            <w:jc w:val="right"/>
            <w:rPr>
              <w:rFonts w:hint="eastAsia"/>
            </w:rPr>
          </w:pPr>
          <w:r>
            <w:rPr>
              <w:noProof/>
              <w:lang w:val="es-MX" w:eastAsia="es-MX"/>
            </w:rPr>
            <w:drawing>
              <wp:inline distT="0" distB="0" distL="0" distR="0">
                <wp:extent cx="566928" cy="566928"/>
                <wp:effectExtent l="0" t="0" r="0" b="0"/>
                <wp:docPr id="1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_florecehermosillo_transparen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928" cy="566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0E0"/>
    <w:rsid w:val="00034616"/>
    <w:rsid w:val="0006063C"/>
    <w:rsid w:val="0015074B"/>
    <w:rsid w:val="0029639D"/>
    <w:rsid w:val="00326F90"/>
    <w:rsid w:val="00592700"/>
    <w:rsid w:val="009C29A8"/>
    <w:rsid w:val="00AA1D8D"/>
    <w:rsid w:val="00B47730"/>
    <w:rsid w:val="00BD6880"/>
    <w:rsid w:val="00C15267"/>
    <w:rsid w:val="00CB0664"/>
    <w:rsid w:val="00F93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55E45"/>
  <w14:defaultImageDpi w14:val="300"/>
  <w15:docId w15:val="{FD1F6668-F8F2-4AE2-B5BD-7B9D67758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Segoe UI" w:hAnsi="Segoe UI"/>
      <w:color w:val="17352F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after="140"/>
      <w:outlineLvl w:val="0"/>
    </w:pPr>
    <w:rPr>
      <w:rFonts w:asciiTheme="majorHAnsi" w:eastAsiaTheme="majorEastAsia" w:hAnsiTheme="majorHAnsi" w:cstheme="majorBidi"/>
      <w:b/>
      <w:bCs/>
      <w:color w:val="0B5C42"/>
      <w:sz w:val="4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  <w:color w:val="0B5C4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6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B5C42"/>
      <w:spacing w:val="15"/>
      <w:sz w:val="30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35B731-0F2B-4B2D-A680-49B79C86E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19</Pages>
  <Words>1910</Words>
  <Characters>10507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— Rol Juez — Flower Flow</vt:lpstr>
      <vt:lpstr/>
    </vt:vector>
  </TitlesOfParts>
  <Manager/>
  <Company/>
  <LinksUpToDate>false</LinksUpToDate>
  <CharactersWithSpaces>12393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Rol Juez — Flower Flow</dc:title>
  <dc:subject>Guía de activación, navegación, evaluación y seguridad para jueces</dc:subject>
  <dc:creator>Flower Flow</dc:creator>
  <cp:keywords>Flower Flow, juez, evaluación, Hermosillo Florece 2026, manual de usuario</cp:keywords>
  <dc:description>Elaborado con datos sintéticos y capturas del entorno local de pruebas.</dc:description>
  <cp:lastModifiedBy>Carlos A. Cortés</cp:lastModifiedBy>
  <cp:revision>4</cp:revision>
  <dcterms:created xsi:type="dcterms:W3CDTF">2013-12-23T23:15:00Z</dcterms:created>
  <dcterms:modified xsi:type="dcterms:W3CDTF">2026-08-25T17:34:00Z</dcterms:modified>
  <cp:category/>
</cp:coreProperties>
</file>