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CTS Identity Security Project</w:t>
      </w:r>
    </w:p>
    <w:p>
      <w:pPr>
        <w:jc w:val="center"/>
      </w:pPr>
      <w:r>
        <w:rPr>
          <w:b/>
          <w:sz w:val="28"/>
        </w:rPr>
        <w:t>Security Findings &amp; Recommendations</w:t>
      </w:r>
    </w:p>
    <w:p>
      <w:pPr>
        <w:jc w:val="center"/>
      </w:pPr>
      <w:r>
        <w:rPr>
          <w:i/>
        </w:rPr>
        <w:t>Microsoft Entra ID Conditional Access | Portfolio Technical Report</w:t>
      </w:r>
    </w:p>
    <w:p>
      <w:r>
        <w:t>Scope: This report summarizes the Conditional Access policy validation performed in the CTS identity-security lab. The policies were evaluated with Microsoft Entra What If testing and retained in Report-only mode during validation. The findings below are based on the test evidence captured during the project.</w:t>
      </w:r>
    </w:p>
    <w:p>
      <w:pPr>
        <w:pStyle w:val="Heading1"/>
      </w:pPr>
      <w:r>
        <w:t>Executive Summary</w:t>
      </w:r>
    </w:p>
    <w:p>
      <w:r>
        <w:t>Eight Conditional Access controls were evaluated across MFA, legacy authentication, location, privileged roles, device compliance, identity risk, and session management. Positive and negative What If scenarios were used to verify when controls should apply and when policy conditions or exclusions should prevent application. The testing supports a staged deployment approach: validate targeting and dependencies in Report-only mode, review impact, then move controls toward enforcement through a controlled change process.</w:t>
      </w:r>
    </w:p>
    <w:p>
      <w:pPr>
        <w:pStyle w:val="Heading1"/>
      </w:pPr>
      <w:r>
        <w:t>Policy Validation Summary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pPr>
              <w:spacing w:after="0"/>
            </w:pPr>
            <w:r>
              <w:rPr>
                <w:b/>
                <w:sz w:val="17"/>
              </w:rPr>
              <w:t>Policy</w:t>
            </w:r>
          </w:p>
        </w:tc>
        <w:tc>
          <w:tcPr>
            <w:tcW w:type="dxa" w:w="2556"/>
            <w:vAlign w:val="center"/>
          </w:tcPr>
          <w:p>
            <w:pPr>
              <w:spacing w:after="0"/>
            </w:pPr>
            <w:r>
              <w:rPr>
                <w:b/>
                <w:sz w:val="17"/>
              </w:rPr>
              <w:t>Security Control</w:t>
            </w:r>
          </w:p>
        </w:tc>
        <w:tc>
          <w:tcPr>
            <w:tcW w:type="dxa" w:w="2556"/>
            <w:vAlign w:val="center"/>
          </w:tcPr>
          <w:p>
            <w:pPr>
              <w:spacing w:after="0"/>
            </w:pPr>
            <w:r>
              <w:rPr>
                <w:b/>
                <w:sz w:val="17"/>
              </w:rPr>
              <w:t>Validation</w:t>
            </w:r>
          </w:p>
        </w:tc>
        <w:tc>
          <w:tcPr>
            <w:tcW w:type="dxa" w:w="2556"/>
            <w:vAlign w:val="center"/>
          </w:tcPr>
          <w:p>
            <w:pPr>
              <w:spacing w:after="0"/>
            </w:pPr>
            <w:r>
              <w:rPr>
                <w:b/>
                <w:sz w:val="17"/>
              </w:rPr>
              <w:t>State</w:t>
            </w:r>
          </w:p>
        </w:tc>
      </w:tr>
      <w:tr>
        <w:tc>
          <w:tcPr>
            <w:tcW w:type="dxa" w:w="2556"/>
          </w:tcPr>
          <w:p>
            <w:pPr>
              <w:spacing w:after="0"/>
            </w:pPr>
            <w:r>
              <w:rPr>
                <w:sz w:val="17"/>
              </w:rPr>
              <w:t>CA-001</w:t>
            </w:r>
          </w:p>
        </w:tc>
        <w:tc>
          <w:tcPr>
            <w:tcW w:type="dxa" w:w="2556"/>
          </w:tcPr>
          <w:p>
            <w:pPr>
              <w:spacing w:after="0"/>
            </w:pPr>
            <w:r>
              <w:rPr>
                <w:sz w:val="17"/>
              </w:rPr>
              <w:t>MFA pilot</w:t>
            </w:r>
          </w:p>
        </w:tc>
        <w:tc>
          <w:tcPr>
            <w:tcW w:type="dxa" w:w="2556"/>
          </w:tcPr>
          <w:p>
            <w:pPr>
              <w:spacing w:after="0"/>
            </w:pPr>
            <w:r>
              <w:rPr>
                <w:sz w:val="17"/>
              </w:rPr>
              <w:t>What If positive/negative validation</w:t>
            </w:r>
          </w:p>
        </w:tc>
        <w:tc>
          <w:tcPr>
            <w:tcW w:type="dxa" w:w="2556"/>
          </w:tcPr>
          <w:p>
            <w:pPr>
              <w:spacing w:after="0"/>
            </w:pPr>
            <w:r>
              <w:rPr>
                <w:sz w:val="17"/>
              </w:rPr>
              <w:t>Report-only</w:t>
            </w:r>
          </w:p>
        </w:tc>
      </w:tr>
      <w:tr>
        <w:tc>
          <w:tcPr>
            <w:tcW w:type="dxa" w:w="2556"/>
          </w:tcPr>
          <w:p>
            <w:pPr>
              <w:spacing w:after="0"/>
            </w:pPr>
            <w:r>
              <w:rPr>
                <w:sz w:val="17"/>
              </w:rPr>
              <w:t>CA-002</w:t>
            </w:r>
          </w:p>
        </w:tc>
        <w:tc>
          <w:tcPr>
            <w:tcW w:type="dxa" w:w="2556"/>
          </w:tcPr>
          <w:p>
            <w:pPr>
              <w:spacing w:after="0"/>
            </w:pPr>
            <w:r>
              <w:rPr>
                <w:sz w:val="17"/>
              </w:rPr>
              <w:t>Legacy authentication block</w:t>
            </w:r>
          </w:p>
        </w:tc>
        <w:tc>
          <w:tcPr>
            <w:tcW w:type="dxa" w:w="2556"/>
          </w:tcPr>
          <w:p>
            <w:pPr>
              <w:spacing w:after="0"/>
            </w:pPr>
            <w:r>
              <w:rPr>
                <w:sz w:val="17"/>
              </w:rPr>
              <w:t>What If positive/negative validation</w:t>
            </w:r>
          </w:p>
        </w:tc>
        <w:tc>
          <w:tcPr>
            <w:tcW w:type="dxa" w:w="2556"/>
          </w:tcPr>
          <w:p>
            <w:pPr>
              <w:spacing w:after="0"/>
            </w:pPr>
            <w:r>
              <w:rPr>
                <w:sz w:val="17"/>
              </w:rPr>
              <w:t>Report-only</w:t>
            </w:r>
          </w:p>
        </w:tc>
      </w:tr>
      <w:tr>
        <w:tc>
          <w:tcPr>
            <w:tcW w:type="dxa" w:w="2556"/>
          </w:tcPr>
          <w:p>
            <w:pPr>
              <w:spacing w:after="0"/>
            </w:pPr>
            <w:r>
              <w:rPr>
                <w:sz w:val="17"/>
              </w:rPr>
              <w:t>CA-003</w:t>
            </w:r>
          </w:p>
        </w:tc>
        <w:tc>
          <w:tcPr>
            <w:tcW w:type="dxa" w:w="2556"/>
          </w:tcPr>
          <w:p>
            <w:pPr>
              <w:spacing w:after="0"/>
            </w:pPr>
            <w:r>
              <w:rPr>
                <w:sz w:val="17"/>
              </w:rPr>
              <w:t>Untrusted-location block</w:t>
            </w:r>
          </w:p>
        </w:tc>
        <w:tc>
          <w:tcPr>
            <w:tcW w:type="dxa" w:w="2556"/>
          </w:tcPr>
          <w:p>
            <w:pPr>
              <w:spacing w:after="0"/>
            </w:pPr>
            <w:r>
              <w:rPr>
                <w:sz w:val="17"/>
              </w:rPr>
              <w:t>What If positive/negative validation</w:t>
            </w:r>
          </w:p>
        </w:tc>
        <w:tc>
          <w:tcPr>
            <w:tcW w:type="dxa" w:w="2556"/>
          </w:tcPr>
          <w:p>
            <w:pPr>
              <w:spacing w:after="0"/>
            </w:pPr>
            <w:r>
              <w:rPr>
                <w:sz w:val="17"/>
              </w:rPr>
              <w:t>Report-only</w:t>
            </w:r>
          </w:p>
        </w:tc>
      </w:tr>
      <w:tr>
        <w:tc>
          <w:tcPr>
            <w:tcW w:type="dxa" w:w="2556"/>
          </w:tcPr>
          <w:p>
            <w:pPr>
              <w:spacing w:after="0"/>
            </w:pPr>
            <w:r>
              <w:rPr>
                <w:sz w:val="17"/>
              </w:rPr>
              <w:t>CA-004</w:t>
            </w:r>
          </w:p>
        </w:tc>
        <w:tc>
          <w:tcPr>
            <w:tcW w:type="dxa" w:w="2556"/>
          </w:tcPr>
          <w:p>
            <w:pPr>
              <w:spacing w:after="0"/>
            </w:pPr>
            <w:r>
              <w:rPr>
                <w:sz w:val="17"/>
              </w:rPr>
              <w:t>MFA for admins</w:t>
            </w:r>
          </w:p>
        </w:tc>
        <w:tc>
          <w:tcPr>
            <w:tcW w:type="dxa" w:w="2556"/>
          </w:tcPr>
          <w:p>
            <w:pPr>
              <w:spacing w:after="0"/>
            </w:pPr>
            <w:r>
              <w:rPr>
                <w:sz w:val="17"/>
              </w:rPr>
              <w:t>What If positive/negative validation</w:t>
            </w:r>
          </w:p>
        </w:tc>
        <w:tc>
          <w:tcPr>
            <w:tcW w:type="dxa" w:w="2556"/>
          </w:tcPr>
          <w:p>
            <w:pPr>
              <w:spacing w:after="0"/>
            </w:pPr>
            <w:r>
              <w:rPr>
                <w:sz w:val="17"/>
              </w:rPr>
              <w:t>Report-only</w:t>
            </w:r>
          </w:p>
        </w:tc>
      </w:tr>
      <w:tr>
        <w:tc>
          <w:tcPr>
            <w:tcW w:type="dxa" w:w="2556"/>
          </w:tcPr>
          <w:p>
            <w:pPr>
              <w:spacing w:after="0"/>
            </w:pPr>
            <w:r>
              <w:rPr>
                <w:sz w:val="17"/>
              </w:rPr>
              <w:t>CA-005</w:t>
            </w:r>
          </w:p>
        </w:tc>
        <w:tc>
          <w:tcPr>
            <w:tcW w:type="dxa" w:w="2556"/>
          </w:tcPr>
          <w:p>
            <w:pPr>
              <w:spacing w:after="0"/>
            </w:pPr>
            <w:r>
              <w:rPr>
                <w:sz w:val="17"/>
              </w:rPr>
              <w:t>Compliant device</w:t>
            </w:r>
          </w:p>
        </w:tc>
        <w:tc>
          <w:tcPr>
            <w:tcW w:type="dxa" w:w="2556"/>
          </w:tcPr>
          <w:p>
            <w:pPr>
              <w:spacing w:after="0"/>
            </w:pPr>
            <w:r>
              <w:rPr>
                <w:sz w:val="17"/>
              </w:rPr>
              <w:t>What If positive/negative validation</w:t>
            </w:r>
          </w:p>
        </w:tc>
        <w:tc>
          <w:tcPr>
            <w:tcW w:type="dxa" w:w="2556"/>
          </w:tcPr>
          <w:p>
            <w:pPr>
              <w:spacing w:after="0"/>
            </w:pPr>
            <w:r>
              <w:rPr>
                <w:sz w:val="17"/>
              </w:rPr>
              <w:t>Report-only</w:t>
            </w:r>
          </w:p>
        </w:tc>
      </w:tr>
      <w:tr>
        <w:tc>
          <w:tcPr>
            <w:tcW w:type="dxa" w:w="2556"/>
          </w:tcPr>
          <w:p>
            <w:pPr>
              <w:spacing w:after="0"/>
            </w:pPr>
            <w:r>
              <w:rPr>
                <w:sz w:val="17"/>
              </w:rPr>
              <w:t>CA-006</w:t>
            </w:r>
          </w:p>
        </w:tc>
        <w:tc>
          <w:tcPr>
            <w:tcW w:type="dxa" w:w="2556"/>
          </w:tcPr>
          <w:p>
            <w:pPr>
              <w:spacing w:after="0"/>
            </w:pPr>
            <w:r>
              <w:rPr>
                <w:sz w:val="17"/>
              </w:rPr>
              <w:t>Sign-in risk MFA</w:t>
            </w:r>
          </w:p>
        </w:tc>
        <w:tc>
          <w:tcPr>
            <w:tcW w:type="dxa" w:w="2556"/>
          </w:tcPr>
          <w:p>
            <w:pPr>
              <w:spacing w:after="0"/>
            </w:pPr>
            <w:r>
              <w:rPr>
                <w:sz w:val="17"/>
              </w:rPr>
              <w:t>What If positive/negative validation</w:t>
            </w:r>
          </w:p>
        </w:tc>
        <w:tc>
          <w:tcPr>
            <w:tcW w:type="dxa" w:w="2556"/>
          </w:tcPr>
          <w:p>
            <w:pPr>
              <w:spacing w:after="0"/>
            </w:pPr>
            <w:r>
              <w:rPr>
                <w:sz w:val="17"/>
              </w:rPr>
              <w:t>Report-only</w:t>
            </w:r>
          </w:p>
        </w:tc>
      </w:tr>
      <w:tr>
        <w:tc>
          <w:tcPr>
            <w:tcW w:type="dxa" w:w="2556"/>
          </w:tcPr>
          <w:p>
            <w:pPr>
              <w:spacing w:after="0"/>
            </w:pPr>
            <w:r>
              <w:rPr>
                <w:sz w:val="17"/>
              </w:rPr>
              <w:t>CA-007</w:t>
            </w:r>
          </w:p>
        </w:tc>
        <w:tc>
          <w:tcPr>
            <w:tcW w:type="dxa" w:w="2556"/>
          </w:tcPr>
          <w:p>
            <w:pPr>
              <w:spacing w:after="0"/>
            </w:pPr>
            <w:r>
              <w:rPr>
                <w:sz w:val="17"/>
              </w:rPr>
              <w:t>User-risk remediation</w:t>
            </w:r>
          </w:p>
        </w:tc>
        <w:tc>
          <w:tcPr>
            <w:tcW w:type="dxa" w:w="2556"/>
          </w:tcPr>
          <w:p>
            <w:pPr>
              <w:spacing w:after="0"/>
            </w:pPr>
            <w:r>
              <w:rPr>
                <w:sz w:val="17"/>
              </w:rPr>
              <w:t>What If positive/negative validation</w:t>
            </w:r>
          </w:p>
        </w:tc>
        <w:tc>
          <w:tcPr>
            <w:tcW w:type="dxa" w:w="2556"/>
          </w:tcPr>
          <w:p>
            <w:pPr>
              <w:spacing w:after="0"/>
            </w:pPr>
            <w:r>
              <w:rPr>
                <w:sz w:val="17"/>
              </w:rPr>
              <w:t>Report-only</w:t>
            </w:r>
          </w:p>
        </w:tc>
      </w:tr>
      <w:tr>
        <w:tc>
          <w:tcPr>
            <w:tcW w:type="dxa" w:w="2556"/>
          </w:tcPr>
          <w:p>
            <w:pPr>
              <w:spacing w:after="0"/>
            </w:pPr>
            <w:r>
              <w:rPr>
                <w:sz w:val="17"/>
              </w:rPr>
              <w:t>CA-008</w:t>
            </w:r>
          </w:p>
        </w:tc>
        <w:tc>
          <w:tcPr>
            <w:tcW w:type="dxa" w:w="2556"/>
          </w:tcPr>
          <w:p>
            <w:pPr>
              <w:spacing w:after="0"/>
            </w:pPr>
            <w:r>
              <w:rPr>
                <w:sz w:val="17"/>
              </w:rPr>
              <w:t>12-hour sign-in frequency</w:t>
            </w:r>
          </w:p>
        </w:tc>
        <w:tc>
          <w:tcPr>
            <w:tcW w:type="dxa" w:w="2556"/>
          </w:tcPr>
          <w:p>
            <w:pPr>
              <w:spacing w:after="0"/>
            </w:pPr>
            <w:r>
              <w:rPr>
                <w:sz w:val="17"/>
              </w:rPr>
              <w:t>What If positive/negative validation</w:t>
            </w:r>
          </w:p>
        </w:tc>
        <w:tc>
          <w:tcPr>
            <w:tcW w:type="dxa" w:w="2556"/>
          </w:tcPr>
          <w:p>
            <w:pPr>
              <w:spacing w:after="0"/>
            </w:pPr>
            <w:r>
              <w:rPr>
                <w:sz w:val="17"/>
              </w:rPr>
              <w:t>Report-only</w:t>
            </w:r>
          </w:p>
        </w:tc>
      </w:tr>
    </w:tbl>
    <w:p>
      <w:pPr>
        <w:pStyle w:val="Heading1"/>
      </w:pPr>
      <w:r>
        <w:t>Detailed Findings &amp; Recommendations</w:t>
      </w:r>
    </w:p>
    <w:p>
      <w:pPr>
        <w:pStyle w:val="Heading2"/>
      </w:pPr>
      <w:r>
        <w:t>CA-001 - Require MFA Pilot</w:t>
      </w:r>
    </w:p>
    <w:p>
      <w:r>
        <w:rPr>
          <w:b/>
        </w:rPr>
        <w:t xml:space="preserve">Objective: </w:t>
      </w:r>
      <w:r>
        <w:t>Validate a controlled MFA rollout to a designated pilot population before broader enforcement.</w:t>
      </w:r>
    </w:p>
    <w:p>
      <w:r>
        <w:rPr>
          <w:b/>
        </w:rPr>
        <w:t xml:space="preserve">Test evidence: </w:t>
      </w:r>
      <w:r>
        <w:t>Positive test: Alex Johnson, in the MFA pilot population, was evaluated and the MFA policy applied. Negative test: Daniel Thompson, outside the targeted pilot population, was evaluated and the policy did not apply.</w:t>
      </w:r>
    </w:p>
    <w:p>
      <w:r>
        <w:rPr>
          <w:b/>
        </w:rPr>
        <w:t xml:space="preserve">Finding: </w:t>
      </w:r>
      <w:r>
        <w:t>What If testing demonstrated intended user/group targeting and an MFA grant requirement for the pilot population.</w:t>
      </w:r>
    </w:p>
    <w:p>
      <w:r>
        <w:rPr>
          <w:b/>
        </w:rPr>
        <w:t xml:space="preserve">Recommendation: </w:t>
      </w:r>
      <w:r>
        <w:t>Keep the policy in Report-only while validating pilot membership, authentication-method readiness, and sign-in impact. Expand enforcement in stages after reviewing results and maintaining an emergency-access exclusion.</w:t>
      </w:r>
    </w:p>
    <w:p>
      <w:pPr>
        <w:pStyle w:val="Heading2"/>
      </w:pPr>
      <w:r>
        <w:t>CA-002 - Block Legacy Authentication</w:t>
      </w:r>
    </w:p>
    <w:p>
      <w:r>
        <w:rPr>
          <w:b/>
        </w:rPr>
        <w:t xml:space="preserve">Objective: </w:t>
      </w:r>
      <w:r>
        <w:t>Reduce exposure to authentication methods that do not support modern authentication controls such as MFA.</w:t>
      </w:r>
    </w:p>
    <w:p>
      <w:r>
        <w:rPr>
          <w:b/>
        </w:rPr>
        <w:t xml:space="preserve">Test evidence: </w:t>
      </w:r>
      <w:r>
        <w:t>Positive testing used a legacy-authentication client scenario and showed the block policy applying. Negative testing used a modern browser scenario and showed the policy not applying because the client-app condition was not met.</w:t>
      </w:r>
    </w:p>
    <w:p>
      <w:r>
        <w:rPr>
          <w:b/>
        </w:rPr>
        <w:t xml:space="preserve">Finding: </w:t>
      </w:r>
      <w:r>
        <w:t>The policy differentiated the targeted legacy client-app condition from a modern browser sign-in as designed.</w:t>
      </w:r>
    </w:p>
    <w:p>
      <w:r>
        <w:rPr>
          <w:b/>
        </w:rPr>
        <w:t xml:space="preserve">Recommendation: </w:t>
      </w:r>
      <w:r>
        <w:t>Review sign-in logs for remaining legacy-authentication dependencies before enforcement. Remediate or replace required legacy clients, then move from Report-only to enforcement through a controlled change process.</w:t>
      </w:r>
    </w:p>
    <w:p>
      <w:pPr>
        <w:pStyle w:val="Heading2"/>
      </w:pPr>
      <w:r>
        <w:t>CA-003 - Block Untrusted Locations</w:t>
      </w:r>
    </w:p>
    <w:p>
      <w:r>
        <w:rPr>
          <w:b/>
        </w:rPr>
        <w:t xml:space="preserve">Objective: </w:t>
      </w:r>
      <w:r>
        <w:t>Restrict access from locations outside the organization's defined trusted-location boundary.</w:t>
      </w:r>
    </w:p>
    <w:p>
      <w:r>
        <w:rPr>
          <w:b/>
        </w:rPr>
        <w:t xml:space="preserve">Test evidence: </w:t>
      </w:r>
      <w:r>
        <w:t>Testing covered an untrusted-location scenario where the block control applied and a trusted/excluded-location scenario where the policy did not apply because of the location condition.</w:t>
      </w:r>
    </w:p>
    <w:p>
      <w:r>
        <w:rPr>
          <w:b/>
        </w:rPr>
        <w:t xml:space="preserve">Finding: </w:t>
      </w:r>
      <w:r>
        <w:t>The What If results showed location-based targeting and exclusion behavior consistent with the policy design.</w:t>
      </w:r>
    </w:p>
    <w:p>
      <w:r>
        <w:rPr>
          <w:b/>
        </w:rPr>
        <w:t xml:space="preserve">Recommendation: </w:t>
      </w:r>
      <w:r>
        <w:t>Maintain documented named locations, review exclusions regularly, and validate legitimate remote-access requirements before enforcement. Avoid relying on location as the only identity-security control.</w:t>
      </w:r>
    </w:p>
    <w:p>
      <w:pPr>
        <w:pStyle w:val="Heading2"/>
      </w:pPr>
      <w:r>
        <w:t>CA-004 - Require MFA for Admins</w:t>
      </w:r>
    </w:p>
    <w:p>
      <w:r>
        <w:rPr>
          <w:b/>
        </w:rPr>
        <w:t xml:space="preserve">Objective: </w:t>
      </w:r>
      <w:r>
        <w:t>Require stronger authentication for privileged administrative access.</w:t>
      </w:r>
    </w:p>
    <w:p>
      <w:r>
        <w:rPr>
          <w:b/>
        </w:rPr>
        <w:t xml:space="preserve">Test evidence: </w:t>
      </w:r>
      <w:r>
        <w:t>An administrative-role scenario was tested after assigning James Wilson the Application Administrator role; CA-004 applied and required multifactor authentication. Testing also demonstrated that users without a targeted administrative role did not receive the policy.</w:t>
      </w:r>
    </w:p>
    <w:p>
      <w:r>
        <w:rPr>
          <w:b/>
        </w:rPr>
        <w:t xml:space="preserve">Finding: </w:t>
      </w:r>
      <w:r>
        <w:t>Role-based targeting functioned as intended during What If testing, and the policy produced an MFA requirement for a targeted administrator.</w:t>
      </w:r>
    </w:p>
    <w:p>
      <w:r>
        <w:rPr>
          <w:b/>
        </w:rPr>
        <w:t xml:space="preserve">Recommendation: </w:t>
      </w:r>
      <w:r>
        <w:t>Protect all relevant privileged roles, maintain emergency-access exclusions, and prefer least-privilege/time-bound administration where available. Review role assignments before enabling enforcement.</w:t>
      </w:r>
    </w:p>
    <w:p>
      <w:pPr>
        <w:pStyle w:val="Heading2"/>
      </w:pPr>
      <w:r>
        <w:t>CA-005 - Require Compliant Device</w:t>
      </w:r>
    </w:p>
    <w:p>
      <w:r>
        <w:rPr>
          <w:b/>
        </w:rPr>
        <w:t xml:space="preserve">Objective: </w:t>
      </w:r>
      <w:r>
        <w:t>Require a device that satisfies the configured compliance condition before access is granted to targeted resources.</w:t>
      </w:r>
    </w:p>
    <w:p>
      <w:r>
        <w:rPr>
          <w:b/>
        </w:rPr>
        <w:t xml:space="preserve">Test evidence: </w:t>
      </w:r>
      <w:r>
        <w:t>What If testing showed CA-005 applying with the 'Require compliant device' grant control for an included scenario and not applying for an excluded user scenario.</w:t>
      </w:r>
    </w:p>
    <w:p>
      <w:r>
        <w:rPr>
          <w:b/>
        </w:rPr>
        <w:t xml:space="preserve">Finding: </w:t>
      </w:r>
      <w:r>
        <w:t>The policy's inclusion/exclusion logic and compliant-device grant control were visible in the What If results.</w:t>
      </w:r>
    </w:p>
    <w:p>
      <w:r>
        <w:rPr>
          <w:b/>
        </w:rPr>
        <w:t xml:space="preserve">Recommendation: </w:t>
      </w:r>
      <w:r>
        <w:t>Before enforcement, confirm device enrollment and compliance reporting are operational for the intended population. Keep narrowly justified exclusions and document an exception process for devices that cannot meet compliance requirements.</w:t>
      </w:r>
    </w:p>
    <w:p>
      <w:pPr>
        <w:pStyle w:val="Heading2"/>
      </w:pPr>
      <w:r>
        <w:t>CA-006 - Require MFA for Sign-in Risk</w:t>
      </w:r>
    </w:p>
    <w:p>
      <w:r>
        <w:rPr>
          <w:b/>
        </w:rPr>
        <w:t xml:space="preserve">Objective: </w:t>
      </w:r>
      <w:r>
        <w:t>Apply MFA when Microsoft Entra ID evaluates a sign-in at the configured risk threshold.</w:t>
      </w:r>
    </w:p>
    <w:p>
      <w:r>
        <w:rPr>
          <w:b/>
        </w:rPr>
        <w:t xml:space="preserve">Test evidence: </w:t>
      </w:r>
      <w:r>
        <w:t>A Medium sign-in-risk What If scenario caused CA-006 to apply and require multifactor authentication. A No risk scenario caused CA-006 not to apply because the sign-in-risk condition was not met.</w:t>
      </w:r>
    </w:p>
    <w:p>
      <w:r>
        <w:rPr>
          <w:b/>
        </w:rPr>
        <w:t xml:space="preserve">Finding: </w:t>
      </w:r>
      <w:r>
        <w:t>Risk-based targeting responded differently to the tested Medium and No risk conditions as intended.</w:t>
      </w:r>
    </w:p>
    <w:p>
      <w:r>
        <w:rPr>
          <w:b/>
        </w:rPr>
        <w:t xml:space="preserve">Recommendation: </w:t>
      </w:r>
      <w:r>
        <w:t>Keep the policy in Report-only until risk detections and user impact are reviewed. Define the organization's acceptable risk threshold and response process, then enforce with appropriate monitoring and incident-response procedures.</w:t>
      </w:r>
    </w:p>
    <w:p>
      <w:pPr>
        <w:pStyle w:val="Heading2"/>
      </w:pPr>
      <w:r>
        <w:t>CA-007 - Require Password Change for User Risk</w:t>
      </w:r>
    </w:p>
    <w:p>
      <w:r>
        <w:rPr>
          <w:b/>
        </w:rPr>
        <w:t xml:space="preserve">Objective: </w:t>
      </w:r>
      <w:r>
        <w:t>Require remediation when an identity reaches the configured user-risk level.</w:t>
      </w:r>
    </w:p>
    <w:p>
      <w:r>
        <w:rPr>
          <w:b/>
        </w:rPr>
        <w:t xml:space="preserve">Test evidence: </w:t>
      </w:r>
      <w:r>
        <w:t>A High user-risk What If scenario showed CA-007 applying with multifactor authentication/authentication-strength and password-change requirements. A No risk scenario showed the policy not applying because the user-risk condition was not met.</w:t>
      </w:r>
    </w:p>
    <w:p>
      <w:r>
        <w:rPr>
          <w:b/>
        </w:rPr>
        <w:t xml:space="preserve">Finding: </w:t>
      </w:r>
      <w:r>
        <w:t>The policy differentiated a high-risk identity from a no-risk identity and surfaced the intended remediation controls.</w:t>
      </w:r>
    </w:p>
    <w:p>
      <w:r>
        <w:rPr>
          <w:b/>
        </w:rPr>
        <w:t xml:space="preserve">Recommendation: </w:t>
      </w:r>
      <w:r>
        <w:t>Validate self-service password reset and MFA readiness before enforcement so affected users can complete remediation. Pair the policy with monitoring and investigation procedures for risky-user detections.</w:t>
      </w:r>
    </w:p>
    <w:p>
      <w:pPr>
        <w:pStyle w:val="Heading2"/>
      </w:pPr>
      <w:r>
        <w:t>CA-008 - Sign-in Frequency</w:t>
      </w:r>
    </w:p>
    <w:p>
      <w:r>
        <w:rPr>
          <w:b/>
        </w:rPr>
        <w:t xml:space="preserve">Objective: </w:t>
      </w:r>
      <w:r>
        <w:t>Limit session lifetime by requiring targeted users to reauthenticate at a defined interval.</w:t>
      </w:r>
    </w:p>
    <w:p>
      <w:r>
        <w:rPr>
          <w:b/>
        </w:rPr>
        <w:t xml:space="preserve">Test evidence: </w:t>
      </w:r>
      <w:r>
        <w:t>A positive What If scenario showed CA-008 applying with a 12-hour sign-in frequency session control. An excluded-user scenario showed CA-008 not applying because the user/group condition was not met.</w:t>
      </w:r>
    </w:p>
    <w:p>
      <w:r>
        <w:rPr>
          <w:b/>
        </w:rPr>
        <w:t xml:space="preserve">Finding: </w:t>
      </w:r>
      <w:r>
        <w:t>The session-control policy applied to the targeted scenario and respected the tested user exclusion.</w:t>
      </w:r>
    </w:p>
    <w:p>
      <w:r>
        <w:rPr>
          <w:b/>
        </w:rPr>
        <w:t xml:space="preserve">Recommendation: </w:t>
      </w:r>
      <w:r>
        <w:t>Balance the 12-hour reauthentication interval against user experience and resource sensitivity. Review exclusions and sign-in behavior before moving the policy from Report-only to enforcement.</w:t>
      </w:r>
    </w:p>
    <w:p>
      <w:pPr>
        <w:pStyle w:val="Heading1"/>
      </w:pPr>
      <w:r>
        <w:t>Cross-Policy Security Observations</w:t>
      </w:r>
    </w:p>
    <w:p>
      <w:pPr>
        <w:pStyle w:val="ListBullet"/>
      </w:pPr>
      <w:r>
        <w:t>Report-only validation reduces deployment risk by allowing policy logic and expected impact to be reviewed before enforcement.</w:t>
      </w:r>
    </w:p>
    <w:p>
      <w:pPr>
        <w:pStyle w:val="ListBullet"/>
      </w:pPr>
      <w:r>
        <w:t>Positive and negative test cases are both important evidence: a policy applying to the intended scenario and not applying when its condition is absent demonstrate different parts of the design.</w:t>
      </w:r>
    </w:p>
    <w:p>
      <w:pPr>
        <w:pStyle w:val="ListBullet"/>
      </w:pPr>
      <w:r>
        <w:t>Exclusions should remain narrowly scoped, documented, and periodically reviewed because broad exclusions can weaken otherwise strong Conditional Access controls.</w:t>
      </w:r>
    </w:p>
    <w:p>
      <w:pPr>
        <w:pStyle w:val="ListBullet"/>
      </w:pPr>
      <w:r>
        <w:t>Privileged identities warrant stronger protection and careful role governance because administrative access can change tenant-wide security configuration.</w:t>
      </w:r>
    </w:p>
    <w:p>
      <w:pPr>
        <w:pStyle w:val="ListBullet"/>
      </w:pPr>
      <w:r>
        <w:t>Risk-based and device-based policies depend on supporting capabilities such as risk detection, device compliance data, MFA registration, and user remediation workflows.</w:t>
      </w:r>
    </w:p>
    <w:p>
      <w:pPr>
        <w:pStyle w:val="Heading1"/>
      </w:pPr>
      <w:r>
        <w:t>Recommended Production Rollout Approach</w:t>
      </w:r>
    </w:p>
    <w:p>
      <w:pPr>
        <w:pStyle w:val="ListNumber"/>
      </w:pPr>
      <w:r>
        <w:t>Confirm scope, dependencies, and exclusions for each policy.</w:t>
      </w:r>
    </w:p>
    <w:p>
      <w:pPr>
        <w:pStyle w:val="ListNumber"/>
      </w:pPr>
      <w:r>
        <w:t>Review Report-only and sign-in results for unexpected impact.</w:t>
      </w:r>
    </w:p>
    <w:p>
      <w:pPr>
        <w:pStyle w:val="ListNumber"/>
      </w:pPr>
      <w:r>
        <w:t>Validate emergency-access procedures and exclude only designated emergency accounts where appropriate.</w:t>
      </w:r>
    </w:p>
    <w:p>
      <w:pPr>
        <w:pStyle w:val="ListNumber"/>
      </w:pPr>
      <w:r>
        <w:t>Pilot enforcement with a limited population before broad deployment.</w:t>
      </w:r>
    </w:p>
    <w:p>
      <w:pPr>
        <w:pStyle w:val="ListNumber"/>
      </w:pPr>
      <w:r>
        <w:t>Monitor sign-ins, support issues, and security events after each change.</w:t>
      </w:r>
    </w:p>
    <w:p>
      <w:pPr>
        <w:pStyle w:val="ListNumber"/>
      </w:pPr>
      <w:r>
        <w:t>Document approvals, exceptions, and rollback steps as part of change management.</w:t>
      </w:r>
    </w:p>
    <w:p>
      <w:pPr>
        <w:pStyle w:val="Heading1"/>
      </w:pPr>
      <w:r>
        <w:t>Conclusion</w:t>
      </w:r>
    </w:p>
    <w:p>
      <w:r>
        <w:t>The CTS lab demonstrates a layered Conditional Access design rather than reliance on a single control. The collected What If evidence shows policy targeting across users, roles, client apps, locations, devices, risk conditions, and sessions. The recommended next step for a production environment would be controlled enforcement after dependency, exclusion, and impact review.</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CTS Identity Security Project | Security Findings &amp; Recommendations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