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D0F" w:rsidRDefault="00340D0F" w:rsidP="00340D0F">
      <w:r>
        <w:t>TABLE 1: Stability measurements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628"/>
        <w:gridCol w:w="4950"/>
        <w:gridCol w:w="2340"/>
      </w:tblGrid>
      <w:tr w:rsidR="00340D0F" w:rsidTr="000F7930">
        <w:tc>
          <w:tcPr>
            <w:tcW w:w="2628" w:type="dxa"/>
          </w:tcPr>
          <w:p w:rsidR="00340D0F" w:rsidRDefault="00340D0F" w:rsidP="000F7930">
            <w:r>
              <w:t>Stability type</w:t>
            </w:r>
          </w:p>
        </w:tc>
        <w:tc>
          <w:tcPr>
            <w:tcW w:w="4950" w:type="dxa"/>
          </w:tcPr>
          <w:p w:rsidR="00340D0F" w:rsidRDefault="00340D0F" w:rsidP="000F7930">
            <w:r>
              <w:t>Meaning</w:t>
            </w:r>
          </w:p>
        </w:tc>
        <w:tc>
          <w:tcPr>
            <w:tcW w:w="2340" w:type="dxa"/>
          </w:tcPr>
          <w:p w:rsidR="00340D0F" w:rsidRDefault="00340D0F" w:rsidP="000F7930">
            <w:r>
              <w:t>Measure</w:t>
            </w:r>
          </w:p>
        </w:tc>
      </w:tr>
      <w:tr w:rsidR="00340D0F" w:rsidTr="000F7930">
        <w:tc>
          <w:tcPr>
            <w:tcW w:w="2628" w:type="dxa"/>
          </w:tcPr>
          <w:p w:rsidR="00340D0F" w:rsidRDefault="00340D0F" w:rsidP="000F7930">
            <w:r>
              <w:t>Asymptotic resilience (</w:t>
            </w:r>
            <w:proofErr w:type="spellStart"/>
            <w:r>
              <w:t>Arnoldi</w:t>
            </w:r>
            <w:proofErr w:type="spellEnd"/>
            <w:r>
              <w:t xml:space="preserve"> et al. 2016)</w:t>
            </w:r>
          </w:p>
          <w:p w:rsidR="00340D0F" w:rsidRDefault="00340D0F" w:rsidP="000F7930">
            <w:r>
              <w:t>Return rate (Ives et al. 2013)</w:t>
            </w:r>
          </w:p>
        </w:tc>
        <w:tc>
          <w:tcPr>
            <w:tcW w:w="4950" w:type="dxa"/>
          </w:tcPr>
          <w:p w:rsidR="00340D0F" w:rsidRDefault="00340D0F" w:rsidP="000F7930">
            <w:r>
              <w:t>Rate of return to equilibrium (assuming linear, deterministic model) following a disturbance</w:t>
            </w:r>
          </w:p>
        </w:tc>
        <w:tc>
          <w:tcPr>
            <w:tcW w:w="2340" w:type="dxa"/>
          </w:tcPr>
          <w:p w:rsidR="00340D0F" w:rsidRDefault="00340D0F" w:rsidP="000F7930">
            <w:r>
              <w:t>Largest (dominant) eigenvalue of community matrix</w:t>
            </w:r>
          </w:p>
          <w:p w:rsidR="00340D0F" w:rsidRDefault="00340D0F" w:rsidP="000F7930">
            <w:r>
              <w:t>(</w:t>
            </w:r>
            <w:proofErr w:type="gramStart"/>
            <w:r>
              <w:t>max</w:t>
            </w:r>
            <w:proofErr w:type="gramEnd"/>
            <w:r>
              <w:t xml:space="preserve"> </w:t>
            </w:r>
            <w:proofErr w:type="spellStart"/>
            <w:r>
              <w:rPr>
                <w:rFonts w:ascii="Cambria" w:hAnsi="Cambria"/>
              </w:rPr>
              <w:t>λ</w:t>
            </w:r>
            <w:r w:rsidRPr="007A6352">
              <w:rPr>
                <w:vertAlign w:val="subscript"/>
              </w:rPr>
              <w:t>B</w:t>
            </w:r>
            <w:proofErr w:type="spellEnd"/>
            <w:r>
              <w:t>)</w:t>
            </w:r>
          </w:p>
        </w:tc>
      </w:tr>
      <w:tr w:rsidR="00340D0F" w:rsidTr="000F7930">
        <w:tc>
          <w:tcPr>
            <w:tcW w:w="2628" w:type="dxa"/>
          </w:tcPr>
          <w:p w:rsidR="00340D0F" w:rsidRDefault="00340D0F" w:rsidP="000F7930">
            <w:r>
              <w:t>Intrinsic Stochastic invariability (</w:t>
            </w:r>
            <w:proofErr w:type="spellStart"/>
            <w:r>
              <w:t>Arnoldi</w:t>
            </w:r>
            <w:proofErr w:type="spellEnd"/>
            <w:r>
              <w:t xml:space="preserve"> et al. 2016)</w:t>
            </w:r>
          </w:p>
        </w:tc>
        <w:tc>
          <w:tcPr>
            <w:tcW w:w="4950" w:type="dxa"/>
          </w:tcPr>
          <w:p w:rsidR="00340D0F" w:rsidRDefault="00340D0F" w:rsidP="000F7930">
            <w:r>
              <w:t>Stochastic variability (</w:t>
            </w:r>
            <w:proofErr w:type="spellStart"/>
            <w:r>
              <w:t>Vs</w:t>
            </w:r>
            <w:proofErr w:type="spellEnd"/>
            <w:r>
              <w:t xml:space="preserve">) is the maximal system response to a white noise or a sequence of uncorrelated shocks, determined by computing the spectral norm of the covariance matrix (Figure 3, </w:t>
            </w:r>
            <w:proofErr w:type="spellStart"/>
            <w:r>
              <w:t>Arnoldi</w:t>
            </w:r>
            <w:proofErr w:type="spellEnd"/>
            <w:r>
              <w:t xml:space="preserve"> et al. 2016)</w:t>
            </w:r>
          </w:p>
        </w:tc>
        <w:tc>
          <w:tcPr>
            <w:tcW w:w="2340" w:type="dxa"/>
          </w:tcPr>
          <w:p w:rsidR="00340D0F" w:rsidRDefault="00340D0F" w:rsidP="000F7930">
            <w:r>
              <w:t>I</w:t>
            </w:r>
            <w:r w:rsidRPr="00DE6C21">
              <w:rPr>
                <w:vertAlign w:val="subscript"/>
              </w:rPr>
              <w:t>s</w:t>
            </w:r>
            <w:r>
              <w:t xml:space="preserve"> = 1/(2V</w:t>
            </w:r>
            <w:r w:rsidRPr="00DE6C21">
              <w:rPr>
                <w:vertAlign w:val="subscript"/>
              </w:rPr>
              <w:t>s</w:t>
            </w:r>
            <w:r>
              <w:t>)</w:t>
            </w:r>
          </w:p>
          <w:p w:rsidR="00340D0F" w:rsidRDefault="00340D0F" w:rsidP="000F7930"/>
          <w:p w:rsidR="00340D0F" w:rsidRDefault="00340D0F" w:rsidP="000F7930">
            <w:r>
              <w:t xml:space="preserve">Where </w:t>
            </w:r>
            <w:proofErr w:type="spellStart"/>
            <w:r>
              <w:t>Vs</w:t>
            </w:r>
            <w:proofErr w:type="spellEnd"/>
            <w:r>
              <w:t xml:space="preserve"> = function of covariance matrix</w:t>
            </w:r>
          </w:p>
        </w:tc>
      </w:tr>
      <w:tr w:rsidR="00340D0F" w:rsidTr="000F7930">
        <w:tc>
          <w:tcPr>
            <w:tcW w:w="2628" w:type="dxa"/>
          </w:tcPr>
          <w:p w:rsidR="00340D0F" w:rsidRDefault="00340D0F" w:rsidP="000F7930">
            <w:r>
              <w:t>Reactivity or Initial resilience (</w:t>
            </w:r>
            <w:proofErr w:type="spellStart"/>
            <w:r>
              <w:t>Arnoldi</w:t>
            </w:r>
            <w:proofErr w:type="spellEnd"/>
            <w:r>
              <w:t xml:space="preserve"> et al. 2016, Snyder 2010). High initial resilience is equivalent to non-reactivity</w:t>
            </w:r>
          </w:p>
        </w:tc>
        <w:tc>
          <w:tcPr>
            <w:tcW w:w="4950" w:type="dxa"/>
          </w:tcPr>
          <w:p w:rsidR="00340D0F" w:rsidRDefault="00340D0F" w:rsidP="000F7930">
            <w:r>
              <w:t>Instantaneous displacement after a perturbation. Initial resilience is positive when the system is non-reactive.</w:t>
            </w:r>
          </w:p>
        </w:tc>
        <w:tc>
          <w:tcPr>
            <w:tcW w:w="2340" w:type="dxa"/>
          </w:tcPr>
          <w:p w:rsidR="00340D0F" w:rsidRDefault="00340D0F" w:rsidP="000F7930">
            <w:r>
              <w:t>-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>(</w:t>
            </w:r>
            <w:r>
              <w:rPr>
                <w:rFonts w:ascii="Cambria" w:hAnsi="Cambria"/>
              </w:rPr>
              <w:t>Σ</w:t>
            </w:r>
            <w:r>
              <w:t>)/</w:t>
            </w:r>
            <w:proofErr w:type="spellStart"/>
            <w:r>
              <w:t>tr</w:t>
            </w:r>
            <w:proofErr w:type="spellEnd"/>
            <w:r>
              <w:t>(V</w:t>
            </w:r>
            <w:r w:rsidRPr="007A6352">
              <w:rPr>
                <w:rFonts w:ascii="Cambria" w:hAnsi="Cambria"/>
                <w:vertAlign w:val="subscript"/>
              </w:rPr>
              <w:t>∞</w:t>
            </w:r>
            <w:r>
              <w:rPr>
                <w:rFonts w:ascii="Cambria" w:hAnsi="Cambria"/>
              </w:rPr>
              <w:t>)</w:t>
            </w:r>
          </w:p>
          <w:p w:rsidR="00340D0F" w:rsidRDefault="00340D0F" w:rsidP="000F7930">
            <w:proofErr w:type="gramStart"/>
            <w:r>
              <w:t>max</w:t>
            </w:r>
            <w:proofErr w:type="gram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λ</w:t>
            </w:r>
            <w:r w:rsidRPr="007A6352">
              <w:rPr>
                <w:vertAlign w:val="subscript"/>
              </w:rPr>
              <w:t>B</w:t>
            </w:r>
            <w:r>
              <w:rPr>
                <w:vertAlign w:val="subscript"/>
              </w:rPr>
              <w:t>’B</w:t>
            </w:r>
            <w:proofErr w:type="spellEnd"/>
          </w:p>
        </w:tc>
      </w:tr>
      <w:tr w:rsidR="00340D0F" w:rsidTr="000F7930">
        <w:tc>
          <w:tcPr>
            <w:tcW w:w="2628" w:type="dxa"/>
          </w:tcPr>
          <w:p w:rsidR="00340D0F" w:rsidRDefault="00340D0F" w:rsidP="000F7930">
            <w:r>
              <w:t>Population CV (PCV)</w:t>
            </w:r>
          </w:p>
        </w:tc>
        <w:tc>
          <w:tcPr>
            <w:tcW w:w="4950" w:type="dxa"/>
          </w:tcPr>
          <w:p w:rsidR="00340D0F" w:rsidRDefault="00340D0F" w:rsidP="000F7930">
            <w:r>
              <w:t>The average variability of individual populations through time measured as the coefficient of variation</w:t>
            </w:r>
          </w:p>
        </w:tc>
        <w:tc>
          <w:tcPr>
            <w:tcW w:w="2340" w:type="dxa"/>
          </w:tcPr>
          <w:p w:rsidR="00340D0F" w:rsidRDefault="00340D0F" w:rsidP="000F7930">
            <w:r>
              <w:t xml:space="preserve">The average of individual CVs for each population </w:t>
            </w:r>
          </w:p>
        </w:tc>
      </w:tr>
      <w:tr w:rsidR="00340D0F" w:rsidTr="000F7930">
        <w:tc>
          <w:tcPr>
            <w:tcW w:w="2628" w:type="dxa"/>
          </w:tcPr>
          <w:p w:rsidR="00340D0F" w:rsidRDefault="00340D0F" w:rsidP="000F7930">
            <w:r>
              <w:t>Weighted Population CV (WPCV)</w:t>
            </w:r>
          </w:p>
        </w:tc>
        <w:tc>
          <w:tcPr>
            <w:tcW w:w="4950" w:type="dxa"/>
          </w:tcPr>
          <w:p w:rsidR="00340D0F" w:rsidRDefault="00340D0F" w:rsidP="000F7930">
            <w:r>
              <w:t>The variability of individual populations over time, using a weighted average of each of the population biomass CVs.</w:t>
            </w:r>
          </w:p>
        </w:tc>
        <w:tc>
          <w:tcPr>
            <w:tcW w:w="2340" w:type="dxa"/>
          </w:tcPr>
          <w:p w:rsidR="00340D0F" w:rsidRDefault="00340D0F" w:rsidP="000F7930">
            <w:r>
              <w:t>The average of individual CVs for each species biomass weighted by the contribution of each population to the total community biomass</w:t>
            </w:r>
          </w:p>
        </w:tc>
      </w:tr>
      <w:tr w:rsidR="00340D0F" w:rsidTr="000F7930">
        <w:tc>
          <w:tcPr>
            <w:tcW w:w="2628" w:type="dxa"/>
          </w:tcPr>
          <w:p w:rsidR="00340D0F" w:rsidRDefault="00340D0F" w:rsidP="000F7930">
            <w:r>
              <w:t>Community Variability</w:t>
            </w:r>
            <w:r>
              <w:br/>
              <w:t>(CCV)</w:t>
            </w:r>
          </w:p>
        </w:tc>
        <w:tc>
          <w:tcPr>
            <w:tcW w:w="4950" w:type="dxa"/>
          </w:tcPr>
          <w:p w:rsidR="00340D0F" w:rsidRDefault="00340D0F" w:rsidP="000F7930">
            <w:r>
              <w:t>The variability of the entire community (zooplankton and algae) over time measured as the CV of total community biomass.</w:t>
            </w:r>
          </w:p>
        </w:tc>
        <w:tc>
          <w:tcPr>
            <w:tcW w:w="2340" w:type="dxa"/>
          </w:tcPr>
          <w:p w:rsidR="00340D0F" w:rsidRDefault="00340D0F" w:rsidP="000F7930">
            <w:r>
              <w:t>The CV of total community biomass over time</w:t>
            </w:r>
          </w:p>
        </w:tc>
      </w:tr>
      <w:tr w:rsidR="00340D0F" w:rsidTr="000F7930">
        <w:tc>
          <w:tcPr>
            <w:tcW w:w="2628" w:type="dxa"/>
          </w:tcPr>
          <w:p w:rsidR="00340D0F" w:rsidRDefault="00340D0F" w:rsidP="000F7930"/>
        </w:tc>
        <w:tc>
          <w:tcPr>
            <w:tcW w:w="4950" w:type="dxa"/>
          </w:tcPr>
          <w:p w:rsidR="00340D0F" w:rsidRDefault="00340D0F" w:rsidP="000F7930"/>
        </w:tc>
        <w:tc>
          <w:tcPr>
            <w:tcW w:w="2340" w:type="dxa"/>
          </w:tcPr>
          <w:p w:rsidR="00340D0F" w:rsidRDefault="00340D0F" w:rsidP="000F7930"/>
        </w:tc>
      </w:tr>
      <w:tr w:rsidR="00340D0F" w:rsidTr="000F7930">
        <w:tc>
          <w:tcPr>
            <w:tcW w:w="2628" w:type="dxa"/>
          </w:tcPr>
          <w:p w:rsidR="00340D0F" w:rsidRDefault="00340D0F" w:rsidP="000F7930">
            <w:r>
              <w:t>Rate of convergence of the transition distribution to the stationary distribution</w:t>
            </w:r>
          </w:p>
        </w:tc>
        <w:tc>
          <w:tcPr>
            <w:tcW w:w="4950" w:type="dxa"/>
          </w:tcPr>
          <w:p w:rsidR="00340D0F" w:rsidRDefault="00340D0F" w:rsidP="000F7930">
            <w:r>
              <w:t>The rate at which the transition distribution returns to the stationary distribution (which is not a stable point in a stochastic model). This is related to asymptotic resilience, but not completely (Ives pg. 309)</w:t>
            </w:r>
          </w:p>
        </w:tc>
        <w:tc>
          <w:tcPr>
            <w:tcW w:w="2340" w:type="dxa"/>
          </w:tcPr>
          <w:p w:rsidR="00340D0F" w:rsidRDefault="00340D0F" w:rsidP="000F7930">
            <w:pPr>
              <w:rPr>
                <w:vertAlign w:val="subscript"/>
              </w:rPr>
            </w:pPr>
            <w:proofErr w:type="gramStart"/>
            <w:r>
              <w:t>max</w:t>
            </w:r>
            <w:proofErr w:type="gramEnd"/>
            <w:r>
              <w:t xml:space="preserve"> </w:t>
            </w:r>
            <w:proofErr w:type="spellStart"/>
            <w:r>
              <w:rPr>
                <w:rFonts w:ascii="Cambria" w:hAnsi="Cambria"/>
              </w:rPr>
              <w:t>λ</w:t>
            </w:r>
            <w:r w:rsidRPr="007A6352">
              <w:rPr>
                <w:vertAlign w:val="subscript"/>
              </w:rPr>
              <w:t>B</w:t>
            </w:r>
            <w:r w:rsidRPr="006C0C64">
              <w:rPr>
                <w:sz w:val="18"/>
                <w:szCs w:val="18"/>
                <w:vertAlign w:val="subscript"/>
              </w:rPr>
              <w:t>X</w:t>
            </w:r>
            <w:r>
              <w:rPr>
                <w:vertAlign w:val="subscript"/>
              </w:rPr>
              <w:t>B</w:t>
            </w:r>
            <w:proofErr w:type="spellEnd"/>
          </w:p>
          <w:p w:rsidR="00340D0F" w:rsidRDefault="00340D0F" w:rsidP="000F7930">
            <w:pPr>
              <w:rPr>
                <w:vertAlign w:val="subscript"/>
              </w:rPr>
            </w:pPr>
          </w:p>
          <w:p w:rsidR="00340D0F" w:rsidRDefault="00340D0F" w:rsidP="000F7930">
            <w:r>
              <w:t>(</w:t>
            </w:r>
            <w:r w:rsidRPr="00920F74">
              <w:t xml:space="preserve">Max eigenvalue of the </w:t>
            </w:r>
            <w:proofErr w:type="spellStart"/>
            <w:r w:rsidRPr="00920F74">
              <w:t>Kronecker</w:t>
            </w:r>
            <w:proofErr w:type="spellEnd"/>
            <w:r w:rsidRPr="00920F74">
              <w:t xml:space="preserve"> product?)</w:t>
            </w:r>
            <w:r>
              <w:t xml:space="preserve"> </w:t>
            </w:r>
          </w:p>
        </w:tc>
      </w:tr>
      <w:tr w:rsidR="00340D0F" w:rsidTr="000F7930">
        <w:tc>
          <w:tcPr>
            <w:tcW w:w="2628" w:type="dxa"/>
          </w:tcPr>
          <w:p w:rsidR="00340D0F" w:rsidRPr="00256935" w:rsidRDefault="00340D0F" w:rsidP="000F7930">
            <w:r w:rsidRPr="00256935">
              <w:t>Variation along the dominant eigenvector</w:t>
            </w:r>
          </w:p>
        </w:tc>
        <w:tc>
          <w:tcPr>
            <w:tcW w:w="4950" w:type="dxa"/>
          </w:tcPr>
          <w:p w:rsidR="00340D0F" w:rsidRPr="00256935" w:rsidRDefault="00340D0F" w:rsidP="000F7930">
            <w:r w:rsidRPr="00256935">
              <w:t xml:space="preserve">The best </w:t>
            </w:r>
            <w:proofErr w:type="gramStart"/>
            <w:r w:rsidRPr="00256935">
              <w:t>one dimensional</w:t>
            </w:r>
            <w:proofErr w:type="gramEnd"/>
            <w:r w:rsidRPr="00256935">
              <w:t xml:space="preserve"> estimate for the multidimensional system. Larger means less stable. </w:t>
            </w:r>
          </w:p>
        </w:tc>
        <w:tc>
          <w:tcPr>
            <w:tcW w:w="2340" w:type="dxa"/>
          </w:tcPr>
          <w:p w:rsidR="00340D0F" w:rsidRPr="00256935" w:rsidRDefault="00340D0F" w:rsidP="000F7930">
            <w:r w:rsidRPr="00256935">
              <w:t xml:space="preserve">1/(1-eig^2) </w:t>
            </w:r>
          </w:p>
        </w:tc>
      </w:tr>
      <w:tr w:rsidR="00340D0F" w:rsidTr="000F7930">
        <w:tc>
          <w:tcPr>
            <w:tcW w:w="2628" w:type="dxa"/>
          </w:tcPr>
          <w:p w:rsidR="00340D0F" w:rsidRDefault="00340D0F" w:rsidP="000F7930">
            <w:r>
              <w:t>Variance of the stationary distribution (Ives et al. 2013)</w:t>
            </w:r>
          </w:p>
        </w:tc>
        <w:tc>
          <w:tcPr>
            <w:tcW w:w="4950" w:type="dxa"/>
          </w:tcPr>
          <w:p w:rsidR="00340D0F" w:rsidRDefault="00340D0F" w:rsidP="000F7930">
            <w:r>
              <w:t xml:space="preserve">Measures the size of the stationary distribution relative to the size of the distribution of process (environmental variation) errors. A measure of how much </w:t>
            </w:r>
            <w:r>
              <w:lastRenderedPageBreak/>
              <w:t>species interactions amplify environmental variability</w:t>
            </w:r>
          </w:p>
        </w:tc>
        <w:tc>
          <w:tcPr>
            <w:tcW w:w="2340" w:type="dxa"/>
          </w:tcPr>
          <w:p w:rsidR="00340D0F" w:rsidRPr="00256935" w:rsidRDefault="00340D0F" w:rsidP="000F7930">
            <w:pPr>
              <w:rPr>
                <w:highlight w:val="yellow"/>
              </w:rPr>
            </w:pPr>
            <w:proofErr w:type="spellStart"/>
            <w:r>
              <w:lastRenderedPageBreak/>
              <w:t>Det</w:t>
            </w:r>
            <w:proofErr w:type="spellEnd"/>
            <w:r>
              <w:t xml:space="preserve"> (B) </w:t>
            </w:r>
            <w:r w:rsidRPr="007A6352">
              <w:rPr>
                <w:vertAlign w:val="superscript"/>
              </w:rPr>
              <w:t>2/p</w:t>
            </w:r>
            <w:r>
              <w:rPr>
                <w:highlight w:val="yellow"/>
              </w:rPr>
              <w:t xml:space="preserve"> </w:t>
            </w:r>
            <w:r>
              <w:t xml:space="preserve">  </w:t>
            </w:r>
            <w:proofErr w:type="spellStart"/>
            <w:r>
              <w:t>Determ</w:t>
            </w:r>
            <w:proofErr w:type="spellEnd"/>
            <w:r>
              <w:t>.</w:t>
            </w:r>
            <w:r w:rsidRPr="007D7B98">
              <w:t xml:space="preserve"> </w:t>
            </w:r>
            <w:proofErr w:type="gramStart"/>
            <w:r w:rsidRPr="007D7B98">
              <w:t>of</w:t>
            </w:r>
            <w:proofErr w:type="gramEnd"/>
            <w:r w:rsidRPr="007D7B98">
              <w:t xml:space="preserve"> a matrix (B) the prod</w:t>
            </w:r>
            <w:r>
              <w:t>ucts of all eigenvalues,</w:t>
            </w:r>
            <w:r w:rsidRPr="007D7B98">
              <w:t xml:space="preserve"> </w:t>
            </w:r>
            <w:r>
              <w:t xml:space="preserve">p is the </w:t>
            </w:r>
            <w:r>
              <w:lastRenderedPageBreak/>
              <w:t xml:space="preserve"># of sp. in the matrix. </w:t>
            </w:r>
          </w:p>
        </w:tc>
      </w:tr>
      <w:tr w:rsidR="00340D0F" w:rsidTr="000F7930">
        <w:tc>
          <w:tcPr>
            <w:tcW w:w="2628" w:type="dxa"/>
          </w:tcPr>
          <w:p w:rsidR="00340D0F" w:rsidRDefault="00340D0F" w:rsidP="000F7930">
            <w:r>
              <w:lastRenderedPageBreak/>
              <w:t>Intrinsic deterministic variability</w:t>
            </w:r>
          </w:p>
        </w:tc>
        <w:tc>
          <w:tcPr>
            <w:tcW w:w="4950" w:type="dxa"/>
          </w:tcPr>
          <w:p w:rsidR="00340D0F" w:rsidRDefault="00340D0F" w:rsidP="000F7930">
            <w:r>
              <w:t>The inverse of the maximal amplitude gain over all single-frequency periodic signals - basically looking at the maximum system response to different frequencies and directions of perturbations</w:t>
            </w:r>
          </w:p>
        </w:tc>
        <w:tc>
          <w:tcPr>
            <w:tcW w:w="2340" w:type="dxa"/>
          </w:tcPr>
          <w:p w:rsidR="00340D0F" w:rsidRDefault="00340D0F" w:rsidP="000F7930">
            <w:pPr>
              <w:rPr>
                <w:vertAlign w:val="subscript"/>
              </w:rPr>
            </w:pPr>
            <w:r>
              <w:t>I</w:t>
            </w:r>
            <w:r w:rsidRPr="0051429B">
              <w:rPr>
                <w:vertAlign w:val="subscript"/>
              </w:rPr>
              <w:t xml:space="preserve">D </w:t>
            </w:r>
            <w:r>
              <w:t>= 1/V</w:t>
            </w:r>
            <w:r w:rsidRPr="00931F83">
              <w:rPr>
                <w:vertAlign w:val="subscript"/>
              </w:rPr>
              <w:t>D</w:t>
            </w:r>
            <w:r>
              <w:rPr>
                <w:vertAlign w:val="subscript"/>
              </w:rPr>
              <w:t xml:space="preserve"> </w:t>
            </w:r>
          </w:p>
          <w:p w:rsidR="00340D0F" w:rsidRPr="00931F83" w:rsidRDefault="00340D0F" w:rsidP="000F7930">
            <w:r>
              <w:t>Where V</w:t>
            </w:r>
            <w:r w:rsidRPr="00931F83">
              <w:rPr>
                <w:vertAlign w:val="subscript"/>
              </w:rPr>
              <w:t>D</w:t>
            </w:r>
            <w:r>
              <w:t xml:space="preserve"> = deterministic variability which is the maximum system response</w:t>
            </w:r>
          </w:p>
        </w:tc>
      </w:tr>
    </w:tbl>
    <w:p w:rsidR="00340D0F" w:rsidRDefault="00340D0F" w:rsidP="00340D0F">
      <w:pPr>
        <w:rPr>
          <w:b/>
        </w:rPr>
      </w:pPr>
    </w:p>
    <w:p w:rsidR="00340D0F" w:rsidRDefault="00340D0F" w:rsidP="00340D0F">
      <w:pPr>
        <w:rPr>
          <w:b/>
        </w:rPr>
      </w:pPr>
    </w:p>
    <w:p w:rsidR="009D346A" w:rsidRDefault="009D346A">
      <w:bookmarkStart w:id="0" w:name="_GoBack"/>
      <w:bookmarkEnd w:id="0"/>
    </w:p>
    <w:sectPr w:rsidR="009D346A" w:rsidSect="00EB08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0F"/>
    <w:rsid w:val="00340D0F"/>
    <w:rsid w:val="00532145"/>
    <w:rsid w:val="009D346A"/>
    <w:rsid w:val="00EB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7B9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1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4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40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1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4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40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2324</Characters>
  <Application>Microsoft Macintosh Word</Application>
  <DocSecurity>0</DocSecurity>
  <Lines>19</Lines>
  <Paragraphs>5</Paragraphs>
  <ScaleCrop>false</ScaleCrop>
  <Company>Ohio Wesleyan University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Downing</dc:creator>
  <cp:keywords/>
  <dc:description/>
  <cp:lastModifiedBy>Amy Downing</cp:lastModifiedBy>
  <cp:revision>1</cp:revision>
  <dcterms:created xsi:type="dcterms:W3CDTF">2016-07-15T15:08:00Z</dcterms:created>
  <dcterms:modified xsi:type="dcterms:W3CDTF">2016-07-15T15:08:00Z</dcterms:modified>
</cp:coreProperties>
</file>