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5319" w:rsidRDefault="00000000">
      <w:pPr>
        <w:pStyle w:val="Title"/>
      </w:pPr>
      <w:r>
        <w:t>TANGO: A reliable, open-source, browser-based task to assess individual differences in gaze understanding in 3 to 5-year-old children and adults</w:t>
      </w:r>
    </w:p>
    <w:p w:rsidR="00E85319" w:rsidRPr="00357E6D" w:rsidRDefault="00000000">
      <w:pPr>
        <w:pStyle w:val="Author"/>
        <w:rPr>
          <w:lang w:val="de-DE"/>
        </w:rPr>
      </w:pPr>
      <w:r w:rsidRPr="00357E6D">
        <w:rPr>
          <w:lang w:val="de-DE"/>
        </w:rPr>
        <w:t>Julia Prein</w:t>
      </w:r>
      <w:r w:rsidRPr="00357E6D">
        <w:rPr>
          <w:vertAlign w:val="superscript"/>
          <w:lang w:val="de-DE"/>
        </w:rPr>
        <w:t>1</w:t>
      </w:r>
      <w:r w:rsidRPr="00357E6D">
        <w:rPr>
          <w:lang w:val="de-DE"/>
        </w:rPr>
        <w:t>, Manuel Bohn</w:t>
      </w:r>
      <w:r w:rsidRPr="00357E6D">
        <w:rPr>
          <w:vertAlign w:val="superscript"/>
          <w:lang w:val="de-DE"/>
        </w:rPr>
        <w:t>1</w:t>
      </w:r>
      <w:r w:rsidRPr="00357E6D">
        <w:rPr>
          <w:lang w:val="de-DE"/>
        </w:rPr>
        <w:t>, Steven Kalinke</w:t>
      </w:r>
      <w:r w:rsidRPr="00357E6D">
        <w:rPr>
          <w:vertAlign w:val="superscript"/>
          <w:lang w:val="de-DE"/>
        </w:rPr>
        <w:t>1</w:t>
      </w:r>
      <w:r w:rsidRPr="00357E6D">
        <w:rPr>
          <w:lang w:val="de-DE"/>
        </w:rPr>
        <w:t>, &amp; Daniel B. M. Haun</w:t>
      </w:r>
      <w:r w:rsidRPr="00357E6D">
        <w:rPr>
          <w:vertAlign w:val="superscript"/>
          <w:lang w:val="de-DE"/>
        </w:rPr>
        <w:t>1</w:t>
      </w:r>
    </w:p>
    <w:p w:rsidR="00E85319" w:rsidRDefault="00000000">
      <w:pPr>
        <w:pStyle w:val="Author"/>
      </w:pPr>
      <w:r>
        <w:rPr>
          <w:vertAlign w:val="superscript"/>
        </w:rPr>
        <w:t>1</w:t>
      </w:r>
      <w:r>
        <w:t xml:space="preserve"> Department of Comparative Cultural Psychology, Max Planck Institute for Evolutionary Anthropology, Leipzig, Germany</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Author"/>
      </w:pPr>
      <w:r>
        <w:lastRenderedPageBreak/>
        <w:t>Author note</w:t>
      </w:r>
    </w:p>
    <w:p w:rsidR="00E85319" w:rsidRDefault="00000000">
      <w:pPr>
        <w:pStyle w:val="BodyText"/>
      </w:pPr>
      <w:r>
        <w:t xml:space="preserve">Correspondence concerning this article should be addressed to Julia Prein, Max Planck Institute for Evolutionary Anthropology, Deutscher Platz 6, 04103 Leipzig, Germany. E-mail: </w:t>
      </w:r>
      <w:hyperlink r:id="rId7">
        <w:r>
          <w:rPr>
            <w:rStyle w:val="Hyperlink"/>
          </w:rPr>
          <w:t>julia_prein@eva.mpg.de</w:t>
        </w:r>
      </w:hyperlink>
    </w:p>
    <w:p w:rsidR="00E85319" w:rsidRDefault="00000000">
      <w:pPr>
        <w:pStyle w:val="h1-pagebreak"/>
      </w:pPr>
      <w:r>
        <w:lastRenderedPageBreak/>
        <w:t>Abstract</w:t>
      </w:r>
    </w:p>
    <w:p w:rsidR="00E85319"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iNdividual differences in Gaze understanding - Open); a brief (approx. 5–10min), reliable, open-source task to quantify individual differences in the understanding of gaze cues. Localizing the attentional focus of an agent is crucial in inferring their mental states, building common ground, and thus, supporting cooperation. 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w:t>
      </w:r>
      <w:r w:rsidRPr="00357E6D">
        <w:rPr>
          <w:color w:val="00B0F0"/>
        </w:rPr>
        <w:t>Associations with social-environmental factors and language skills speak toward the validity of the task.</w:t>
      </w:r>
      <w:r>
        <w:t xml:space="preserve"> This work shows a promising way forward in studying individual differences in social cognition and will help us explore the structure and development of our core social-cognitive processes in greater detail.</w:t>
      </w:r>
    </w:p>
    <w:p w:rsidR="00E85319" w:rsidRDefault="00000000">
      <w:pPr>
        <w:pStyle w:val="BodyText"/>
      </w:pPr>
      <w:r>
        <w:rPr>
          <w:i/>
          <w:iCs/>
        </w:rPr>
        <w:t>Keywords:</w:t>
      </w:r>
      <w:r>
        <w:t xml:space="preserve"> social cognition, individual differences, gaze cues, cognitive development</w:t>
      </w:r>
    </w:p>
    <w:p w:rsidR="00E85319" w:rsidRDefault="00000000">
      <w:pPr>
        <w:pStyle w:val="BodyText"/>
      </w:pPr>
      <w:r>
        <w:rPr>
          <w:i/>
          <w:iCs/>
        </w:rPr>
        <w:t>Word count:</w:t>
      </w:r>
      <w:r>
        <w:t xml:space="preserve"> 8590</w:t>
      </w:r>
    </w:p>
    <w:p w:rsidR="00E85319" w:rsidRDefault="00000000">
      <w:pPr>
        <w:pStyle w:val="h1-pagebreak"/>
      </w:pPr>
      <w:r>
        <w:lastRenderedPageBreak/>
        <w:t>TANGO: A reliable, open-source, browser-based task to assess individual differences in gaze understanding in 3 to 5-year-old children and adults</w:t>
      </w:r>
    </w:p>
    <w:p w:rsidR="00E85319" w:rsidRDefault="00000000">
      <w:pPr>
        <w:pStyle w:val="Heading1"/>
      </w:pPr>
      <w:bookmarkStart w:id="0" w:name="introduction"/>
      <w:r>
        <w:t>Introduction</w:t>
      </w:r>
    </w:p>
    <w:p w:rsidR="00E85319" w:rsidRDefault="00000000">
      <w:pPr>
        <w:pStyle w:val="FirstParagraph"/>
      </w:pPr>
      <w:r>
        <w:t>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Rakoczy,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(Happé, Cook, &amp; Bird, 2017; Kidd, Donnelly, &amp; Christiansen, 2018; Lecce, Bianco, Devine, Hughes, &amp; Banerjee, 2014; Mundy et al., 2007; Underwood, 1975).</w:t>
      </w:r>
    </w:p>
    <w:p w:rsidR="00E85319" w:rsidRDefault="00000000">
      <w:pPr>
        <w:pStyle w:val="BodyText"/>
      </w:pPr>
      <w:r>
        <w:t xml:space="preserve">Numerous studies have already examined individual differences in social cognition (for an overview, see Hughes &amp; Devine, 2015; Slaughter, 2015). 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Kanakogi, Kobayashi, &amp; Itakura, 2017). In general, individual differences studies often focus on the relationship between social-cognitive abilities and: (1) family influences, (2) other cognitive constructs, and (3) social behavioral outcomes (for an overview, see Repacholi, 2003). Studies on </w:t>
      </w:r>
      <w:r>
        <w:lastRenderedPageBreak/>
        <w:t>social-cognitive abilities and family influences include the effect of parenting practices (for a review, see Pavarini, de Hollanda Souza, &amp; Hawk, 2013), attachment quality (e.g., Astor et al., 2020), mental state talk (Gola, 2012; Hughes, Ensor, &amp; Marks, 2011; Lecce et al., 2014), and family background as parental education, occupation, sibling interaction and childcare (Bulgarelli &amp; Molina, 2016; Cutting &amp; Dunn, 1999; Dunn, Brown, Slomkowski, Tesla, &amp; Youngblade, 1991). Another group of individual differences studies focuses on the interplay of social and physical cognition (Herrmann, Hernández-Lloreda, Call, Hare, &amp; Tomasello, 2010), executive functions (Benson, Sabbagh, Carlson, &amp; Zelazo, 2012; Buttelmann, Kühn, &amp; Zmyj, 2021; Carlson &amp; Moses, 2001; Carlson, Moses, &amp; Claxton, 2004; Hughes &amp; Ensor, 2007), and language abilities (McEwen et al., 2007; Milligan, Astington, &amp; Dack, 2007; Okumura et al., 2017). Studies on social behavioral outcomes measured the interplay of social cognition and prosociality (for a review, see Imuta, Henry, Slaughter, Selcuk, &amp; Ruffman, 2016; Walker, 2005), stereotypes, resource allocations (Rizzo &amp; Killen, 2018), and moral intentions (Sodian et al., 2016).</w:t>
      </w:r>
    </w:p>
    <w:p w:rsidR="00E85319"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Poulin-Dubois, Goldman, Meltzer, &amp; Psaradellis, 2023; Sodian, 2023; Sodian et al., 2016). This might be because traditional measures of social cognition are not designed to capture variation </w:t>
      </w:r>
      <w:r>
        <w:rPr>
          <w:i/>
          <w:iCs/>
        </w:rPr>
        <w:t>between</w:t>
      </w:r>
      <w:r>
        <w:t xml:space="preserve"> children: they often rely on low trial numbers, small sample sizes, and dichotomous measures. A recent review showed that many studies on social cognition measures failed to report relevant psychometric properties at all (Beaudoin, Leblanc, Gagner, &amp; Beauchamp, 2020) or – when they did – showed mixed results on test-retest reliability (Hughes et al., 2000; Mayes, Klin, Tercyak, Cicchetti, &amp; Cohen, 1996).</w:t>
      </w:r>
    </w:p>
    <w:p w:rsidR="00E85319" w:rsidRDefault="00000000">
      <w:pPr>
        <w:pStyle w:val="BodyText"/>
      </w:pPr>
      <w:r>
        <w:lastRenderedPageBreak/>
        <w:t>To give an example: the most commonly applied prototypical measure for social cognition is the change-of-location false belief task (Baron-Cohen, Leslie, &amp; Frith, 1985; Wimmer &amp; Perner,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Träuble, 2015).</w:t>
      </w:r>
    </w:p>
    <w:p w:rsidR="00E85319" w:rsidRDefault="00000000">
      <w:pPr>
        <w:pStyle w:val="BodyText"/>
      </w:pPr>
      <w:r>
        <w:t>However, from this age onwards, the change-of-location task shows ceiling effects and has very limited diagnostic value (Repacholi,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For example, Sodian et al. (2016) neither found a correlation between two moral Theory of Mind False Belief and Intention tasks at 60 months, nor a relationship between these two factors and implicit False Belief understanding at 18 months.</w:t>
      </w:r>
    </w:p>
    <w:p w:rsidR="00E85319" w:rsidRDefault="00000000">
      <w:pPr>
        <w:pStyle w:val="BodyText"/>
      </w:pPr>
      <w:r>
        <w:lastRenderedPageBreak/>
        <w:t>The “Sandbox task” is one of the few tasks that attempt to overcome these methodological challenges (Begeer, Bernstein, van Wijhe, Scheeren, &amp; Koot, 2012; Bernstein, Thornton, &amp; Sommerville, 2011; Coburn, Bernstein, &amp; Begeer, 2015; Mahy, Bernstein, Gerrard, &amp; Atance, 2017; Sommerville, Bernstein, &amp; Meltzoff, 2013). This continuous FB task measures the degree to which the estimate of another’s belief is biased by one’s own knowledge. Recent work questions the interpretation of this measure (Samuel, Legg, Lurz, &amp; Clayton, 2018a; Samuel, Legg, Lurz,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rsidR="00E85319" w:rsidRDefault="00000000">
      <w:pPr>
        <w:pStyle w:val="BodyText"/>
      </w:pPr>
      <w:r>
        <w:t>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Leekam, 2004).</w:t>
      </w:r>
    </w:p>
    <w:p w:rsidR="00E85319" w:rsidRDefault="00000000">
      <w:pPr>
        <w:pStyle w:val="BodyText"/>
      </w:pPr>
      <w:r>
        <w:t xml:space="preserve">Schaafsma, Pfaff, Spunt, and Adolphs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(Repacholi,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(Molleman, Kurvers, &amp; van den Bos, 2019). The task should serve as a proxy for behavior as it appears in the real world and should be validated in relation to real-world experiences (Repacholi, 2003).</w:t>
      </w:r>
    </w:p>
    <w:p w:rsidR="00E85319" w:rsidRDefault="00000000">
      <w:pPr>
        <w:pStyle w:val="Heading1"/>
      </w:pPr>
      <w:bookmarkStart w:id="1" w:name="a-new-measure-of-gaze-understanding"/>
      <w:bookmarkEnd w:id="0"/>
      <w:r>
        <w:t>A new measure of gaze understanding</w:t>
      </w:r>
    </w:p>
    <w:p w:rsidR="00E85319" w:rsidRDefault="00000000">
      <w:pPr>
        <w:pStyle w:val="FirstParagraph"/>
      </w:pPr>
      <w:r>
        <w:t xml:space="preserve">Our goal was to design a new measure of social cognition that captures individual differences across age groups in a systematic, reliable, and valid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rsidR="00E85319" w:rsidRDefault="00000000">
      <w:pPr>
        <w:pStyle w:val="BodyText"/>
      </w:pPr>
      <w:r>
        <w:t xml:space="preserve">Following an agent’s gaze provides insights into their intentions, thoughts, and feelings by acting as a “front end ability” (Brooks &amp; Meltzoff, 2005, p. 535).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Köymen, 2018; Tomasello et al., 2007). </w:t>
      </w:r>
      <w:r>
        <w:lastRenderedPageBreak/>
        <w:t>In addition, gaze and language development seem to be related (Brooks &amp; Meltzoff, 2005). Gaze facilitates word learning by helping to identify the referent of a new word and has been regarded as a crucial signal of nonverbal communication (Hernik &amp; Broesch, 2019; Macdonald &amp; Tatler, 2013).</w:t>
      </w:r>
    </w:p>
    <w:p w:rsidR="00E85319" w:rsidRDefault="00000000">
      <w:pPr>
        <w:pStyle w:val="BodyText"/>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Raviv &amp; Arnon, 2018 for visual statistical learning). Therefore, children could potentially improve in understanding gaze, fine-tuning the performance of the already existing skill. Consequently, we aimed to assess the differentiation of the ability to understand gaze. Our goal was </w:t>
      </w:r>
      <w:r>
        <w:rPr>
          <w:i/>
          <w:iCs/>
        </w:rPr>
        <w:t>not</w:t>
      </w:r>
      <w:r>
        <w:t xml:space="preserve"> to establish the youngest age at which children understand gaze cues. Rather, we wanted to examine how that ability changes with age. To accurately measure developmental change, we were interested in capturing individual variability.</w:t>
      </w:r>
    </w:p>
    <w:p w:rsidR="00E85319"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rsidR="00E85319"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Köymen, &amp; Frank, 2021; Bohn, Tessler, Merrick, &amp; Frank, 2021; Frank, Sugarman, Horowitz, Lewis, &amp; </w:t>
      </w:r>
      <w:r>
        <w:lastRenderedPageBreak/>
        <w:t>Yurovsky, 2016). This greatly increased the flexibility with which we could modify the stimuli 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rsidR="00E85319" w:rsidRDefault="00000000">
      <w:pPr>
        <w:pStyle w:val="Heading1"/>
      </w:pPr>
      <w:bookmarkStart w:id="2" w:name="task-design"/>
      <w:bookmarkEnd w:id="1"/>
      <w:r>
        <w:t>Task design</w:t>
      </w:r>
    </w:p>
    <w:p w:rsidR="00E85319" w:rsidRDefault="00000000">
      <w:pPr>
        <w:pStyle w:val="Heading2"/>
      </w:pPr>
      <w:bookmarkStart w:id="3" w:name="implementation"/>
      <w:r>
        <w:t>Implementation</w:t>
      </w:r>
    </w:p>
    <w:p w:rsidR="00E85319" w:rsidRDefault="00000000">
      <w:pPr>
        <w:pStyle w:val="FirstParagraph"/>
      </w:pPr>
      <w:r>
        <w:t>The code is open-source (</w:t>
      </w:r>
      <w:hyperlink r:id="rId8">
        <w:r>
          <w:rPr>
            <w:rStyle w:val="Hyperlink"/>
          </w:rPr>
          <w:t>https://github.com/ccp-eva/tango-demo</w:t>
        </w:r>
      </w:hyperlink>
      <w:r>
        <w:t xml:space="preserve">), and a live demo version can be found under: </w:t>
      </w:r>
      <w:hyperlink r:id="rId9">
        <w:r>
          <w:rPr>
            <w:rStyle w:val="Hyperlink"/>
          </w:rPr>
          <w:t>https://ccp-odc.eva.mpg.de/tango-demo/</w:t>
        </w:r>
      </w:hyperlink>
      <w:r>
        <w:t>.</w:t>
      </w:r>
    </w:p>
    <w:p w:rsidR="00E85319"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(.json) containing metadata, trial specifications, and participants’ click responses, and (2) a video file (.webm) of the participant’s webcam recording. These files can either be sent to a server or downloaded to the local device. Personalized links can be created by passing on URL parameters.</w:t>
      </w:r>
    </w:p>
    <w:p w:rsidR="00E85319" w:rsidRDefault="00000000">
      <w:pPr>
        <w:pStyle w:val="Heading2"/>
      </w:pPr>
      <w:bookmarkStart w:id="4" w:name="stimuli"/>
      <w:bookmarkEnd w:id="3"/>
      <w:r>
        <w:lastRenderedPageBreak/>
        <w:t>Stimuli</w:t>
      </w:r>
    </w:p>
    <w:p w:rsidR="00E85319"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rsidR="00E85319" w:rsidRDefault="00000000">
      <w:pPr>
        <w:pStyle w:val="BodyText"/>
      </w:pPr>
      <w:r>
        <w:t>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participant’s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rsidR="00E85319" w:rsidRDefault="00000000">
      <w:pPr>
        <w:pStyle w:val="Heading2"/>
      </w:pPr>
      <w:bookmarkStart w:id="5" w:name="trials"/>
      <w:bookmarkEnd w:id="4"/>
      <w:r>
        <w:t>Trials</w:t>
      </w:r>
    </w:p>
    <w:p w:rsidR="00E85319"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rsidR="00E85319" w:rsidRDefault="00000000">
      <w:pPr>
        <w:pStyle w:val="Heading2"/>
      </w:pPr>
      <w:bookmarkStart w:id="6" w:name="study-versions"/>
      <w:bookmarkEnd w:id="5"/>
      <w:r>
        <w:t>Study versions</w:t>
      </w:r>
    </w:p>
    <w:p w:rsidR="00E85319"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rsidR="00E85319" w:rsidRDefault="00000000">
      <w:pPr>
        <w:pStyle w:val="CaptionedFigure"/>
      </w:pPr>
      <w:r>
        <w:rPr>
          <w:noProof/>
        </w:rPr>
        <w:drawing>
          <wp:inline distT="0" distB="0" distL="0" distR="0">
            <wp:extent cx="5969000" cy="4147876"/>
            <wp:effectExtent l="0" t="0" r="0" b="0"/>
            <wp:docPr id="29"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noChangeArrowheads="1"/>
                    </pic:cNvPicPr>
                  </pic:nvPicPr>
                  <pic:blipFill>
                    <a:blip r:embed="rId10"/>
                    <a:stretch>
                      <a:fillRect/>
                    </a:stretch>
                  </pic:blipFill>
                  <pic:spPr bwMode="auto">
                    <a:xfrm>
                      <a:off x="0" y="0"/>
                      <a:ext cx="5969000" cy="4147876"/>
                    </a:xfrm>
                    <a:prstGeom prst="rect">
                      <a:avLst/>
                    </a:prstGeom>
                    <a:noFill/>
                    <a:ln w="9525">
                      <a:noFill/>
                      <a:headEnd/>
                      <a:tailEnd/>
                    </a:ln>
                  </pic:spPr>
                </pic:pic>
              </a:graphicData>
            </a:graphic>
          </wp:inline>
        </w:drawing>
      </w:r>
    </w:p>
    <w:p w:rsidR="00E85319" w:rsidRDefault="00000000">
      <w:pPr>
        <w:pStyle w:val="ImageCaption"/>
      </w:pPr>
      <w:bookmarkStart w:id="7" w:name="fig:fig1"/>
      <w:bookmarkEnd w:id="7"/>
      <w:r>
        <w:t>Figure</w:t>
      </w:r>
      <w:r>
        <w:rPr>
          <w:i/>
          <w:iCs/>
        </w:rPr>
        <w:t xml:space="preserve"> </w:t>
      </w:r>
      <w:r>
        <w:t xml:space="preserve">1: </w:t>
      </w:r>
      <w:r>
        <w:rPr>
          <w:b/>
          <w:bCs/>
        </w:rPr>
        <w:t>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w:t>
      </w:r>
      <w:r>
        <w:lastRenderedPageBreak/>
        <w:t>the TANGO. Number of boxes (min. 1; max. 8) as potential hiding locations can be set according to the researcher’s need.</w:t>
      </w:r>
    </w:p>
    <w:p w:rsidR="00E85319" w:rsidRDefault="00000000">
      <w:pPr>
        <w:pStyle w:val="Heading2"/>
      </w:pPr>
      <w:bookmarkStart w:id="8" w:name="randomization"/>
      <w:bookmarkEnd w:id="6"/>
      <w:r>
        <w:t>Randomization</w:t>
      </w:r>
    </w:p>
    <w:p w:rsidR="00E85319"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rsidR="00E85319" w:rsidRDefault="00000000">
      <w:pPr>
        <w:pStyle w:val="Heading1"/>
      </w:pPr>
      <w:bookmarkStart w:id="9" w:name="individual-differences"/>
      <w:bookmarkEnd w:id="2"/>
      <w:bookmarkEnd w:id="8"/>
      <w:r>
        <w:t>Individual differences</w:t>
      </w:r>
    </w:p>
    <w:p w:rsidR="00E85319" w:rsidRPr="00B244C0" w:rsidRDefault="00000000">
      <w:pPr>
        <w:pStyle w:val="FirstParagraph"/>
        <w:rPr>
          <w:color w:val="00B0F0"/>
        </w:rPr>
      </w:pPr>
      <w:r>
        <w:t xml:space="preserve">Our first aim was to assess whether the TANGO captures inter-individual variation in a child and adult sample. Furthermore, we were interested in whether and how the data collection mode (in-person vs. remote) influences responses. </w:t>
      </w:r>
      <w:r w:rsidRPr="00B244C0">
        <w:rPr>
          <w:color w:val="00B0F0"/>
        </w:rPr>
        <w:t>Since we expected a greater difference in responses between the two data collection modes for children, the analysis of data collection mode was restricted to a child sample.</w:t>
      </w:r>
    </w:p>
    <w:p w:rsidR="00E85319" w:rsidRDefault="00000000">
      <w:pPr>
        <w:pStyle w:val="BodyText"/>
      </w:pPr>
      <w:r>
        <w:t xml:space="preserve">Task design, data collection, and sample sizes were pre-registered: </w:t>
      </w:r>
      <w:hyperlink r:id="rId11">
        <w:r>
          <w:rPr>
            <w:rStyle w:val="Hyperlink"/>
          </w:rPr>
          <w:t>https://osf.io/snju6</w:t>
        </w:r>
      </w:hyperlink>
      <w:r>
        <w:t xml:space="preserve"> (child sample) and </w:t>
      </w:r>
      <w:hyperlink r:id="rId12">
        <w:r>
          <w:rPr>
            <w:rStyle w:val="Hyperlink"/>
          </w:rPr>
          <w:t>https://osf.io/r3bhn</w:t>
        </w:r>
      </w:hyperlink>
      <w:r>
        <w:t xml:space="preserve"> (adult sample). The analyses reported here were not pre-registered but followed the structure of the ones specified in the above pre-registrations (see Footnotes for deviations). </w:t>
      </w:r>
      <w:r w:rsidRPr="00B244C0">
        <w:rPr>
          <w:color w:val="00B0F0"/>
        </w:rPr>
        <w:t>The additional analyses mentioned in the pre-registrations (e.g., computational model) address separate research questions (e.g., how can we explain the concept and process of gaze understanding?) and will be reported elsewhere. In this paper, we focus on the methodological and psychometric aspects of our task.</w:t>
      </w:r>
    </w:p>
    <w:p w:rsidR="00E85319" w:rsidRDefault="00000000">
      <w:pPr>
        <w:pStyle w:val="BodyText"/>
      </w:pPr>
      <w:r>
        <w:lastRenderedPageBreak/>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E85319" w:rsidRDefault="00000000">
      <w:pPr>
        <w:pStyle w:val="BodyText"/>
      </w:pPr>
      <w:r>
        <w:t>Participants were equally distributed across the two study versions. Data were collected between May and October 2021.</w:t>
      </w:r>
    </w:p>
    <w:p w:rsidR="00E85319" w:rsidRDefault="00000000">
      <w:pPr>
        <w:pStyle w:val="Heading2"/>
      </w:pPr>
      <w:bookmarkStart w:id="10" w:name="participants"/>
      <w:r>
        <w:t>Participants</w:t>
      </w:r>
    </w:p>
    <w:p w:rsidR="00E85319"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rsidR="00E85319" w:rsidRDefault="00000000">
      <w:pPr>
        <w:pStyle w:val="BodyText"/>
      </w:pPr>
      <w:r>
        <w:t>We pre-registered the replacement for participants that finished fewer than four test trials. This was not the case for any participant. One child stopped participation after 12 test trials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rsidR="00E85319" w:rsidRDefault="00000000">
      <w:pPr>
        <w:pStyle w:val="BodyText"/>
      </w:pPr>
      <w:r>
        <w:t xml:space="preserve">For our remote child sample, we recruited families via an internal database of children living in Leipzig, Germany, whose parents volunteered to participate in child development </w:t>
      </w:r>
      <w:r>
        <w:lastRenderedPageBreak/>
        <w:t>studies and who indicated an interest in online studies. Families received an email with a short study description and a personalized link. If they had not participated in the study within two weeks, they received a reminder via email. The response rate to invitations after the reminder was ~50%.</w:t>
      </w:r>
    </w:p>
    <w:p w:rsidR="00E85319"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rsidR="00E85319" w:rsidRDefault="00000000">
      <w:pPr>
        <w:pStyle w:val="BodyText"/>
      </w:pPr>
      <w:r>
        <w:t>Four additional participants were recruited but not included in the study because they were already part of the in-person kindergarten sample (n=3), or because of unknown age (n = 1).</w:t>
      </w:r>
    </w:p>
    <w:p w:rsidR="00E85319" w:rsidRDefault="00000000">
      <w:pPr>
        <w:pStyle w:val="BodyText"/>
      </w:pPr>
      <w:r w:rsidRPr="00B244C0">
        <w:rPr>
          <w:color w:val="00B0F0"/>
        </w:rPr>
        <w:t xml:space="preserve">Please note that we did not collect participant-specific demographics. In the following, we aim to provide context and generalizations based on the broader community and the larger pool of potential participants. </w:t>
      </w:r>
      <w:r>
        <w:t>Children in our sample grow up in an industrialized, urban Central-European context in a city with approximately 600,000 inhabitants. They often live in nuclear two-generational families with few household members. Information on socioeconomic status was not formally recorded, although the majority of families come from mixed, mainly mid to high socioeconomic backgrounds with high levels of parental education. The median individual monthly net income in the year 2021 was ~ 1,600€ for the city of Leipzig.</w:t>
      </w:r>
    </w:p>
    <w:p w:rsidR="00E85319"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service with a predominantly European and US-American subject pool. 100 English-speakers with an average age of 31.34 years (SD = 10.77, range = 18 - 63, 64 </w:t>
      </w:r>
      <w:r>
        <w:lastRenderedPageBreak/>
        <w:t>females) were included. 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United Kingdom (n = 47), South Africa (n = 8), and Portugal (n = 6). Additional, detailed information can be found in the data set online. For completing the study, subjects were paid above the fixed minimum wage (on average £10.00 per hour; see Supplements for further detail).</w:t>
      </w:r>
    </w:p>
    <w:p w:rsidR="00E85319" w:rsidRDefault="00000000">
      <w:pPr>
        <w:pStyle w:val="Heading2"/>
      </w:pPr>
      <w:bookmarkStart w:id="11" w:name="procedure"/>
      <w:bookmarkEnd w:id="10"/>
      <w:r>
        <w:t>Procedure</w:t>
      </w:r>
    </w:p>
    <w:p w:rsidR="00E85319" w:rsidRDefault="00000000">
      <w:pPr>
        <w:pStyle w:val="FirstParagraph"/>
      </w:pPr>
      <w:r>
        <w:t>Children in our in-person sample were tested on a tablet in a quiet room in their kindergarten. An experimenter guided the child through the study.</w:t>
      </w:r>
    </w:p>
    <w:p w:rsidR="00E85319" w:rsidRDefault="00000000">
      <w:pPr>
        <w:pStyle w:val="BodyText"/>
      </w:pPr>
      <w:r>
        <w:t xml:space="preserve">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w:t>
      </w:r>
      <w:r>
        <w:lastRenderedPageBreak/>
        <w:t>task. We assumed that younger children in our sample would not be acquainted with using a computer mouse. Therefore, we asked children to point to the screen, while caregivers were asked to act as the “digital finger” of their children and click on the indicated box.</w:t>
      </w:r>
    </w:p>
    <w:p w:rsidR="00E85319" w:rsidRDefault="00000000">
      <w:pPr>
        <w:pStyle w:val="BodyText"/>
      </w:pPr>
      <w:r>
        <w:t>All participants received 15 test trials. In the box version, we decided to adjust the task difficulty according to the sample: children were presented with five boxes, while adults were presented with eight boxes as possible target locations.</w:t>
      </w:r>
    </w:p>
    <w:p w:rsidR="00E85319" w:rsidRDefault="00000000">
      <w:pPr>
        <w:pStyle w:val="Heading2"/>
      </w:pPr>
      <w:bookmarkStart w:id="12" w:name="analysis"/>
      <w:bookmarkEnd w:id="11"/>
      <w:r>
        <w:t>Analysis</w:t>
      </w:r>
    </w:p>
    <w:p w:rsidR="00E85319" w:rsidRDefault="00000000">
      <w:pPr>
        <w:pStyle w:val="FirstParagraph"/>
      </w:pPr>
      <w:r>
        <w:t xml:space="preserve">All test trials without voice-over descriptions were included in our analyses. We ran all analyses in R version 4.3.0 (2023-04-21)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E85319" w:rsidRDefault="00000000">
      <w:pPr>
        <w:pStyle w:val="BodyText"/>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R: performance ~ age + datacollection + symmetricPosition + trialNr + (1 + symmetricPosition + trialNr | subjID)</w:t>
      </w:r>
      <w:r>
        <w:t>).</w:t>
      </w:r>
      <w:r>
        <w:rPr>
          <w:rStyle w:val="FootnoteReference"/>
        </w:rPr>
        <w:footnoteReference w:id="1"/>
      </w:r>
    </w:p>
    <w:p w:rsidR="00E85319" w:rsidRDefault="00000000">
      <w:pPr>
        <w:pStyle w:val="BodyText"/>
      </w:pPr>
      <w:r>
        <w:lastRenderedPageBreak/>
        <w:t xml:space="preserve">Here, </w:t>
      </w:r>
      <w:r>
        <w:rPr>
          <w:rStyle w:val="VerbatimChar"/>
        </w:rPr>
        <w:t>symmetricPosition</w:t>
      </w:r>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rsidR="00E85319"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Credible Interval (CrI)) for the age and data collection estimates.</w:t>
      </w:r>
    </w:p>
    <w:p w:rsidR="00E85319" w:rsidRDefault="00000000" w:rsidP="00B244C0">
      <w:pPr>
        <w:pStyle w:val="Heading2"/>
      </w:pPr>
      <w:bookmarkStart w:id="13" w:name="results"/>
      <w:bookmarkEnd w:id="12"/>
      <w:r>
        <w:lastRenderedPageBreak/>
        <w:t>Results</w:t>
      </w:r>
    </w:p>
    <w:p w:rsidR="00E85319" w:rsidRDefault="00000000">
      <w:pPr>
        <w:pStyle w:val="CaptionedFigure"/>
      </w:pPr>
      <w:r>
        <w:rPr>
          <w:noProof/>
        </w:rPr>
        <w:drawing>
          <wp:inline distT="0" distB="0" distL="0" distR="0">
            <wp:extent cx="5969000" cy="4591538"/>
            <wp:effectExtent l="0" t="0" r="0" b="0"/>
            <wp:docPr id="42" name="Picture" descr="Figure 2: (ref:figlab2)"/>
            <wp:cNvGraphicFramePr/>
            <a:graphic xmlns:a="http://schemas.openxmlformats.org/drawingml/2006/main">
              <a:graphicData uri="http://schemas.openxmlformats.org/drawingml/2006/picture">
                <pic:pic xmlns:pic="http://schemas.openxmlformats.org/drawingml/2006/picture">
                  <pic:nvPicPr>
                    <pic:cNvPr id="43" name="Picture" descr="../figures/tango_arrangedplot.png"/>
                    <pic:cNvPicPr>
                      <a:picLocks noChangeAspect="1" noChangeArrowheads="1"/>
                    </pic:cNvPicPr>
                  </pic:nvPicPr>
                  <pic:blipFill>
                    <a:blip r:embed="rId13"/>
                    <a:stretch>
                      <a:fillRect/>
                    </a:stretch>
                  </pic:blipFill>
                  <pic:spPr bwMode="auto">
                    <a:xfrm>
                      <a:off x="0" y="0"/>
                      <a:ext cx="5969000" cy="4591538"/>
                    </a:xfrm>
                    <a:prstGeom prst="rect">
                      <a:avLst/>
                    </a:prstGeom>
                    <a:noFill/>
                    <a:ln w="9525">
                      <a:noFill/>
                      <a:headEnd/>
                      <a:tailEnd/>
                    </a:ln>
                  </pic:spPr>
                </pic:pic>
              </a:graphicData>
            </a:graphic>
          </wp:inline>
        </w:drawing>
      </w:r>
    </w:p>
    <w:p w:rsidR="00E85319" w:rsidRDefault="00000000">
      <w:pPr>
        <w:pStyle w:val="ImageCaption"/>
      </w:pPr>
      <w:bookmarkStart w:id="14" w:name="fig:fig2"/>
      <w:bookmarkEnd w:id="14"/>
      <w:r>
        <w:t>Figure</w:t>
      </w:r>
      <w:r>
        <w:rPr>
          <w:i/>
          <w:iCs/>
        </w:rPr>
        <w:t xml:space="preserve"> </w:t>
      </w:r>
      <w:r>
        <w:t xml:space="preserve">2: </w:t>
      </w:r>
      <w:r w:rsidR="00B244C0">
        <w:rPr>
          <w:b/>
          <w:bCs/>
        </w:rPr>
        <w:t>Measuring inter-individual variation</w:t>
      </w:r>
      <w:r w:rsidR="00B244C0">
        <w:t xml:space="preserve">.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w:t>
      </w:r>
      <w:r w:rsidR="00B244C0">
        <w:lastRenderedPageBreak/>
        <w:t xml:space="preserve">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Large points with 95% CI (based on non-parametric bootstrap) represent performance means by age group (binned by year). Small points show the mean performance for each subject averaged across trials. For adult data in (A) and (F), we added minimal horizontal and vertical noise to avoid overplotting. The shape of data points represents data collection mode: opaque circles for in-person supervised data collection and translucent diamonds for remote unsupervised data collection. The color of data points denotes age group. For (B-E) and (G-J), regression lines with 95% CI show smooth conditional mean based on a linear model (generalized linear model for box version), with </w:t>
      </w:r>
      <w:r w:rsidR="00B244C0">
        <w:rPr>
          <w:i/>
          <w:iCs/>
        </w:rPr>
        <w:t>Pearson</w:t>
      </w:r>
      <w:r w:rsidR="00B244C0">
        <w:t xml:space="preserve">’s correlation coefficient </w:t>
      </w:r>
      <w:r w:rsidR="00B244C0">
        <w:rPr>
          <w:i/>
          <w:iCs/>
        </w:rPr>
        <w:t>r</w:t>
      </w:r>
      <w:r w:rsidR="00B244C0">
        <w:t>.</w:t>
      </w:r>
    </w:p>
    <w:p w:rsidR="00E85319" w:rsidRDefault="00000000">
      <w:pPr>
        <w:pStyle w:val="BodyText"/>
      </w:pPr>
      <w: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rsidR="00E85319"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w:t>
      </w:r>
      <w:r>
        <w:lastRenderedPageBreak/>
        <w:t>F). Most participants in the box version performed above chance level. By the end of their sixth year of life, children came close to the adult’s proficiency level. Most importantly, however, we found substantial inter-individual variation across study versions and age groups. For example, some three-year-olds were more precise in their responses than some five-year-olds. Even though variation is smaller, we could even find inter-individual differences in the adult sample.</w:t>
      </w:r>
    </w:p>
    <w:p w:rsidR="00E85319"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rsidR="00E85319"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-0.33; 95% CrI [-0.42; -0.24]) and data collection mode -0.31 (95% CrI </w:t>
      </w:r>
      <w:r>
        <w:lastRenderedPageBreak/>
        <w:t>[-0.49; -0.13]) were negative and reliably different from zero. In the box version, the estimate of age (</w:t>
      </w:r>
      <m:oMath>
        <m:r>
          <w:rPr>
            <w:rFonts w:ascii="Cambria Math" w:hAnsi="Cambria Math"/>
          </w:rPr>
          <m:t>β</m:t>
        </m:r>
      </m:oMath>
      <w:r>
        <w:t xml:space="preserve"> =0.69 (95% CrI [0.45; 0.98])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rsidR="00E85319" w:rsidRDefault="00000000">
      <w:pPr>
        <w:pStyle w:val="BodyText"/>
      </w:pPr>
      <w:r>
        <w:t xml:space="preserve">There was no effect of trial number (hedge version: </w:t>
      </w:r>
      <m:oMath>
        <m:r>
          <w:rPr>
            <w:rFonts w:ascii="Cambria Math" w:hAnsi="Cambria Math"/>
          </w:rPr>
          <m:t>β</m:t>
        </m:r>
      </m:oMath>
      <w:r>
        <w:t xml:space="preserve"> = 0.00; 95% CrI [-0.02; 0.01]; box version: </w:t>
      </w:r>
      <m:oMath>
        <m:r>
          <w:rPr>
            <w:rFonts w:ascii="Cambria Math" w:hAnsi="Cambria Math"/>
          </w:rPr>
          <m:t>β</m:t>
        </m:r>
      </m:oMath>
      <w:r>
        <w:t xml:space="preserve"> = -0.02; 95% CrI [-0.05; 0.01). However, trials differed in difficulty depending on where the target landed (hedge version: </w:t>
      </w:r>
      <m:oMath>
        <m:r>
          <w:rPr>
            <w:rFonts w:ascii="Cambria Math" w:hAnsi="Cambria Math"/>
          </w:rPr>
          <m:t>β</m:t>
        </m:r>
      </m:oMath>
      <w:r>
        <w:t xml:space="preserve"> = 0.32; 95% CrI [0.27; 0.37]; box version: </w:t>
      </w:r>
      <m:oMath>
        <m:r>
          <w:rPr>
            <w:rFonts w:ascii="Cambria Math" w:hAnsi="Cambria Math"/>
          </w:rPr>
          <m:t>β</m:t>
        </m:r>
      </m:oMath>
      <w:r>
        <w:t xml:space="preserve"> = -1.58; 95% CrI [-1.87; -1.31). When the target landed closer to the center of the screen, participants were more accurate in locating it.</w:t>
      </w:r>
    </w:p>
    <w:p w:rsidR="00E85319" w:rsidRDefault="00000000">
      <w:pPr>
        <w:pStyle w:val="Heading2"/>
      </w:pPr>
      <w:bookmarkStart w:id="15" w:name="discussion"/>
      <w:bookmarkEnd w:id="13"/>
      <w:r>
        <w:t>Discussion</w:t>
      </w:r>
    </w:p>
    <w:p w:rsidR="00E85319" w:rsidRDefault="00000000">
      <w:pPr>
        <w:pStyle w:val="FirstParagraph"/>
      </w:pPr>
      <w:r>
        <w:t>Our task measured inter-individual differences in both children and adults; that is, we found substantial variation in individuals across age groups. For example, some three-year-olds showed greater precision levels than some five-year-olds. This holds across both study versions. However, due to the continuous study design, the hedge version was able to capture more fine-grained differences in individual performance. We see substantial developmental gains: with increasing age, participants became on average more and more precise in locating the target. The five-year-olds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rsidR="00E85319" w:rsidRDefault="00000000">
      <w:pPr>
        <w:pStyle w:val="Heading1"/>
      </w:pPr>
      <w:bookmarkStart w:id="16" w:name="Xee2677a22ce334168a006ef43de6fa8425e2a4d"/>
      <w:bookmarkEnd w:id="9"/>
      <w:bookmarkEnd w:id="15"/>
      <w:r>
        <w:lastRenderedPageBreak/>
        <w:t>Internal consistency and test-retest reliability</w:t>
      </w:r>
    </w:p>
    <w:p w:rsidR="00E85319"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14">
        <w:r>
          <w:rPr>
            <w:rStyle w:val="Hyperlink"/>
          </w:rPr>
          <w:t>https://osf.io/xqm73</w:t>
        </w:r>
      </w:hyperlink>
      <w:r>
        <w:t xml:space="preserve"> for the child sample and </w:t>
      </w:r>
      <w:hyperlink r:id="rId15">
        <w:r>
          <w:rPr>
            <w:rStyle w:val="Hyperlink"/>
          </w:rPr>
          <w:t>https://osf.io/nu62m</w:t>
        </w:r>
      </w:hyperlink>
      <w:r>
        <w:t xml:space="preserve"> for the adult sample). Participants were equally distributed across the two study versions. Data was collected between July 2021 and June 2022.</w:t>
      </w:r>
    </w:p>
    <w:p w:rsidR="00E85319"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E85319" w:rsidRDefault="00000000">
      <w:pPr>
        <w:pStyle w:val="Heading2"/>
      </w:pPr>
      <w:bookmarkStart w:id="17" w:name="participants-1"/>
      <w:r>
        <w:t>Participants</w:t>
      </w:r>
    </w:p>
    <w:p w:rsidR="00E85319"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rsidR="00E85319" w:rsidRDefault="00000000">
      <w:pPr>
        <w:pStyle w:val="BodyText"/>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 manifested in too early clicking </w:t>
      </w:r>
      <w:r>
        <w:lastRenderedPageBreak/>
        <w:t xml:space="preserve">in the training trials while the instructions were still playing, and no clicking by themselves in the test trials). Two additional children were recruited for the first day (as backup) in case another child would be absent on the second test day. </w:t>
      </w:r>
      <w:r w:rsidRPr="00713B48">
        <w:rPr>
          <w:color w:val="00B0F0"/>
        </w:rPr>
        <w:t>Similar to our first study, we did not collect participant-specific demographics. For a community-based description of our participant pool, see Participant section of the first study.</w:t>
      </w:r>
    </w:p>
    <w:p w:rsidR="00E85319" w:rsidRDefault="00000000">
      <w:pPr>
        <w:pStyle w:val="BodyText"/>
      </w:pPr>
      <w:r>
        <w:t xml:space="preserve">As in our first study, adults were recruited via </w:t>
      </w:r>
      <w:r>
        <w:rPr>
          <w:i/>
          <w:iCs/>
        </w:rPr>
        <w:t>Prolific</w:t>
      </w:r>
      <w:r>
        <w:t xml:space="preserve"> (Palan &amp; Schitter, 2018). The adult sample included 136 English speakers with an average age of 25.73 years (SD = 8.09, range = 18 - 71, 87 females; see Supplements for further details). Most participants resided in South Africa (n = 48), the United Kingdom (n = 19), and the United States (n = 14). </w:t>
      </w:r>
      <w:r w:rsidRPr="00713B48">
        <w:rPr>
          <w:color w:val="00B0F0"/>
        </w:rPr>
        <w:t>See Supplements and the available online data set for more detailed information.</w:t>
      </w:r>
    </w:p>
    <w:p w:rsidR="00E85319" w:rsidRDefault="00000000">
      <w:pPr>
        <w:pStyle w:val="Heading2"/>
      </w:pPr>
      <w:bookmarkStart w:id="18" w:name="procedure-1"/>
      <w:bookmarkEnd w:id="17"/>
      <w:r>
        <w:t>Procedure</w:t>
      </w:r>
    </w:p>
    <w:p w:rsidR="00E85319"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For the adult sample, we decided to increase the number of trials in order to get more accurate reliability estimates. Trial numbers were multipliers of the possible target locations and therefore differed </w:t>
      </w:r>
      <w:r>
        <w:lastRenderedPageBreak/>
        <w:t>between hedge and box versions. For the child sample, we stuck to the same number of trials to not risk higher attrition rates.</w:t>
      </w:r>
    </w:p>
    <w:p w:rsidR="00E85319" w:rsidRDefault="00000000">
      <w:pPr>
        <w:pStyle w:val="Heading2"/>
      </w:pPr>
      <w:bookmarkStart w:id="19" w:name="analysis-1"/>
      <w:bookmarkEnd w:id="18"/>
      <w:r>
        <w:t>Analysis</w:t>
      </w:r>
    </w:p>
    <w:p w:rsidR="00E85319"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correlation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rsidR="00E85319" w:rsidRDefault="00000000">
      <w:pPr>
        <w:pStyle w:val="BodyText"/>
      </w:pPr>
      <w:r>
        <w:t xml:space="preserve">Pronk, Molenaar, Wiers,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r>
        <w:rPr>
          <w:rStyle w:val="VerbatimChar"/>
        </w:rPr>
        <w:t>by_split</w:t>
      </w:r>
      <w:r>
        <w:t xml:space="preserve"> from the </w:t>
      </w:r>
      <w:r>
        <w:rPr>
          <w:rStyle w:val="VerbatimChar"/>
        </w:rPr>
        <w:t>splithalfr</w:t>
      </w:r>
      <w:r>
        <w:t xml:space="preserve"> package (Pronk et al., 2021).</w:t>
      </w:r>
    </w:p>
    <w:p w:rsidR="00E85319" w:rsidRDefault="00000000">
      <w:pPr>
        <w:pStyle w:val="BodyText"/>
      </w:pPr>
      <w:r>
        <w:lastRenderedPageBreak/>
        <w:t xml:space="preserve">Second, we assessed test-retest reliability. We calculated performance scores (depending on the study version as described above) for each participant in each test session and correlated them using </w:t>
      </w:r>
      <w:r>
        <w:rPr>
          <w:i/>
          <w:iCs/>
        </w:rPr>
        <w:t>Pearson</w:t>
      </w:r>
      <w:r>
        <w:t xml:space="preserve"> correlation coefficients. Furthermore, for our child sample, we report an age-corrected correlation between the two test days using a GLMM-based approach (Rouder &amp; Haaf, 2019). We fit trial-by-trial data with a fixed effect of age, a random intercept for each subject, and a random slope for test day (model notation in </w:t>
      </w:r>
      <w:r>
        <w:rPr>
          <w:rStyle w:val="VerbatimChar"/>
        </w:rPr>
        <w:t>R: performance ~ age + (0 + reliday | subjID)</w:t>
      </w:r>
      <w:r>
        <w:t>).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This rules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rsidR="00E85319" w:rsidRDefault="00000000">
      <w:pPr>
        <w:pStyle w:val="Heading2"/>
      </w:pPr>
      <w:bookmarkStart w:id="20" w:name="results-1"/>
      <w:bookmarkEnd w:id="19"/>
      <w:r>
        <w:t>Results</w:t>
      </w:r>
    </w:p>
    <w:p w:rsidR="00E85319"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rsidR="00E85319" w:rsidRDefault="00000000">
      <w:pPr>
        <w:pStyle w:val="BodyText"/>
      </w:pPr>
      <w:r>
        <w:t xml:space="preserve">Figure 3 compares split-half reliability coefficients by splitting and stratification method (Pronk et al., 2021). In the hedge version, the split-half reliability coefficients ranged from 0.65 </w:t>
      </w:r>
      <w:r>
        <w:lastRenderedPageBreak/>
        <w:t>to 0.93. In the box version, split-half reliability coefficients ranged from 0.48 to 0.86. Similar to the results of Pronk et al. (2021), we found that more robust splitting methods that are less prone 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rsidR="00E85319" w:rsidRDefault="00000000">
      <w:pPr>
        <w:pStyle w:val="CaptionedFigure"/>
      </w:pPr>
      <w:r>
        <w:rPr>
          <w:noProof/>
        </w:rPr>
        <w:drawing>
          <wp:inline distT="0" distB="0" distL="0" distR="0">
            <wp:extent cx="5969000" cy="1865312"/>
            <wp:effectExtent l="0" t="0" r="0" b="0"/>
            <wp:docPr id="56"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 xmlns:a="http://schemas.openxmlformats.org/drawingml/2006/main">
              <a:graphicData uri="http://schemas.openxmlformats.org/drawingml/2006/picture">
                <pic:pic xmlns:pic="http://schemas.openxmlformats.org/drawingml/2006/picture">
                  <pic:nvPicPr>
                    <pic:cNvPr id="57" name="Picture" descr="../figures/tango_splithalf.png"/>
                    <pic:cNvPicPr>
                      <a:picLocks noChangeAspect="1" noChangeArrowheads="1"/>
                    </pic:cNvPicPr>
                  </pic:nvPicPr>
                  <pic:blipFill>
                    <a:blip r:embed="rId16"/>
                    <a:stretch>
                      <a:fillRect/>
                    </a:stretch>
                  </pic:blipFill>
                  <pic:spPr bwMode="auto">
                    <a:xfrm>
                      <a:off x="0" y="0"/>
                      <a:ext cx="5969000" cy="1865312"/>
                    </a:xfrm>
                    <a:prstGeom prst="rect">
                      <a:avLst/>
                    </a:prstGeom>
                    <a:noFill/>
                    <a:ln w="9525">
                      <a:noFill/>
                      <a:headEnd/>
                      <a:tailEnd/>
                    </a:ln>
                  </pic:spPr>
                </pic:pic>
              </a:graphicData>
            </a:graphic>
          </wp:inline>
        </w:drawing>
      </w:r>
    </w:p>
    <w:p w:rsidR="00E85319" w:rsidRDefault="00000000">
      <w:pPr>
        <w:pStyle w:val="ImageCaption"/>
      </w:pPr>
      <w:bookmarkStart w:id="21" w:name="fig:fig3"/>
      <w:bookmarkEnd w:id="21"/>
      <w:r>
        <w:t>Figure</w:t>
      </w:r>
      <w:r>
        <w:rPr>
          <w:i/>
          <w:iCs/>
        </w:rPr>
        <w:t xml:space="preserve"> </w:t>
      </w:r>
      <w:r>
        <w:t xml:space="preserve">3: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r>
        <w:rPr>
          <w:rStyle w:val="VerbatimChar"/>
        </w:rPr>
        <w:t>by_split</w:t>
      </w:r>
      <w:r>
        <w:t xml:space="preserve"> from the </w:t>
      </w:r>
      <w:r>
        <w:rPr>
          <w:rStyle w:val="VerbatimChar"/>
        </w:rPr>
        <w:t>splithalfr</w:t>
      </w:r>
      <w:r>
        <w:t xml:space="preserve"> package (Pronk et al., 2021).</w:t>
      </w:r>
    </w:p>
    <w:p w:rsidR="00E85319"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See Supplements for reliability estimates by age group.</w:t>
      </w:r>
    </w:p>
    <w:p w:rsidR="00E85319" w:rsidRDefault="00000000">
      <w:pPr>
        <w:pStyle w:val="BodyText"/>
      </w:pPr>
      <w:r>
        <w:lastRenderedPageBreak/>
        <w:t>The age-corrected, GLMM-based retest reliabilities for children yielded similar results. In the hedge version, the correlation between test days was 0.89 (95% CrI [0.66;1.00]). In the box version, the correlation between test days was 0.91 (95% CrI [0.69;1.00]).</w:t>
      </w:r>
    </w:p>
    <w:p w:rsidR="00E85319"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rsidR="00E85319" w:rsidRDefault="00000000">
      <w:pPr>
        <w:pStyle w:val="Heading2"/>
      </w:pPr>
      <w:bookmarkStart w:id="22" w:name="discussion-1"/>
      <w:bookmarkEnd w:id="20"/>
      <w:r>
        <w:t>Discussion</w:t>
      </w:r>
    </w:p>
    <w:p w:rsidR="00E85319"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rsidR="00E85319" w:rsidRDefault="00000000">
      <w:pPr>
        <w:pStyle w:val="Heading1"/>
      </w:pPr>
      <w:bookmarkStart w:id="23" w:name="validity"/>
      <w:bookmarkEnd w:id="16"/>
      <w:bookmarkEnd w:id="22"/>
      <w:r>
        <w:t>Validity</w:t>
      </w:r>
    </w:p>
    <w:p w:rsidR="00E85319" w:rsidRDefault="00000000">
      <w:pPr>
        <w:pStyle w:val="FirstParagraph"/>
      </w:pPr>
      <w:r>
        <w:t xml:space="preserve">After having probed our new testing infrastructure and the psychometric properties of the TANGO, we aimed at establishing its validity. One way to assess validity is to correlate the </w:t>
      </w:r>
      <w:r>
        <w:lastRenderedPageBreak/>
        <w:t>social-cognitive ability in question to concepts that are thought to be theoretically related. Social cognition is often described as developing in response to social interaction (Devine &amp; Hughes, 2018; Hughes &amp; Leekam,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(Bulgarelli &amp; Molina, 2016; Dunn et al., 1991; Pavarini et al., 2013). In particular, family constellation, the number and age of siblings, and their interaction have been linked to social cognition (Cassidy, Fineberg, Brown, &amp; Perkins, 2005; Dunn et al., 1991; Perner, Ruffman, &amp; Leekam, 1994; Peterson, 2000; Zhang, Yu, Long, &amp; Li, 2021).</w:t>
      </w:r>
    </w:p>
    <w:p w:rsidR="00E85319" w:rsidRDefault="00000000">
      <w:pPr>
        <w:pStyle w:val="BodyText"/>
      </w:pPr>
      <w:r>
        <w:t xml:space="preserve">To assess such external validity for the TANGO,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Only the predictor </w:t>
      </w:r>
      <w:r>
        <w:rPr>
          <w:rStyle w:val="VerbatimChar"/>
        </w:rPr>
        <w:t>age of childcare entry</w:t>
      </w:r>
      <w:r>
        <w:t xml:space="preserve"> improved the model fit compared to the null model (see Figure Figure 4A; for model comparisons, see Supplements). Figure 4B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rsidR="00E85319" w:rsidRDefault="00000000">
      <w:pPr>
        <w:pStyle w:val="BodyText"/>
      </w:pPr>
      <w:r>
        <w:lastRenderedPageBreak/>
        <w:t xml:space="preserve">In addition, children’s sensitivity to gaze has been linked to language acquisition (Brooks &amp; Meltzoff, 2005; Del Bianco et al., 2019; Okumura et al., 2017). Discovering the attentional focus of your counterpart is thought to facilitate word learning, for example by identifying the referent of a new word (Tomasello, 2003). For 117 children, we also collected data on a receptive vocabulary test [oREV; Bohn, Prein, Delikaya, Haun, and Gagarina (2022)] approximately six months (mean = 0.52 years, sd = 0.08, range = 0.06 - 0.80) after their participation in the TANGO. </w:t>
      </w:r>
      <w:r w:rsidRPr="00713B48">
        <w:rPr>
          <w:color w:val="00B0F0"/>
        </w:rPr>
        <w:t xml:space="preserve">In the oREV task, children are shown four pictures (target word, distractor with similar age-of-acquisition rating, phonological distractor, and semantic distractor; see Supplements for further detail) and hear a verbal prompt asking them to select one of the pictures. The oREV score then represents the proportion of correctly identified target pictures. </w:t>
      </w:r>
      <w:r>
        <w:t>We found a substantial relationship between gaze understanding six months prior and receptive vocabulary, even when correcting for age (see Figure 4C and D). Taken together, our newly developed task shows connections to external variables and psychological constructs that are characteristic of measures of social cognition.</w:t>
      </w:r>
    </w:p>
    <w:p w:rsidR="00E85319" w:rsidRDefault="00000000">
      <w:pPr>
        <w:pStyle w:val="CaptionedFigure"/>
      </w:pPr>
      <w:r>
        <w:rPr>
          <w:noProof/>
        </w:rPr>
        <w:lastRenderedPageBreak/>
        <w:drawing>
          <wp:inline distT="0" distB="0" distL="0" distR="0">
            <wp:extent cx="5969000" cy="4213411"/>
            <wp:effectExtent l="0" t="0" r="0" b="0"/>
            <wp:docPr id="64" name="Picture" descr="Figure 4: Validity of the TANGO.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 The oREV score represents a proportion of correctly identified target words in the receptive vocabulary test. Similarly, the TANGO score refers to proportion of correctly located targets (see Supplements for further detail). (D) Influence of gaze understanding on receptive vocabulary by age. The regression line with 95% CI shows a smooth conditional mean based on a generalized linear model, with Pearson’s correlation coefficient r. Dots show the mean performance for each subject averaged across trials with minimal horizontal and vertical noise added to avoid overplotting. The color of dots denotes age group. For (A), (B), and (C), the graphs show the posterior distributions for the respective predictor of each model.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65" name="Picture" descr="../figures/tango_vali_arrangedplot.png"/>
                    <pic:cNvPicPr>
                      <a:picLocks noChangeAspect="1" noChangeArrowheads="1"/>
                    </pic:cNvPicPr>
                  </pic:nvPicPr>
                  <pic:blipFill>
                    <a:blip r:embed="rId17"/>
                    <a:stretch>
                      <a:fillRect/>
                    </a:stretch>
                  </pic:blipFill>
                  <pic:spPr bwMode="auto">
                    <a:xfrm>
                      <a:off x="0" y="0"/>
                      <a:ext cx="5969000" cy="4213411"/>
                    </a:xfrm>
                    <a:prstGeom prst="rect">
                      <a:avLst/>
                    </a:prstGeom>
                    <a:noFill/>
                    <a:ln w="9525">
                      <a:noFill/>
                      <a:headEnd/>
                      <a:tailEnd/>
                    </a:ln>
                  </pic:spPr>
                </pic:pic>
              </a:graphicData>
            </a:graphic>
          </wp:inline>
        </w:drawing>
      </w:r>
    </w:p>
    <w:p w:rsidR="00E85319" w:rsidRDefault="00000000">
      <w:pPr>
        <w:pStyle w:val="ImageCaption"/>
      </w:pPr>
      <w:bookmarkStart w:id="24" w:name="fig:fig4"/>
      <w:bookmarkEnd w:id="24"/>
      <w:r>
        <w:t>Figure</w:t>
      </w:r>
      <w:r>
        <w:rPr>
          <w:i/>
          <w:iCs/>
        </w:rPr>
        <w:t xml:space="preserve"> </w:t>
      </w:r>
      <w:r>
        <w:t xml:space="preserve">4: </w:t>
      </w:r>
      <w:r>
        <w:rPr>
          <w:b/>
          <w:bCs/>
        </w:rPr>
        <w:t>Validity of the TANGO.</w:t>
      </w:r>
      <w:r>
        <w:t xml:space="preserve">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w:t>
      </w:r>
      <w:r w:rsidRPr="00713B48">
        <w:rPr>
          <w:color w:val="00B0F0"/>
        </w:rPr>
        <w:t>. The oREV score represents a proportion of correctly identified target words in the receptive vocabulary test. Similarly, the TANGO score refers to proportion of correctly located targets (see Supplements for further detail).</w:t>
      </w:r>
      <w:r>
        <w:t xml:space="preserve"> (D) Influence of gaze understanding on receptive vocabulary by age. The regression line with 95% CI shows a smooth conditional mean based on a generalized linear model, with </w:t>
      </w:r>
      <w:r>
        <w:rPr>
          <w:i/>
          <w:iCs/>
        </w:rPr>
        <w:t>Pearson</w:t>
      </w:r>
      <w:r>
        <w:t xml:space="preserve">’s correlation coefficient </w:t>
      </w:r>
      <w:r>
        <w:rPr>
          <w:i/>
          <w:iCs/>
        </w:rPr>
        <w:t>r</w:t>
      </w:r>
      <w:r>
        <w:t xml:space="preserve">. </w:t>
      </w:r>
      <w:r w:rsidRPr="00713B48">
        <w:rPr>
          <w:color w:val="00B0F0"/>
        </w:rPr>
        <w:t>Dots show the mean performance for each subject averaged across trials with minimal horizontal and vertical noise added to avoid overplotting</w:t>
      </w:r>
      <w:r>
        <w:t xml:space="preserve">. The color of dots denotes age group. For (A), (B), </w:t>
      </w:r>
      <w:r>
        <w:lastRenderedPageBreak/>
        <w:t>and (C), the graphs show the posterior distributions for the respective predictor of each model. Black dots represent means, thicker black lines 80% CrI and thinner black lines 95% CrI.</w:t>
      </w:r>
    </w:p>
    <w:p w:rsidR="00E85319" w:rsidRDefault="00000000">
      <w:pPr>
        <w:pStyle w:val="Heading1"/>
      </w:pPr>
      <w:bookmarkStart w:id="25" w:name="general-discussion"/>
      <w:bookmarkEnd w:id="23"/>
      <w:r>
        <w:t>General Discussion</w:t>
      </w:r>
    </w:p>
    <w:p w:rsidR="00E85319" w:rsidRDefault="00000000">
      <w:pPr>
        <w:pStyle w:val="FirstParagraph"/>
      </w:pPr>
      <w:r>
        <w:t>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(i.e., we find substantial variation between individuals across age groups). Second, our task showed satisfactory psychometric properties with respect to internal consistency and test-retest reliability estimates. Third, our new browser-based testing infrastructure ensures standardized, portable data collection at scale, both remotely as well as in person. In sum, the TANGO provides a step toward more robust and reliable research methods, especially with regard to measuring a developmental change in fundamental social-cognitive abilities. The web app (</w:t>
      </w:r>
      <w:hyperlink r:id="rId18">
        <w:r>
          <w:rPr>
            <w:rStyle w:val="Hyperlink"/>
          </w:rPr>
          <w:t>https://ccp-odc.eva.mpg.de/tango-demo/</w:t>
        </w:r>
      </w:hyperlink>
      <w:r>
        <w:t>) and its source code (</w:t>
      </w:r>
      <w:hyperlink r:id="rId19">
        <w:r>
          <w:rPr>
            <w:rStyle w:val="Hyperlink"/>
          </w:rPr>
          <w:t>https://github.com/ccp-eva/tango-demo</w:t>
        </w:r>
      </w:hyperlink>
      <w:r>
        <w:t>) are freely accessible for use and modification.</w:t>
      </w:r>
    </w:p>
    <w:p w:rsidR="00E85319" w:rsidRDefault="00000000">
      <w:pPr>
        <w:pStyle w:val="BodyText"/>
      </w:pPr>
      <w:r>
        <w:t xml:space="preserve">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w:t>
      </w:r>
      <w:r>
        <w:lastRenderedPageBreak/>
        <w:t>animal species. Dedicated measures of individual differences will help us to design meaningful interventions and progress in psychological theory building (Hedge et al., 2018).</w:t>
      </w:r>
    </w:p>
    <w:p w:rsidR="00E85319" w:rsidRDefault="00000000">
      <w:pPr>
        <w:pStyle w:val="BodyText"/>
      </w:pPr>
      <w:r>
        <w:t>Our continuous hedge version yields higher internal consistency estimates than the categorical box version. Both study versions exhibit high test-retest reliability, also when controlling 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rsidR="00E85319" w:rsidRDefault="00000000">
      <w:pPr>
        <w:pStyle w:val="BodyText"/>
      </w:pPr>
      <w:r>
        <w:t>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Kordt, Hausmann, &amp; Frank, 2022).</w:t>
      </w:r>
    </w:p>
    <w:p w:rsidR="00E85319" w:rsidRDefault="00000000">
      <w:pPr>
        <w:pStyle w:val="BodyText"/>
      </w:pPr>
      <w:r>
        <w:lastRenderedPageBreak/>
        <w:t>The TANGO fulfills several demands that were proposed by Schaafsma et al. (2015)’s wish list: it measures proficiency on a continuum, avoids floor and ceiling effects, measures variation across age ranges, shows satisfactory reliability estimates, and has a high face value.</w:t>
      </w:r>
    </w:p>
    <w:p w:rsidR="00E85319" w:rsidRDefault="00000000">
      <w:pPr>
        <w:pStyle w:val="BodyText"/>
      </w:pPr>
      <w:r>
        <w:t>In addition to the new task design itself, we designed a new testing infrastructure. The TANGO is presented as an interactive web app. This enables presentation across devices without any prior installation. Stimuli presentation is achieved through the use of SVGs.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rsidR="00E85319" w:rsidRDefault="00000000">
      <w:pPr>
        <w:pStyle w:val="BodyText"/>
      </w:pPr>
      <w:r>
        <w:t>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three-year-olds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rsidR="00E85319" w:rsidRDefault="00000000">
      <w:pPr>
        <w:pStyle w:val="BodyText"/>
      </w:pPr>
      <w:r>
        <w:lastRenderedPageBreak/>
        <w:t>With respect to validity, we found that performance in the TANGO was related to relevant external variables and cognitive measures. 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the TANGO.</w:t>
      </w:r>
    </w:p>
    <w:p w:rsidR="00E85319" w:rsidRDefault="00000000">
      <w:pPr>
        <w:pStyle w:val="Heading1"/>
      </w:pPr>
      <w:bookmarkStart w:id="26" w:name="limitations"/>
      <w:bookmarkEnd w:id="25"/>
      <w:r>
        <w:t>Limitations</w:t>
      </w:r>
    </w:p>
    <w:p w:rsidR="00E85319" w:rsidRDefault="00000000">
      <w:pPr>
        <w:pStyle w:val="FirstParagraph"/>
      </w:pPr>
      <w:r>
        <w:t>First, we want to address the scope and interpretation of the TANGO. We believe that solving the task requires locating the attentional focus of an agent as the gaze cues the target location. This speaks to the face validity of the TANGO and its focus on an inherently social stimulus. However, we do not want to claim that the TANGO does not also recruit other, domain-general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social interactions. Future research could assess how much variation of the gaze understanding task is shared with a physical vector-following task. In addition, computational cognitive models might prove helpful in defining children’s behavior on a process-level and disentangling parameters that influence task performance (e.g., spatial acuity).</w:t>
      </w:r>
    </w:p>
    <w:p w:rsidR="00E85319" w:rsidRDefault="00000000">
      <w:pPr>
        <w:pStyle w:val="BodyText"/>
      </w:pPr>
      <w:r>
        <w:t xml:space="preserve">Second, the influence of testing modality requires further attention. Remote data collection loosens the standardization of the experimental procedure, as we cannot prevent caregivers from </w:t>
      </w:r>
      <w:r>
        <w:lastRenderedPageBreak/>
        <w:t>interfering. Steering the child’s behavior becomes less possible when touchscreens are used, and the child can click on the screen directly. This is why we recommend using tablets for remote data collection. However, it should be noted that families’ access to technological devices varies, both across socio-environmental as well as cultural settings.</w:t>
      </w:r>
    </w:p>
    <w:p w:rsidR="00E85319" w:rsidRPr="00713B48" w:rsidRDefault="00000000">
      <w:pPr>
        <w:pStyle w:val="BodyText"/>
        <w:rPr>
          <w:color w:val="00B0F0"/>
        </w:rPr>
      </w:pPr>
      <w:r w:rsidRPr="00713B48">
        <w:rPr>
          <w:color w:val="00B0F0"/>
        </w:rPr>
        <w:t>Third, the children in our sample live in an industrialized, urban Central-European context. It is unclear how our results would generalize to different socio-cultural contexts. A limiting factor of our study is that we did not collect demographical information on a participant-level. Therefore, we could only provide a broader demographic description on a community-level. This is important to keep in mind when gauging the generalizability of our new measure.</w:t>
      </w:r>
    </w:p>
    <w:p w:rsidR="00E85319" w:rsidRDefault="00000000">
      <w:pPr>
        <w:pStyle w:val="BodyText"/>
      </w:pPr>
      <w: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rsidR="00E85319" w:rsidRDefault="00000000">
      <w:pPr>
        <w:pStyle w:val="Heading1"/>
      </w:pPr>
      <w:bookmarkStart w:id="27" w:name="conclusion"/>
      <w:bookmarkEnd w:id="26"/>
      <w:r>
        <w:t>Conclusion</w:t>
      </w:r>
    </w:p>
    <w:p w:rsidR="00E85319" w:rsidRDefault="00000000">
      <w:pPr>
        <w:pStyle w:val="FirstParagraph"/>
      </w:pPr>
      <w:r>
        <w:t xml:space="preserve">We have presented a new experimental paradigm to study gaze understanding across the lifespan. The TANGO captures individual differences and shows highly satisfactory psychometric properties with respect to internal consistency and test-retest reliability. The browser-based testing infrastructure allows for standardized, portable data collection at scale, both remotely as well as in person. </w:t>
      </w:r>
      <w:r w:rsidRPr="0050364A">
        <w:rPr>
          <w:color w:val="00B0F0"/>
        </w:rPr>
        <w:t>Associations with social-environmental factors and language skills speak toward the validity of the task</w:t>
      </w:r>
      <w:r>
        <w:t>. Ultimately, this work shows a promising way forward toward more precise measures of cognitive development. The data sets and the analysis code are freely available in the associated online repository (</w:t>
      </w:r>
      <w:hyperlink r:id="rId20">
        <w:r>
          <w:rPr>
            <w:rStyle w:val="Hyperlink"/>
          </w:rPr>
          <w:t>https://github.com/ccp-eva/gazecues-methods</w:t>
        </w:r>
      </w:hyperlink>
      <w:r>
        <w:t xml:space="preserve">). A demo version of the task is available at the following website (see Figure 5): </w:t>
      </w:r>
      <w:hyperlink r:id="rId21">
        <w:r>
          <w:rPr>
            <w:rStyle w:val="Hyperlink"/>
          </w:rPr>
          <w:t>https://ccp-odc.eva.mpg.de/tango-demo/</w:t>
        </w:r>
      </w:hyperlink>
      <w:r>
        <w:t xml:space="preserve">. The code base and respective assets can be accessed in the following repository: </w:t>
      </w:r>
      <w:hyperlink r:id="rId22">
        <w:r>
          <w:rPr>
            <w:rStyle w:val="Hyperlink"/>
          </w:rPr>
          <w:t>https://github.com/ccp-eva/tango-demo</w:t>
        </w:r>
      </w:hyperlink>
      <w:r>
        <w:t>. These resources allow interested researchers to use, extend and adapt the task.</w:t>
      </w:r>
    </w:p>
    <w:p w:rsidR="00E85319" w:rsidRDefault="00000000">
      <w:pPr>
        <w:pStyle w:val="CaptionedFigure"/>
      </w:pPr>
      <w:r>
        <w:rPr>
          <w:noProof/>
        </w:rPr>
        <w:drawing>
          <wp:inline distT="0" distB="0" distL="0" distR="0">
            <wp:extent cx="5969000" cy="5850493"/>
            <wp:effectExtent l="0" t="0" r="0" b="0"/>
            <wp:docPr id="72"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 xmlns:a="http://schemas.openxmlformats.org/drawingml/2006/main">
              <a:graphicData uri="http://schemas.openxmlformats.org/drawingml/2006/picture">
                <pic:pic xmlns:pic="http://schemas.openxmlformats.org/drawingml/2006/picture">
                  <pic:nvPicPr>
                    <pic:cNvPr id="73" name="Picture" descr="../figures/tango_demo_screenshot.png"/>
                    <pic:cNvPicPr>
                      <a:picLocks noChangeAspect="1" noChangeArrowheads="1"/>
                    </pic:cNvPicPr>
                  </pic:nvPicPr>
                  <pic:blipFill>
                    <a:blip r:embed="rId23"/>
                    <a:stretch>
                      <a:fillRect/>
                    </a:stretch>
                  </pic:blipFill>
                  <pic:spPr bwMode="auto">
                    <a:xfrm>
                      <a:off x="0" y="0"/>
                      <a:ext cx="5969000" cy="5850493"/>
                    </a:xfrm>
                    <a:prstGeom prst="rect">
                      <a:avLst/>
                    </a:prstGeom>
                    <a:noFill/>
                    <a:ln w="9525">
                      <a:noFill/>
                      <a:headEnd/>
                      <a:tailEnd/>
                    </a:ln>
                  </pic:spPr>
                </pic:pic>
              </a:graphicData>
            </a:graphic>
          </wp:inline>
        </w:drawing>
      </w:r>
    </w:p>
    <w:p w:rsidR="00E85319" w:rsidRDefault="00000000">
      <w:pPr>
        <w:pStyle w:val="ImageCaption"/>
      </w:pPr>
      <w:bookmarkStart w:id="28" w:name="fig:fig5"/>
      <w:bookmarkEnd w:id="28"/>
      <w:r>
        <w:t>Figure</w:t>
      </w:r>
      <w:r>
        <w:rPr>
          <w:i/>
          <w:iCs/>
        </w:rPr>
        <w:t xml:space="preserve"> </w:t>
      </w:r>
      <w:r>
        <w:t xml:space="preserve">5: </w:t>
      </w:r>
      <w:r>
        <w:rPr>
          <w:b/>
          <w:bCs/>
        </w:rPr>
        <w:t>TANGO demo website.</w:t>
      </w:r>
      <w:r>
        <w:t xml:space="preserve"> We want to highlight that researchers are welcome to use and modify our task according to their needs. The number of training and test trials and the number of </w:t>
      </w:r>
      <w:r>
        <w:lastRenderedPageBreak/>
        <w:t>boxes can be adjusted within the JavaScript code, while agents and targets can be exchanged within the HTML code.</w:t>
      </w:r>
    </w:p>
    <w:p w:rsidR="00E85319" w:rsidRDefault="00000000">
      <w:r>
        <w:br w:type="page"/>
      </w:r>
    </w:p>
    <w:p w:rsidR="00E85319" w:rsidRDefault="00000000">
      <w:pPr>
        <w:pStyle w:val="Heading1"/>
      </w:pPr>
      <w:bookmarkStart w:id="29" w:name="declarations"/>
      <w:bookmarkEnd w:id="27"/>
      <w:r>
        <w:lastRenderedPageBreak/>
        <w:t>Declarations</w:t>
      </w:r>
    </w:p>
    <w:p w:rsidR="00E85319" w:rsidRDefault="00000000">
      <w:pPr>
        <w:pStyle w:val="Heading2"/>
      </w:pPr>
      <w:bookmarkStart w:id="30" w:name="open-practices-statement"/>
      <w:r>
        <w:t>Open practices statement</w:t>
      </w:r>
    </w:p>
    <w:p w:rsidR="00E85319" w:rsidRDefault="00000000">
      <w:pPr>
        <w:pStyle w:val="FirstParagraph"/>
      </w:pPr>
      <w:r>
        <w:t>The web application (</w:t>
      </w:r>
      <w:hyperlink r:id="rId24">
        <w:r>
          <w:rPr>
            <w:rStyle w:val="Hyperlink"/>
          </w:rPr>
          <w:t>https://ccp-odc.eva.mpg.de/tango-demo/</w:t>
        </w:r>
      </w:hyperlink>
      <w:r>
        <w:t>) described here is open source (</w:t>
      </w:r>
      <w:hyperlink r:id="rId25">
        <w:r>
          <w:rPr>
            <w:rStyle w:val="Hyperlink"/>
          </w:rPr>
          <w:t>https://github.com/ccp-eva/tango-demo</w:t>
        </w:r>
      </w:hyperlink>
      <w:r>
        <w:t>). The data sets generated during and/or analysed during the current study are available in the [gazecues-methods] repository (</w:t>
      </w:r>
      <w:hyperlink r:id="rId26">
        <w:r>
          <w:rPr>
            <w:rStyle w:val="Hyperlink"/>
          </w:rPr>
          <w:t>https://github.com/ccp-eva/gazecues-methods</w:t>
        </w:r>
      </w:hyperlink>
      <w:r>
        <w:t>). All experiments were pre-registered (</w:t>
      </w:r>
      <w:hyperlink r:id="rId27">
        <w:r>
          <w:rPr>
            <w:rStyle w:val="Hyperlink"/>
          </w:rPr>
          <w:t>https://osf.io/zjhsc/</w:t>
        </w:r>
      </w:hyperlink>
      <w:r>
        <w:t>).</w:t>
      </w:r>
    </w:p>
    <w:p w:rsidR="00E85319" w:rsidRDefault="00000000">
      <w:pPr>
        <w:pStyle w:val="Heading2"/>
      </w:pPr>
      <w:bookmarkStart w:id="31" w:name="funding"/>
      <w:bookmarkEnd w:id="30"/>
      <w:r>
        <w:t>Funding</w:t>
      </w:r>
    </w:p>
    <w:p w:rsidR="00E85319" w:rsidRDefault="00000000">
      <w:pPr>
        <w:pStyle w:val="FirstParagraph"/>
      </w:pPr>
      <w:r>
        <w:t>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p w:rsidR="00E85319" w:rsidRDefault="00000000">
      <w:pPr>
        <w:pStyle w:val="Heading2"/>
      </w:pPr>
      <w:bookmarkStart w:id="32" w:name="conflicts-of-interest"/>
      <w:bookmarkEnd w:id="31"/>
      <w:r>
        <w:t>Conflicts of interest</w:t>
      </w:r>
    </w:p>
    <w:p w:rsidR="00E85319" w:rsidRDefault="00000000">
      <w:pPr>
        <w:pStyle w:val="FirstParagraph"/>
      </w:pPr>
      <w:r>
        <w:t>The authors declare that they have no conflict of interest.</w:t>
      </w:r>
    </w:p>
    <w:p w:rsidR="00E85319" w:rsidRDefault="00000000">
      <w:pPr>
        <w:pStyle w:val="Heading2"/>
      </w:pPr>
      <w:bookmarkStart w:id="33" w:name="consent-to-participate"/>
      <w:bookmarkEnd w:id="32"/>
      <w:r>
        <w:t>Consent to participate</w:t>
      </w:r>
    </w:p>
    <w:p w:rsidR="00E85319" w:rsidRDefault="00000000">
      <w:pPr>
        <w:pStyle w:val="FirstParagraph"/>
      </w:pPr>
      <w:r>
        <w:t>Informed consent was obtained from all individual participants included in the study or their legal guardians.</w:t>
      </w:r>
    </w:p>
    <w:p w:rsidR="00E85319" w:rsidRDefault="00000000">
      <w:pPr>
        <w:pStyle w:val="Heading2"/>
      </w:pPr>
      <w:bookmarkStart w:id="34" w:name="authors-contributions"/>
      <w:bookmarkEnd w:id="33"/>
      <w:r>
        <w:t>Authors’ contributions</w:t>
      </w:r>
    </w:p>
    <w:p w:rsidR="00E85319"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Bohn: Conceptualization, Writing - Original Draft Preparation, Writing - Review &amp; Editing; Steven Kalinke: Software, Writing - Review &amp; Editing; Daniel Haun: Conceptualization, Writing - Review &amp; Editing.</w:t>
      </w:r>
    </w:p>
    <w:p w:rsidR="00E85319" w:rsidRDefault="00000000">
      <w:r>
        <w:br w:type="page"/>
      </w:r>
    </w:p>
    <w:p w:rsidR="00E85319" w:rsidRDefault="00000000">
      <w:pPr>
        <w:pStyle w:val="Heading1"/>
      </w:pPr>
      <w:bookmarkStart w:id="35" w:name="references"/>
      <w:bookmarkEnd w:id="29"/>
      <w:bookmarkEnd w:id="34"/>
      <w:r>
        <w:lastRenderedPageBreak/>
        <w:t>References</w:t>
      </w:r>
    </w:p>
    <w:p w:rsidR="00E85319" w:rsidRDefault="00000000">
      <w:pPr>
        <w:pStyle w:val="Bibliography"/>
      </w:pPr>
      <w:bookmarkStart w:id="36" w:name="ref-astor2020social"/>
      <w:bookmarkStart w:id="37" w:name="refs"/>
      <w:r>
        <w:t xml:space="preserve">Astor, K., Lindskog, M., Forssman, L., Kenward, B., Fransson, M., Skalkidou, A., … Gredebäck, G. (2020). Social and emotional contexts predict the development of gaze following in early infancy. </w:t>
      </w:r>
      <w:r>
        <w:rPr>
          <w:i/>
          <w:iCs/>
        </w:rPr>
        <w:t>Royal Society Open Science</w:t>
      </w:r>
      <w:r>
        <w:t xml:space="preserve">, </w:t>
      </w:r>
      <w:r>
        <w:rPr>
          <w:i/>
          <w:iCs/>
        </w:rPr>
        <w:t>7</w:t>
      </w:r>
      <w:r>
        <w:t xml:space="preserve">(9), 201178. </w:t>
      </w:r>
      <w:hyperlink r:id="rId28">
        <w:r>
          <w:rPr>
            <w:rStyle w:val="Hyperlink"/>
          </w:rPr>
          <w:t>https://doi.org/10.1098/rsos.201178</w:t>
        </w:r>
      </w:hyperlink>
    </w:p>
    <w:p w:rsidR="00E85319" w:rsidRDefault="00000000">
      <w:pPr>
        <w:pStyle w:val="Bibliography"/>
      </w:pPr>
      <w:bookmarkStart w:id="38" w:name="ref-astor2021gaze"/>
      <w:bookmarkEnd w:id="36"/>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29">
        <w:r>
          <w:rPr>
            <w:rStyle w:val="Hyperlink"/>
          </w:rPr>
          <w:t>https://doi.org/10.1016/j.cogdev.2021.101121</w:t>
        </w:r>
      </w:hyperlink>
    </w:p>
    <w:p w:rsidR="00E85319" w:rsidRDefault="00000000">
      <w:pPr>
        <w:pStyle w:val="Bibliography"/>
      </w:pPr>
      <w:bookmarkStart w:id="39" w:name="ref-baron-cohen1985does"/>
      <w:bookmarkEnd w:id="38"/>
      <w:r>
        <w:t xml:space="preserve">Baron-Cohen, S., Leslie, A. M., &amp; Frith, U. (1985). Does the autistic child have a "theory of mind" ? </w:t>
      </w:r>
      <w:r>
        <w:rPr>
          <w:i/>
          <w:iCs/>
        </w:rPr>
        <w:t>Cognition</w:t>
      </w:r>
      <w:r>
        <w:t xml:space="preserve">, </w:t>
      </w:r>
      <w:r>
        <w:rPr>
          <w:i/>
          <w:iCs/>
        </w:rPr>
        <w:t>21</w:t>
      </w:r>
      <w:r>
        <w:t xml:space="preserve">, 37–46. </w:t>
      </w:r>
      <w:hyperlink r:id="rId30">
        <w:r>
          <w:rPr>
            <w:rStyle w:val="Hyperlink"/>
          </w:rPr>
          <w:t>https://doi.org/10.1016/0010-0277(85)90022-8</w:t>
        </w:r>
      </w:hyperlink>
    </w:p>
    <w:p w:rsidR="00E85319" w:rsidRDefault="00000000">
      <w:pPr>
        <w:pStyle w:val="Bibliography"/>
      </w:pPr>
      <w:bookmarkStart w:id="40" w:name="ref-barrett2013early"/>
      <w:bookmarkEnd w:id="39"/>
      <w:r>
        <w:t xml:space="preserve">Barrett, H. C., Broesch, T., Scott, R. M., He, Z., Baillargeon, R., Wu, D., … Laurence, S. (2013). Early false-belief understanding in traditional non-Western societies. </w:t>
      </w:r>
      <w:r>
        <w:rPr>
          <w:i/>
          <w:iCs/>
        </w:rPr>
        <w:t>Proceedings of the Royal Society B: Biological Sciences</w:t>
      </w:r>
      <w:r>
        <w:t xml:space="preserve">. </w:t>
      </w:r>
      <w:hyperlink r:id="rId31">
        <w:r>
          <w:rPr>
            <w:rStyle w:val="Hyperlink"/>
          </w:rPr>
          <w:t>https://doi.org/10.1098/rspb.2012.2654</w:t>
        </w:r>
      </w:hyperlink>
    </w:p>
    <w:p w:rsidR="00E85319" w:rsidRPr="00357E6D" w:rsidRDefault="00000000">
      <w:pPr>
        <w:pStyle w:val="Bibliography"/>
        <w:rPr>
          <w:lang w:val="de-DE"/>
        </w:rPr>
      </w:pPr>
      <w:bookmarkStart w:id="41" w:name="ref-beaudoin2020systematic"/>
      <w:bookmarkEnd w:id="40"/>
      <w:r>
        <w:t xml:space="preserve">Beaudoin, C., Leblanc, É., Gagner, C., &amp; Beauchamp, M. H. (2020). Systematic Review and Inventory of Theory of Mind Measures for Young Children. </w:t>
      </w:r>
      <w:r w:rsidRPr="00357E6D">
        <w:rPr>
          <w:i/>
          <w:iCs/>
          <w:lang w:val="de-DE"/>
        </w:rPr>
        <w:t>Frontiers in Psychology</w:t>
      </w:r>
      <w:r w:rsidRPr="00357E6D">
        <w:rPr>
          <w:lang w:val="de-DE"/>
        </w:rPr>
        <w:t xml:space="preserve">, </w:t>
      </w:r>
      <w:r w:rsidRPr="00357E6D">
        <w:rPr>
          <w:i/>
          <w:iCs/>
          <w:lang w:val="de-DE"/>
        </w:rPr>
        <w:t>0</w:t>
      </w:r>
      <w:r w:rsidRPr="00357E6D">
        <w:rPr>
          <w:lang w:val="de-DE"/>
        </w:rPr>
        <w:t xml:space="preserve">. </w:t>
      </w:r>
      <w:hyperlink r:id="rId32">
        <w:r w:rsidRPr="00357E6D">
          <w:rPr>
            <w:rStyle w:val="Hyperlink"/>
            <w:lang w:val="de-DE"/>
          </w:rPr>
          <w:t>https://doi.org/10.3389/fpsyg.2019.02905</w:t>
        </w:r>
      </w:hyperlink>
    </w:p>
    <w:p w:rsidR="00E85319" w:rsidRDefault="00000000">
      <w:pPr>
        <w:pStyle w:val="Bibliography"/>
      </w:pPr>
      <w:bookmarkStart w:id="42" w:name="ref-begeer2012continuous"/>
      <w:bookmarkEnd w:id="41"/>
      <w:r w:rsidRPr="00357E6D">
        <w:rPr>
          <w:lang w:val="de-DE"/>
        </w:rPr>
        <w:t xml:space="preserve">Begeer, S., Bernstein, D. M., van Wijhe, J., Scheeren, A. M., &amp; Koot, H. M. (2012). </w:t>
      </w:r>
      <w:r>
        <w:t xml:space="preserve">A continuous false belief task reveals egocentric biases in children and adolescents with Autism Spectrum Disorders. </w:t>
      </w:r>
      <w:r>
        <w:rPr>
          <w:i/>
          <w:iCs/>
        </w:rPr>
        <w:t>Autism</w:t>
      </w:r>
      <w:r>
        <w:t xml:space="preserve">, </w:t>
      </w:r>
      <w:r>
        <w:rPr>
          <w:i/>
          <w:iCs/>
        </w:rPr>
        <w:t>16</w:t>
      </w:r>
      <w:r>
        <w:t xml:space="preserve">(4), 357–366. </w:t>
      </w:r>
      <w:hyperlink r:id="rId33">
        <w:r>
          <w:rPr>
            <w:rStyle w:val="Hyperlink"/>
          </w:rPr>
          <w:t>https://doi.org/10.1177/1362361311434545</w:t>
        </w:r>
      </w:hyperlink>
    </w:p>
    <w:p w:rsidR="00E85319" w:rsidRDefault="00000000">
      <w:pPr>
        <w:pStyle w:val="Bibliography"/>
      </w:pPr>
      <w:bookmarkStart w:id="43" w:name="ref-benson2012individual"/>
      <w:bookmarkEnd w:id="42"/>
      <w:r>
        <w:lastRenderedPageBreak/>
        <w:t xml:space="preserve">Benson, J., Sabbagh, M., Carlson, S., &amp; Zelazo, P. (2012). Individual Differences in Executive Functioning Predict Preschoolers’ Improvement From Theory-of-Mind Training. </w:t>
      </w:r>
      <w:r>
        <w:rPr>
          <w:i/>
          <w:iCs/>
        </w:rPr>
        <w:t>Developmental Psychology</w:t>
      </w:r>
      <w:r>
        <w:t xml:space="preserve">, </w:t>
      </w:r>
      <w:r>
        <w:rPr>
          <w:i/>
          <w:iCs/>
        </w:rPr>
        <w:t>49</w:t>
      </w:r>
      <w:r>
        <w:t xml:space="preserve">. </w:t>
      </w:r>
      <w:hyperlink r:id="rId34">
        <w:r>
          <w:rPr>
            <w:rStyle w:val="Hyperlink"/>
          </w:rPr>
          <w:t>https://doi.org/10.1037/a0031056</w:t>
        </w:r>
      </w:hyperlink>
    </w:p>
    <w:p w:rsidR="00E85319" w:rsidRDefault="00000000">
      <w:pPr>
        <w:pStyle w:val="Bibliography"/>
      </w:pPr>
      <w:bookmarkStart w:id="44" w:name="ref-bernstein2011theory"/>
      <w:bookmarkEnd w:id="43"/>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35">
        <w:r>
          <w:rPr>
            <w:rStyle w:val="Hyperlink"/>
          </w:rPr>
          <w:t>https://doi.org/10.1080/0361073X.2011.619466</w:t>
        </w:r>
      </w:hyperlink>
    </w:p>
    <w:p w:rsidR="00E85319" w:rsidRPr="00357E6D" w:rsidRDefault="00000000">
      <w:pPr>
        <w:pStyle w:val="Bibliography"/>
        <w:rPr>
          <w:lang w:val="de-DE"/>
        </w:rPr>
      </w:pPr>
      <w:bookmarkStart w:id="45" w:name="ref-bohn2018common"/>
      <w:bookmarkEnd w:id="44"/>
      <w:r>
        <w:t xml:space="preserve">Bohn, M., &amp; Köymen, B. (2018). Common Ground and Development. </w:t>
      </w:r>
      <w:r>
        <w:rPr>
          <w:i/>
          <w:iCs/>
        </w:rPr>
        <w:t>Child Development Perspectives</w:t>
      </w:r>
      <w:r>
        <w:t xml:space="preserve">, </w:t>
      </w:r>
      <w:r>
        <w:rPr>
          <w:i/>
          <w:iCs/>
        </w:rPr>
        <w:t>12</w:t>
      </w:r>
      <w:r>
        <w:t xml:space="preserve">(2), 104–108. </w:t>
      </w:r>
      <w:hyperlink r:id="rId36">
        <w:r w:rsidRPr="00357E6D">
          <w:rPr>
            <w:rStyle w:val="Hyperlink"/>
            <w:lang w:val="de-DE"/>
          </w:rPr>
          <w:t>https://doi.org/10.1111/cdep.12269</w:t>
        </w:r>
      </w:hyperlink>
    </w:p>
    <w:p w:rsidR="00E85319" w:rsidRDefault="00000000">
      <w:pPr>
        <w:pStyle w:val="Bibliography"/>
      </w:pPr>
      <w:bookmarkStart w:id="46" w:name="ref-bohn2021children"/>
      <w:bookmarkEnd w:id="45"/>
      <w:r w:rsidRPr="00357E6D">
        <w:rPr>
          <w:lang w:val="de-DE"/>
        </w:rPr>
        <w:t xml:space="preserve">Bohn, M., Le, K. N., Peloquin, B., Köymen,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37">
        <w:r>
          <w:rPr>
            <w:rStyle w:val="Hyperlink"/>
          </w:rPr>
          <w:t>https://doi.org/10.1111/desc.13049</w:t>
        </w:r>
      </w:hyperlink>
    </w:p>
    <w:p w:rsidR="00E85319" w:rsidRDefault="00000000">
      <w:pPr>
        <w:pStyle w:val="Bibliography"/>
      </w:pPr>
      <w:bookmarkStart w:id="47" w:name="ref-bohn2022orev"/>
      <w:bookmarkEnd w:id="46"/>
      <w:r>
        <w:t xml:space="preserve">Bohn, M., Prein, J., Delikaya, B., Haun, D. B. M., &amp; Gagarina, N. (2022). </w:t>
      </w:r>
      <w:r>
        <w:rPr>
          <w:i/>
          <w:iCs/>
        </w:rPr>
        <w:t>oREV: An Item Response Theory based open receptive vocabulary task for 3 to 8-year-old children</w:t>
      </w:r>
      <w:r>
        <w:t>.</w:t>
      </w:r>
    </w:p>
    <w:p w:rsidR="00E85319" w:rsidRPr="00B244C0" w:rsidRDefault="00000000">
      <w:pPr>
        <w:pStyle w:val="Bibliography"/>
        <w:rPr>
          <w:lang w:val="de-DE"/>
        </w:rPr>
      </w:pPr>
      <w:bookmarkStart w:id="48" w:name="ref-bohn2022individual"/>
      <w:bookmarkEnd w:id="47"/>
      <w:r w:rsidRPr="00B244C0">
        <w:rPr>
          <w:lang w:val="de-DE"/>
        </w:rPr>
        <w:t xml:space="preserve">Bohn, M., Tessler, M. H., Kordt, C., Hausmann, T., &amp; Frank, M. C. (2022). </w:t>
      </w:r>
      <w:r>
        <w:rPr>
          <w:i/>
          <w:iCs/>
        </w:rPr>
        <w:t>An individual differences perspective on the development of pragmatic abilities in the preschool years</w:t>
      </w:r>
      <w:r>
        <w:t xml:space="preserve">. </w:t>
      </w:r>
      <w:r w:rsidRPr="00B244C0">
        <w:rPr>
          <w:lang w:val="de-DE"/>
        </w:rPr>
        <w:t xml:space="preserve">PsyArXiv. </w:t>
      </w:r>
      <w:hyperlink r:id="rId38">
        <w:r w:rsidRPr="00B244C0">
          <w:rPr>
            <w:rStyle w:val="Hyperlink"/>
            <w:lang w:val="de-DE"/>
          </w:rPr>
          <w:t>https://doi.org/10.31234/osf.io/s2e3p</w:t>
        </w:r>
      </w:hyperlink>
    </w:p>
    <w:p w:rsidR="00E85319" w:rsidRDefault="00000000">
      <w:pPr>
        <w:pStyle w:val="Bibliography"/>
      </w:pPr>
      <w:bookmarkStart w:id="49" w:name="ref-bohn2021how"/>
      <w:bookmarkEnd w:id="48"/>
      <w:r w:rsidRPr="00B244C0">
        <w:rPr>
          <w:lang w:val="de-DE"/>
        </w:rPr>
        <w:t xml:space="preserve">Bohn, M., Tessler, M. H., Merrick, M., &amp; Frank, M. C. (2021). </w:t>
      </w:r>
      <w:r>
        <w:t xml:space="preserve">How young children integrate information sources to infer the meaning of words. </w:t>
      </w:r>
      <w:r>
        <w:rPr>
          <w:i/>
          <w:iCs/>
        </w:rPr>
        <w:t>Nature Human Behaviour</w:t>
      </w:r>
      <w:r>
        <w:t xml:space="preserve">, </w:t>
      </w:r>
      <w:r>
        <w:rPr>
          <w:i/>
          <w:iCs/>
        </w:rPr>
        <w:t>5</w:t>
      </w:r>
      <w:r>
        <w:t xml:space="preserve">(8), 1046–1054. </w:t>
      </w:r>
      <w:hyperlink r:id="rId39">
        <w:r>
          <w:rPr>
            <w:rStyle w:val="Hyperlink"/>
          </w:rPr>
          <w:t>https://doi.org/10.1038/s41562-021-01145-1</w:t>
        </w:r>
      </w:hyperlink>
    </w:p>
    <w:p w:rsidR="00E85319" w:rsidRDefault="00000000">
      <w:pPr>
        <w:pStyle w:val="Bibliography"/>
      </w:pPr>
      <w:bookmarkStart w:id="50" w:name="ref-brooks2005development"/>
      <w:bookmarkEnd w:id="49"/>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0">
        <w:r>
          <w:rPr>
            <w:rStyle w:val="Hyperlink"/>
          </w:rPr>
          <w:t>https://doi.org/10.1111/j.1467-7687.2005.00445.x</w:t>
        </w:r>
      </w:hyperlink>
    </w:p>
    <w:p w:rsidR="00E85319" w:rsidRPr="00B244C0" w:rsidRDefault="00000000">
      <w:pPr>
        <w:pStyle w:val="Bibliography"/>
        <w:rPr>
          <w:lang w:val="de-DE"/>
        </w:rPr>
      </w:pPr>
      <w:bookmarkStart w:id="51" w:name="ref-bulgarelli2016social"/>
      <w:bookmarkEnd w:id="50"/>
      <w:r>
        <w:t xml:space="preserve">Bulgarelli, D., &amp; Molina, P. (2016). Social Cognition in Preschoolers: Effects of Early Experience and Individual Differences. </w:t>
      </w:r>
      <w:r w:rsidRPr="00B244C0">
        <w:rPr>
          <w:i/>
          <w:iCs/>
          <w:lang w:val="de-DE"/>
        </w:rPr>
        <w:t>Frontiers in Psychology</w:t>
      </w:r>
      <w:r w:rsidRPr="00B244C0">
        <w:rPr>
          <w:lang w:val="de-DE"/>
        </w:rPr>
        <w:t xml:space="preserve">, </w:t>
      </w:r>
      <w:r w:rsidRPr="00B244C0">
        <w:rPr>
          <w:i/>
          <w:iCs/>
          <w:lang w:val="de-DE"/>
        </w:rPr>
        <w:t>7</w:t>
      </w:r>
      <w:r w:rsidRPr="00B244C0">
        <w:rPr>
          <w:lang w:val="de-DE"/>
        </w:rPr>
        <w:t xml:space="preserve">. </w:t>
      </w:r>
      <w:hyperlink r:id="rId41">
        <w:r w:rsidRPr="00B244C0">
          <w:rPr>
            <w:rStyle w:val="Hyperlink"/>
            <w:lang w:val="de-DE"/>
          </w:rPr>
          <w:t>https://doi.org/10.3389/fpsyg.2016.01762</w:t>
        </w:r>
      </w:hyperlink>
    </w:p>
    <w:p w:rsidR="00E85319" w:rsidRDefault="00000000">
      <w:pPr>
        <w:pStyle w:val="Bibliography"/>
      </w:pPr>
      <w:bookmarkStart w:id="52" w:name="ref-burkner2017brms"/>
      <w:bookmarkEnd w:id="51"/>
      <w:r w:rsidRPr="00B244C0">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42">
        <w:r>
          <w:rPr>
            <w:rStyle w:val="Hyperlink"/>
          </w:rPr>
          <w:t>https://doi.org/10.18637/jss.v080.i01</w:t>
        </w:r>
      </w:hyperlink>
    </w:p>
    <w:p w:rsidR="00E85319" w:rsidRDefault="00000000">
      <w:pPr>
        <w:pStyle w:val="Bibliography"/>
      </w:pPr>
      <w:bookmarkStart w:id="53" w:name="ref-burkner2018advanced"/>
      <w:bookmarkEnd w:id="52"/>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E85319" w:rsidRDefault="00000000">
      <w:pPr>
        <w:pStyle w:val="Bibliography"/>
      </w:pPr>
      <w:bookmarkStart w:id="54" w:name="ref-buttelmann2021relations"/>
      <w:bookmarkEnd w:id="53"/>
      <w:r>
        <w:t xml:space="preserve">Buttelmann, D., Kühn, K., &amp; Zmyj, N. (2021). The Relations among Theory of Mind, Inhibitory Control, and Aggressive Behavior in 4-Year-Old Children  A Multi-Measure Multi-Informant Approach. </w:t>
      </w:r>
      <w:r>
        <w:rPr>
          <w:i/>
          <w:iCs/>
        </w:rPr>
        <w:t>Journal of Cognition and Development</w:t>
      </w:r>
      <w:r>
        <w:t xml:space="preserve">, </w:t>
      </w:r>
      <w:r>
        <w:rPr>
          <w:i/>
          <w:iCs/>
        </w:rPr>
        <w:t>0</w:t>
      </w:r>
      <w:r>
        <w:t xml:space="preserve">(0), 1–24. </w:t>
      </w:r>
      <w:hyperlink r:id="rId44">
        <w:r>
          <w:rPr>
            <w:rStyle w:val="Hyperlink"/>
          </w:rPr>
          <w:t>https://doi.org/10.1080/15248372.2021.1987240</w:t>
        </w:r>
      </w:hyperlink>
    </w:p>
    <w:p w:rsidR="00E85319" w:rsidRDefault="00000000">
      <w:pPr>
        <w:pStyle w:val="Bibliography"/>
      </w:pPr>
      <w:bookmarkStart w:id="55" w:name="ref-byers-heinlein2021development"/>
      <w:bookmarkEnd w:id="54"/>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E85319" w:rsidRDefault="00000000">
      <w:pPr>
        <w:pStyle w:val="Bibliography"/>
      </w:pPr>
      <w:bookmarkStart w:id="56" w:name="ref-callaghan2005synchrony"/>
      <w:bookmarkEnd w:id="55"/>
      <w:r>
        <w:t xml:space="preserve">Callaghan, T., Rochat, P., Lillard, A., Claux, M. L., Odden, H., Itakura, S., … Singh, S. (2005). Synchrony in the onset of mental-state reasoning: Evidence from five cultures. </w:t>
      </w:r>
      <w:r>
        <w:rPr>
          <w:i/>
          <w:iCs/>
        </w:rPr>
        <w:t>Psychological Science</w:t>
      </w:r>
      <w:r>
        <w:t xml:space="preserve">. </w:t>
      </w:r>
      <w:hyperlink r:id="rId46">
        <w:r>
          <w:rPr>
            <w:rStyle w:val="Hyperlink"/>
          </w:rPr>
          <w:t>https://doi.org/10.1111/j.0956-7976.2005.01544.x</w:t>
        </w:r>
      </w:hyperlink>
    </w:p>
    <w:p w:rsidR="00E85319" w:rsidRDefault="00000000">
      <w:pPr>
        <w:pStyle w:val="Bibliography"/>
      </w:pPr>
      <w:bookmarkStart w:id="57" w:name="ref-carlson2001individual"/>
      <w:bookmarkEnd w:id="56"/>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47">
        <w:r>
          <w:rPr>
            <w:rStyle w:val="Hyperlink"/>
          </w:rPr>
          <w:t>https://www.jstor.org/stable/1132428</w:t>
        </w:r>
      </w:hyperlink>
    </w:p>
    <w:p w:rsidR="00E85319" w:rsidRDefault="00000000">
      <w:pPr>
        <w:pStyle w:val="Bibliography"/>
      </w:pPr>
      <w:bookmarkStart w:id="58" w:name="ref-carlson2004individual"/>
      <w:bookmarkEnd w:id="57"/>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48">
        <w:r>
          <w:rPr>
            <w:rStyle w:val="Hyperlink"/>
          </w:rPr>
          <w:t>https://doi.org/10.1016/j.jecp.2004.01.002</w:t>
        </w:r>
      </w:hyperlink>
    </w:p>
    <w:p w:rsidR="00E85319" w:rsidRDefault="00000000">
      <w:pPr>
        <w:pStyle w:val="Bibliography"/>
      </w:pPr>
      <w:bookmarkStart w:id="59" w:name="ref-cassidy2005theory"/>
      <w:bookmarkEnd w:id="58"/>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49">
        <w:r>
          <w:rPr>
            <w:rStyle w:val="Hyperlink"/>
          </w:rPr>
          <w:t>https://www.jstor.org/stable/3696711</w:t>
        </w:r>
      </w:hyperlink>
    </w:p>
    <w:p w:rsidR="00E85319" w:rsidRDefault="00000000">
      <w:pPr>
        <w:pStyle w:val="Bibliography"/>
      </w:pPr>
      <w:bookmarkStart w:id="60" w:name="ref-coburn2015new"/>
      <w:bookmarkEnd w:id="59"/>
      <w:r>
        <w:t xml:space="preserve">Coburn, P. I., Bernstein, D. M., &amp; Begeer, S. (2015). A new paper and pencil task reveals adult false belief reasoning bias. </w:t>
      </w:r>
      <w:r>
        <w:rPr>
          <w:i/>
          <w:iCs/>
        </w:rPr>
        <w:t>Psychological Research</w:t>
      </w:r>
      <w:r>
        <w:t xml:space="preserve">, </w:t>
      </w:r>
      <w:r>
        <w:rPr>
          <w:i/>
          <w:iCs/>
        </w:rPr>
        <w:t>79</w:t>
      </w:r>
      <w:r>
        <w:t xml:space="preserve">(5), 739–749. </w:t>
      </w:r>
      <w:hyperlink r:id="rId50">
        <w:r>
          <w:rPr>
            <w:rStyle w:val="Hyperlink"/>
          </w:rPr>
          <w:t>https://doi.org/10.1007/s00426-014-0606-0</w:t>
        </w:r>
      </w:hyperlink>
    </w:p>
    <w:p w:rsidR="00E85319" w:rsidRDefault="00000000">
      <w:pPr>
        <w:pStyle w:val="Bibliography"/>
      </w:pPr>
      <w:bookmarkStart w:id="61" w:name="ref-coelho2006searching"/>
      <w:bookmarkEnd w:id="60"/>
      <w:r>
        <w:t xml:space="preserve">Coelho, E., George, N., Conty, L., Hugueville, L., &amp; Tijus, C. (2006). Searching for asymmetries in the detection of gaze contact versus averted gaze under different head views: A behavioural study. </w:t>
      </w:r>
      <w:r>
        <w:rPr>
          <w:i/>
          <w:iCs/>
        </w:rPr>
        <w:t>Spatial Vision</w:t>
      </w:r>
      <w:r>
        <w:t xml:space="preserve">, </w:t>
      </w:r>
      <w:r>
        <w:rPr>
          <w:i/>
          <w:iCs/>
        </w:rPr>
        <w:t>19</w:t>
      </w:r>
      <w:r>
        <w:t xml:space="preserve">(6), 529–545. </w:t>
      </w:r>
      <w:hyperlink r:id="rId51">
        <w:r>
          <w:rPr>
            <w:rStyle w:val="Hyperlink"/>
          </w:rPr>
          <w:t>https://doi.org/10.1163/156856806779194026</w:t>
        </w:r>
      </w:hyperlink>
    </w:p>
    <w:p w:rsidR="00E85319" w:rsidRDefault="00000000">
      <w:pPr>
        <w:pStyle w:val="Bibliography"/>
      </w:pPr>
      <w:bookmarkStart w:id="62" w:name="ref-cutting1999theory"/>
      <w:bookmarkEnd w:id="61"/>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52">
        <w:r>
          <w:rPr>
            <w:rStyle w:val="Hyperlink"/>
          </w:rPr>
          <w:t>https://doi.org/10.1111/1467-8624.00061</w:t>
        </w:r>
      </w:hyperlink>
    </w:p>
    <w:p w:rsidR="00E85319" w:rsidRDefault="00000000">
      <w:pPr>
        <w:pStyle w:val="Bibliography"/>
      </w:pPr>
      <w:bookmarkStart w:id="63" w:name="ref-delbianco2019developmental"/>
      <w:bookmarkEnd w:id="62"/>
      <w:r>
        <w:lastRenderedPageBreak/>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3">
        <w:r>
          <w:rPr>
            <w:rStyle w:val="Hyperlink"/>
          </w:rPr>
          <w:t>https://doi.org/10.1111/infa.12276</w:t>
        </w:r>
      </w:hyperlink>
    </w:p>
    <w:p w:rsidR="00E85319" w:rsidRDefault="00000000">
      <w:pPr>
        <w:pStyle w:val="Bibliography"/>
      </w:pPr>
      <w:bookmarkStart w:id="64" w:name="ref-devine2018family"/>
      <w:bookmarkEnd w:id="63"/>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54">
        <w:r>
          <w:rPr>
            <w:rStyle w:val="Hyperlink"/>
          </w:rPr>
          <w:t>https://doi.org/10.1111/cdev.12682</w:t>
        </w:r>
      </w:hyperlink>
    </w:p>
    <w:p w:rsidR="00E85319" w:rsidRDefault="00000000">
      <w:pPr>
        <w:pStyle w:val="Bibliography"/>
      </w:pPr>
      <w:bookmarkStart w:id="65" w:name="ref-dunn1991young"/>
      <w:bookmarkEnd w:id="64"/>
      <w:r>
        <w:t xml:space="preserve">Dunn, J., Brown, J., Slomkowski, C., Tesla, C., &amp; Youngblade, L. (1991). </w:t>
      </w:r>
      <w:hyperlink r:id="rId55">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rsidR="00E85319" w:rsidRDefault="00000000">
      <w:pPr>
        <w:pStyle w:val="Bibliography"/>
      </w:pPr>
      <w:bookmarkStart w:id="66" w:name="ref-frank2016using"/>
      <w:bookmarkEnd w:id="65"/>
      <w:r>
        <w:t xml:space="preserve">Frank, M. C., Sugarman, E., Horowitz, A. C., Lewis, M. L., &amp; Yurovsky, D. (2016). Using Tablets to Collect Data From Young Children. </w:t>
      </w:r>
      <w:r>
        <w:rPr>
          <w:i/>
          <w:iCs/>
        </w:rPr>
        <w:t>Journal of Cognition and Development</w:t>
      </w:r>
      <w:r>
        <w:t xml:space="preserve">, </w:t>
      </w:r>
      <w:r>
        <w:rPr>
          <w:i/>
          <w:iCs/>
        </w:rPr>
        <w:t>17</w:t>
      </w:r>
      <w:r>
        <w:t xml:space="preserve">(1), 1–17. </w:t>
      </w:r>
      <w:hyperlink r:id="rId56">
        <w:r>
          <w:rPr>
            <w:rStyle w:val="Hyperlink"/>
          </w:rPr>
          <w:t>https://doi.org/10.1080/15248372.2015.1061528</w:t>
        </w:r>
      </w:hyperlink>
    </w:p>
    <w:p w:rsidR="00E85319" w:rsidRDefault="00000000">
      <w:pPr>
        <w:pStyle w:val="Bibliography"/>
      </w:pPr>
      <w:bookmarkStart w:id="67" w:name="ref-frischen2007gaze"/>
      <w:bookmarkEnd w:id="66"/>
      <w:r>
        <w:t xml:space="preserve">Frischen,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57">
        <w:r>
          <w:rPr>
            <w:rStyle w:val="Hyperlink"/>
          </w:rPr>
          <w:t>https://doi.org/10.1037/0033-2909.133.4.694</w:t>
        </w:r>
      </w:hyperlink>
    </w:p>
    <w:p w:rsidR="00E85319" w:rsidRDefault="00000000">
      <w:pPr>
        <w:pStyle w:val="Bibliography"/>
      </w:pPr>
      <w:bookmarkStart w:id="68" w:name="ref-gathercole2004structure"/>
      <w:bookmarkEnd w:id="67"/>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8">
        <w:r>
          <w:rPr>
            <w:rStyle w:val="Hyperlink"/>
          </w:rPr>
          <w:t>https://doi.org/10.1037/0012-1649.40.2.177</w:t>
        </w:r>
      </w:hyperlink>
    </w:p>
    <w:p w:rsidR="00E85319" w:rsidRDefault="00000000">
      <w:pPr>
        <w:pStyle w:val="Bibliography"/>
      </w:pPr>
      <w:bookmarkStart w:id="69" w:name="ref-gola2012mental"/>
      <w:bookmarkEnd w:id="68"/>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59">
        <w:r>
          <w:rPr>
            <w:rStyle w:val="Hyperlink"/>
          </w:rPr>
          <w:t>https://doi.org/10.1016/j.cogdev.2011.10.003</w:t>
        </w:r>
      </w:hyperlink>
    </w:p>
    <w:p w:rsidR="00E85319" w:rsidRDefault="00000000">
      <w:pPr>
        <w:pStyle w:val="Bibliography"/>
      </w:pPr>
      <w:bookmarkStart w:id="70" w:name="ref-gopnik1991young"/>
      <w:bookmarkEnd w:id="69"/>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0">
        <w:r>
          <w:rPr>
            <w:rStyle w:val="Hyperlink"/>
          </w:rPr>
          <w:t>https://doi.org/10.2307/1130707</w:t>
        </w:r>
      </w:hyperlink>
    </w:p>
    <w:p w:rsidR="00E85319" w:rsidRDefault="00000000">
      <w:pPr>
        <w:pStyle w:val="Bibliography"/>
      </w:pPr>
      <w:bookmarkStart w:id="71" w:name="ref-haines2020theoretically"/>
      <w:bookmarkEnd w:id="70"/>
      <w:r>
        <w:t xml:space="preserve">Haines, N., Kvam, P. D., Irving, L. H., Smith, C., Beauchaine, T. P., Pitt, M. A., … Turner, B. M. (2020). </w:t>
      </w:r>
      <w:r>
        <w:rPr>
          <w:i/>
          <w:iCs/>
        </w:rPr>
        <w:t>Theoretically Informed Generative Models Can Advance the Psychological and Brain Sciences: Lessons from the Reliability Paradox</w:t>
      </w:r>
      <w:r>
        <w:t xml:space="preserve">. PsyArXiv. </w:t>
      </w:r>
      <w:hyperlink r:id="rId61">
        <w:r>
          <w:rPr>
            <w:rStyle w:val="Hyperlink"/>
          </w:rPr>
          <w:t>https://doi.org/10.31234/osf.io/xr7y3</w:t>
        </w:r>
      </w:hyperlink>
    </w:p>
    <w:p w:rsidR="00E85319" w:rsidRDefault="00000000">
      <w:pPr>
        <w:pStyle w:val="Bibliography"/>
      </w:pPr>
      <w:bookmarkStart w:id="72" w:name="ref-happe2017structure"/>
      <w:bookmarkEnd w:id="71"/>
      <w:r>
        <w:t xml:space="preserve">Happé, F., Cook, J. L., &amp; Bird, G. (2017). The Structure of Social Cognition: In(ter)dependence of Sociocognitive Processes. </w:t>
      </w:r>
      <w:r>
        <w:rPr>
          <w:i/>
          <w:iCs/>
        </w:rPr>
        <w:t>Annual Review of Psychology</w:t>
      </w:r>
      <w:r>
        <w:t xml:space="preserve">, </w:t>
      </w:r>
      <w:r>
        <w:rPr>
          <w:i/>
          <w:iCs/>
        </w:rPr>
        <w:t>68</w:t>
      </w:r>
      <w:r>
        <w:t xml:space="preserve">(1), 243–267. </w:t>
      </w:r>
      <w:hyperlink r:id="rId62">
        <w:r>
          <w:rPr>
            <w:rStyle w:val="Hyperlink"/>
          </w:rPr>
          <w:t>https://doi.org/10.1146/annurev-psych-010416-044046</w:t>
        </w:r>
      </w:hyperlink>
    </w:p>
    <w:p w:rsidR="00E85319" w:rsidRDefault="00000000">
      <w:pPr>
        <w:pStyle w:val="Bibliography"/>
      </w:pPr>
      <w:bookmarkStart w:id="73" w:name="ref-hedge2018reliability"/>
      <w:bookmarkEnd w:id="72"/>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63">
        <w:r>
          <w:rPr>
            <w:rStyle w:val="Hyperlink"/>
          </w:rPr>
          <w:t>https://doi.org/10.3758/s13428-017-0935-1</w:t>
        </w:r>
      </w:hyperlink>
    </w:p>
    <w:p w:rsidR="00E85319" w:rsidRDefault="00000000">
      <w:pPr>
        <w:pStyle w:val="Bibliography"/>
      </w:pPr>
      <w:bookmarkStart w:id="74" w:name="ref-hernik2019infant"/>
      <w:bookmarkEnd w:id="73"/>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4">
        <w:r>
          <w:rPr>
            <w:rStyle w:val="Hyperlink"/>
          </w:rPr>
          <w:t>https://doi.org/10.1111/desc.12779</w:t>
        </w:r>
      </w:hyperlink>
    </w:p>
    <w:p w:rsidR="00E85319" w:rsidRDefault="00000000">
      <w:pPr>
        <w:pStyle w:val="Bibliography"/>
      </w:pPr>
      <w:bookmarkStart w:id="75" w:name="ref-herrmann2010structure"/>
      <w:bookmarkEnd w:id="74"/>
      <w:r>
        <w:t xml:space="preserve">Herrmann, E., Hernández-Lloreda, M. V., Call, J., Hare, B., &amp; Tomasello, M. (2010). The Structure of Individual Differences in the Cognitive Abilities of Children and Chimpanzees. </w:t>
      </w:r>
      <w:r>
        <w:rPr>
          <w:i/>
          <w:iCs/>
        </w:rPr>
        <w:t>Psychological Science</w:t>
      </w:r>
      <w:r>
        <w:t xml:space="preserve">, </w:t>
      </w:r>
      <w:r>
        <w:rPr>
          <w:i/>
          <w:iCs/>
        </w:rPr>
        <w:t>21</w:t>
      </w:r>
      <w:r>
        <w:t xml:space="preserve">(1), 102–110. </w:t>
      </w:r>
      <w:hyperlink r:id="rId65">
        <w:r>
          <w:rPr>
            <w:rStyle w:val="Hyperlink"/>
          </w:rPr>
          <w:t>https://doi.org/10.1177/0956797609356511</w:t>
        </w:r>
      </w:hyperlink>
    </w:p>
    <w:p w:rsidR="00E85319" w:rsidRDefault="00000000">
      <w:pPr>
        <w:pStyle w:val="Bibliography"/>
      </w:pPr>
      <w:bookmarkStart w:id="76" w:name="ref-hughes2000good"/>
      <w:bookmarkEnd w:id="75"/>
      <w:r>
        <w:t xml:space="preserve">Hughes, C., Adlam, A., Happé,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66">
        <w:r>
          <w:rPr>
            <w:rStyle w:val="Hyperlink"/>
          </w:rPr>
          <w:t>https://doi.org/10.1111/1469-7610.00633</w:t>
        </w:r>
      </w:hyperlink>
    </w:p>
    <w:p w:rsidR="00E85319" w:rsidRDefault="00000000">
      <w:pPr>
        <w:pStyle w:val="Bibliography"/>
      </w:pPr>
      <w:bookmarkStart w:id="77" w:name="ref-hughes2015individual"/>
      <w:bookmarkEnd w:id="76"/>
      <w:r>
        <w:t xml:space="preserve">Hughes, C., &amp; Devine, R. T. (2015). Individual Differences in Theory of Mind From Preschool to Adolescence: Achievements and Directions. </w:t>
      </w:r>
      <w:r>
        <w:rPr>
          <w:i/>
          <w:iCs/>
        </w:rPr>
        <w:t>Child Development Perspectives</w:t>
      </w:r>
      <w:r>
        <w:t xml:space="preserve">, </w:t>
      </w:r>
      <w:r>
        <w:rPr>
          <w:i/>
          <w:iCs/>
        </w:rPr>
        <w:t>9</w:t>
      </w:r>
      <w:r>
        <w:t xml:space="preserve">(3), 149–153. </w:t>
      </w:r>
      <w:hyperlink r:id="rId67">
        <w:r>
          <w:rPr>
            <w:rStyle w:val="Hyperlink"/>
          </w:rPr>
          <w:t>https://doi.org/10.1111/cdep.12124</w:t>
        </w:r>
      </w:hyperlink>
    </w:p>
    <w:p w:rsidR="00E85319" w:rsidRDefault="00000000">
      <w:pPr>
        <w:pStyle w:val="Bibliography"/>
      </w:pPr>
      <w:bookmarkStart w:id="78" w:name="ref-hughes2007executive"/>
      <w:bookmarkEnd w:id="77"/>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68">
        <w:r>
          <w:rPr>
            <w:rStyle w:val="Hyperlink"/>
          </w:rPr>
          <w:t>https://doi.org/10.1037/0012-1649.43.6.1447</w:t>
        </w:r>
      </w:hyperlink>
    </w:p>
    <w:p w:rsidR="00E85319" w:rsidRDefault="00000000">
      <w:pPr>
        <w:pStyle w:val="Bibliography"/>
      </w:pPr>
      <w:bookmarkStart w:id="79" w:name="ref-hughes2011individual"/>
      <w:bookmarkEnd w:id="78"/>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69">
        <w:r>
          <w:rPr>
            <w:rStyle w:val="Hyperlink"/>
          </w:rPr>
          <w:t>https://doi.org/10.1016/j.jecp.2010.07.012</w:t>
        </w:r>
      </w:hyperlink>
    </w:p>
    <w:p w:rsidR="00E85319" w:rsidRDefault="00000000">
      <w:pPr>
        <w:pStyle w:val="Bibliography"/>
      </w:pPr>
      <w:bookmarkStart w:id="80" w:name="ref-hughes2004links"/>
      <w:bookmarkEnd w:id="79"/>
      <w:r>
        <w:t xml:space="preserve">Hughes, C., &amp; Leekam,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0">
        <w:r>
          <w:rPr>
            <w:rStyle w:val="Hyperlink"/>
          </w:rPr>
          <w:t>https://doi.org/10.1111/j.1467-9507.2004.00285.x</w:t>
        </w:r>
      </w:hyperlink>
    </w:p>
    <w:p w:rsidR="00E85319" w:rsidRDefault="00000000">
      <w:pPr>
        <w:pStyle w:val="Bibliography"/>
      </w:pPr>
      <w:bookmarkStart w:id="81" w:name="ref-imuta2016theory"/>
      <w:bookmarkEnd w:id="80"/>
      <w:r>
        <w:t xml:space="preserve">Imuta, K., Henry, J. D., Slaughter, V., Selcuk, B., &amp; Ruffman, T. (2016). Theory of mind and prosocial behavior in childhood: A meta-analytic review. </w:t>
      </w:r>
      <w:r>
        <w:rPr>
          <w:i/>
          <w:iCs/>
        </w:rPr>
        <w:t>Developmental Psychology</w:t>
      </w:r>
      <w:r>
        <w:t xml:space="preserve">, </w:t>
      </w:r>
      <w:r>
        <w:rPr>
          <w:i/>
          <w:iCs/>
        </w:rPr>
        <w:t>52</w:t>
      </w:r>
      <w:r>
        <w:t xml:space="preserve">(8), 1192–1205. </w:t>
      </w:r>
      <w:hyperlink r:id="rId71">
        <w:r>
          <w:rPr>
            <w:rStyle w:val="Hyperlink"/>
          </w:rPr>
          <w:t>https://doi.org/10.1037/dev0000140</w:t>
        </w:r>
      </w:hyperlink>
    </w:p>
    <w:p w:rsidR="00E85319" w:rsidRDefault="00000000">
      <w:pPr>
        <w:pStyle w:val="Bibliography"/>
      </w:pPr>
      <w:bookmarkStart w:id="82" w:name="ref-itakura1998use"/>
      <w:bookmarkEnd w:id="81"/>
      <w:r>
        <w:t xml:space="preserve">Itakura,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72">
        <w:r>
          <w:rPr>
            <w:rStyle w:val="Hyperlink"/>
          </w:rPr>
          <w:t>https://doi.org/10.1037/0735-7036.112.2.119</w:t>
        </w:r>
      </w:hyperlink>
    </w:p>
    <w:p w:rsidR="00E85319" w:rsidRDefault="00000000">
      <w:pPr>
        <w:pStyle w:val="Bibliography"/>
      </w:pPr>
      <w:bookmarkStart w:id="83" w:name="ref-kidd2018individual"/>
      <w:bookmarkEnd w:id="82"/>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73">
        <w:r>
          <w:rPr>
            <w:rStyle w:val="Hyperlink"/>
          </w:rPr>
          <w:t>https://doi.org/10.1016/j.tics.2017.11.006</w:t>
        </w:r>
      </w:hyperlink>
    </w:p>
    <w:p w:rsidR="00E85319" w:rsidRDefault="00000000">
      <w:pPr>
        <w:pStyle w:val="Bibliography"/>
      </w:pPr>
      <w:bookmarkStart w:id="84" w:name="ref-lecce2014promoting"/>
      <w:bookmarkEnd w:id="83"/>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74">
        <w:r>
          <w:rPr>
            <w:rStyle w:val="Hyperlink"/>
          </w:rPr>
          <w:t>https://doi.org/10.1016/j.jecp.2014.03.002</w:t>
        </w:r>
      </w:hyperlink>
    </w:p>
    <w:p w:rsidR="00E85319" w:rsidRDefault="00000000">
      <w:pPr>
        <w:pStyle w:val="Bibliography"/>
      </w:pPr>
      <w:bookmarkStart w:id="85" w:name="ref-lee1998children"/>
      <w:bookmarkEnd w:id="84"/>
      <w:r w:rsidRPr="00B244C0">
        <w:rPr>
          <w:lang w:val="de-DE"/>
        </w:rPr>
        <w:t xml:space="preserve">Lee, K., Eskritt,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75">
        <w:r>
          <w:rPr>
            <w:rStyle w:val="Hyperlink"/>
          </w:rPr>
          <w:t>https://doi.org/10.1037//0012-1649.34.3.525</w:t>
        </w:r>
      </w:hyperlink>
    </w:p>
    <w:p w:rsidR="00E85319" w:rsidRDefault="00000000">
      <w:pPr>
        <w:pStyle w:val="Bibliography"/>
      </w:pPr>
      <w:bookmarkStart w:id="86" w:name="ref-macdonald2013eye"/>
      <w:bookmarkEnd w:id="85"/>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76">
        <w:r>
          <w:rPr>
            <w:rStyle w:val="Hyperlink"/>
          </w:rPr>
          <w:t>https://doi.org/10.1167/13.4.6</w:t>
        </w:r>
      </w:hyperlink>
    </w:p>
    <w:p w:rsidR="00E85319" w:rsidRDefault="00000000">
      <w:pPr>
        <w:pStyle w:val="Bibliography"/>
      </w:pPr>
      <w:bookmarkStart w:id="87" w:name="ref-mahy2017testing"/>
      <w:bookmarkEnd w:id="86"/>
      <w:r>
        <w:t xml:space="preserve">Mahy, C. E. V., Bernstein, D. M., Gerrard, L. D., &amp; Atance, C. M. (2017). Testing the validity of a continuous false belief task in 3- to 7-year-old children. </w:t>
      </w:r>
      <w:r>
        <w:rPr>
          <w:i/>
          <w:iCs/>
        </w:rPr>
        <w:t>Journal of Experimental Child Psychology</w:t>
      </w:r>
      <w:r>
        <w:t xml:space="preserve">, </w:t>
      </w:r>
      <w:r>
        <w:rPr>
          <w:i/>
          <w:iCs/>
        </w:rPr>
        <w:t>160</w:t>
      </w:r>
      <w:r>
        <w:t xml:space="preserve">, 50–66. </w:t>
      </w:r>
      <w:hyperlink r:id="rId77">
        <w:r>
          <w:rPr>
            <w:rStyle w:val="Hyperlink"/>
          </w:rPr>
          <w:t>https://doi.org/10.1016/j.jecp.2017.03.010</w:t>
        </w:r>
      </w:hyperlink>
    </w:p>
    <w:p w:rsidR="00E85319" w:rsidRDefault="00000000">
      <w:pPr>
        <w:pStyle w:val="Bibliography"/>
      </w:pPr>
      <w:bookmarkStart w:id="88" w:name="ref-mayer2015weird"/>
      <w:bookmarkEnd w:id="87"/>
      <w:r>
        <w:t xml:space="preserve">Mayer, A., &amp; Träuble, B. (2015). The weird world of cross-cultural false-belief research: A true- and false-belief study among samoan children based on commands. </w:t>
      </w:r>
      <w:r>
        <w:rPr>
          <w:i/>
          <w:iCs/>
        </w:rPr>
        <w:t>Journal of Cognition and Development</w:t>
      </w:r>
      <w:r>
        <w:t xml:space="preserve">, </w:t>
      </w:r>
      <w:r>
        <w:rPr>
          <w:i/>
          <w:iCs/>
        </w:rPr>
        <w:t>16</w:t>
      </w:r>
      <w:r>
        <w:t xml:space="preserve">(4), 650–665. </w:t>
      </w:r>
      <w:hyperlink r:id="rId78">
        <w:r>
          <w:rPr>
            <w:rStyle w:val="Hyperlink"/>
          </w:rPr>
          <w:t>https://doi.org/10.1080/15248372.2014.926273</w:t>
        </w:r>
      </w:hyperlink>
    </w:p>
    <w:p w:rsidR="00E85319" w:rsidRDefault="00000000">
      <w:pPr>
        <w:pStyle w:val="Bibliography"/>
      </w:pPr>
      <w:bookmarkStart w:id="89" w:name="ref-mayes1996testretest"/>
      <w:bookmarkEnd w:id="88"/>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9">
        <w:r>
          <w:rPr>
            <w:rStyle w:val="Hyperlink"/>
          </w:rPr>
          <w:t>https://doi.org/10.1111/j.1469-7610.1996.tb01408.x</w:t>
        </w:r>
      </w:hyperlink>
    </w:p>
    <w:p w:rsidR="00E85319" w:rsidRDefault="00000000">
      <w:pPr>
        <w:pStyle w:val="Bibliography"/>
      </w:pPr>
      <w:bookmarkStart w:id="90" w:name="ref-mcewen2007origins"/>
      <w:bookmarkEnd w:id="89"/>
      <w:r>
        <w:t xml:space="preserve">McEwen, F., Happé, F., Bolton, P., Rijsdijk, F., Ronald, A., Dworzynski,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0">
        <w:r>
          <w:rPr>
            <w:rStyle w:val="Hyperlink"/>
          </w:rPr>
          <w:t>https://doi.org/10.1111/j.1467-8624.2007.01010.x</w:t>
        </w:r>
      </w:hyperlink>
    </w:p>
    <w:p w:rsidR="00E85319" w:rsidRDefault="00000000">
      <w:pPr>
        <w:pStyle w:val="Bibliography"/>
      </w:pPr>
      <w:bookmarkStart w:id="91" w:name="ref-milligan2007language"/>
      <w:bookmarkEnd w:id="90"/>
      <w:r>
        <w:t xml:space="preserve">Milligan, K., Astington, J. W., &amp; Dack,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1">
        <w:r>
          <w:rPr>
            <w:rStyle w:val="Hyperlink"/>
          </w:rPr>
          <w:t>https://doi.org/10.1111/j.1467-8624.2007.01018.x</w:t>
        </w:r>
      </w:hyperlink>
    </w:p>
    <w:p w:rsidR="00E85319" w:rsidRDefault="00000000">
      <w:pPr>
        <w:pStyle w:val="Bibliography"/>
      </w:pPr>
      <w:bookmarkStart w:id="92" w:name="ref-molleman2019unleashing"/>
      <w:bookmarkEnd w:id="91"/>
      <w:r>
        <w:t xml:space="preserve">Molleman, L., Kurvers, R. H. J. M., &amp; van den Bos, W. (2019). Unleashing the BEAST: A brief measure of human social information use. </w:t>
      </w:r>
      <w:r>
        <w:rPr>
          <w:i/>
          <w:iCs/>
        </w:rPr>
        <w:t>Evolution and Human Behavior</w:t>
      </w:r>
      <w:r>
        <w:t xml:space="preserve">, </w:t>
      </w:r>
      <w:r>
        <w:rPr>
          <w:i/>
          <w:iCs/>
        </w:rPr>
        <w:t>40</w:t>
      </w:r>
      <w:r>
        <w:t xml:space="preserve">(5), 492–499. </w:t>
      </w:r>
      <w:hyperlink r:id="rId82">
        <w:r>
          <w:rPr>
            <w:rStyle w:val="Hyperlink"/>
          </w:rPr>
          <w:t>https://doi.org/10.1016/j.evolhumbehav.2019.06.005</w:t>
        </w:r>
      </w:hyperlink>
    </w:p>
    <w:p w:rsidR="00E85319" w:rsidRDefault="00000000">
      <w:pPr>
        <w:pStyle w:val="Bibliography"/>
      </w:pPr>
      <w:bookmarkStart w:id="93" w:name="ref-moore2008development"/>
      <w:bookmarkEnd w:id="92"/>
      <w:r>
        <w:t xml:space="preserve">Moore, C. (2008). The Development of Gaze Following. </w:t>
      </w:r>
      <w:r>
        <w:rPr>
          <w:i/>
          <w:iCs/>
        </w:rPr>
        <w:t>Child Development Perspectives</w:t>
      </w:r>
      <w:r>
        <w:t xml:space="preserve">, </w:t>
      </w:r>
      <w:r>
        <w:rPr>
          <w:i/>
          <w:iCs/>
        </w:rPr>
        <w:t>2</w:t>
      </w:r>
      <w:r>
        <w:t xml:space="preserve">(2), 66–70. </w:t>
      </w:r>
      <w:hyperlink r:id="rId83">
        <w:r>
          <w:rPr>
            <w:rStyle w:val="Hyperlink"/>
          </w:rPr>
          <w:t>https://doi.org/10.1111/j.1750-8606.2008.00052.x</w:t>
        </w:r>
      </w:hyperlink>
    </w:p>
    <w:p w:rsidR="00E85319" w:rsidRDefault="00000000">
      <w:pPr>
        <w:pStyle w:val="Bibliography"/>
      </w:pPr>
      <w:bookmarkStart w:id="94" w:name="ref-mundy2007individual"/>
      <w:bookmarkEnd w:id="93"/>
      <w:r>
        <w:t xml:space="preserve">Mundy, P., Block, J., Delgado, C., Pomares, Y., Van Hecke, A. V., &amp; Parlade, M. V. (2007). Individual differences and the development of joint attention in infancy. </w:t>
      </w:r>
      <w:r>
        <w:rPr>
          <w:i/>
          <w:iCs/>
        </w:rPr>
        <w:t>Child Development</w:t>
      </w:r>
      <w:r>
        <w:t xml:space="preserve">, </w:t>
      </w:r>
      <w:r>
        <w:rPr>
          <w:i/>
          <w:iCs/>
        </w:rPr>
        <w:t>78</w:t>
      </w:r>
      <w:r>
        <w:t xml:space="preserve">(3), 938–954. </w:t>
      </w:r>
      <w:hyperlink r:id="rId84">
        <w:r>
          <w:rPr>
            <w:rStyle w:val="Hyperlink"/>
          </w:rPr>
          <w:t>https://doi.org/10.1111/j.1467-8624.2007.01042.x</w:t>
        </w:r>
      </w:hyperlink>
    </w:p>
    <w:p w:rsidR="00E85319" w:rsidRDefault="00000000">
      <w:pPr>
        <w:pStyle w:val="Bibliography"/>
      </w:pPr>
      <w:bookmarkStart w:id="95" w:name="ref-okumura2017individual"/>
      <w:bookmarkEnd w:id="94"/>
      <w:r>
        <w:t xml:space="preserve">Okumura, Y., Kanakogi, Y., Kobayashi, T., &amp; Itakura,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85">
        <w:r>
          <w:rPr>
            <w:rStyle w:val="Hyperlink"/>
          </w:rPr>
          <w:t>https://doi.org/10.1016/j.cognition.2017.06.005</w:t>
        </w:r>
      </w:hyperlink>
    </w:p>
    <w:p w:rsidR="00E85319" w:rsidRDefault="00000000">
      <w:pPr>
        <w:pStyle w:val="Bibliography"/>
      </w:pPr>
      <w:bookmarkStart w:id="96" w:name="ref-palan2018prolific"/>
      <w:bookmarkEnd w:id="95"/>
      <w:r>
        <w:lastRenderedPageBreak/>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86">
        <w:r>
          <w:rPr>
            <w:rStyle w:val="Hyperlink"/>
          </w:rPr>
          <w:t>https://doi.org/10.1016/j.jbef.2017.12.004</w:t>
        </w:r>
      </w:hyperlink>
    </w:p>
    <w:p w:rsidR="00E85319" w:rsidRDefault="00000000">
      <w:pPr>
        <w:pStyle w:val="Bibliography"/>
      </w:pPr>
      <w:bookmarkStart w:id="97" w:name="ref-pavarini2013parental"/>
      <w:bookmarkEnd w:id="96"/>
      <w:r>
        <w:t xml:space="preserve">Pavarini, G., de Hollanda Souza, D., &amp; Hawk, C. K. (2013). Parental Practices and Theory of Mind Development. </w:t>
      </w:r>
      <w:r>
        <w:rPr>
          <w:i/>
          <w:iCs/>
        </w:rPr>
        <w:t>Journal of Child and Family Studies</w:t>
      </w:r>
      <w:r>
        <w:t xml:space="preserve">, </w:t>
      </w:r>
      <w:r>
        <w:rPr>
          <w:i/>
          <w:iCs/>
        </w:rPr>
        <w:t>22</w:t>
      </w:r>
      <w:r>
        <w:t xml:space="preserve">(6), 844–853. </w:t>
      </w:r>
      <w:hyperlink r:id="rId87">
        <w:r>
          <w:rPr>
            <w:rStyle w:val="Hyperlink"/>
          </w:rPr>
          <w:t>https://doi.org/10.1007/s10826-012-9643-8</w:t>
        </w:r>
      </w:hyperlink>
    </w:p>
    <w:p w:rsidR="00E85319" w:rsidRDefault="00000000">
      <w:pPr>
        <w:pStyle w:val="Bibliography"/>
      </w:pPr>
      <w:bookmarkStart w:id="98" w:name="ref-perner1994theory"/>
      <w:bookmarkEnd w:id="97"/>
      <w:r w:rsidRPr="00B244C0">
        <w:rPr>
          <w:lang w:val="de-DE"/>
        </w:rPr>
        <w:t xml:space="preserve">Perner, J., Ruffman, T., &amp; Leekam, S. R. (1994). </w:t>
      </w:r>
      <w:r>
        <w:t xml:space="preserve">Theory of Mind Is Contagious: You Catch It from Your Sibs. </w:t>
      </w:r>
      <w:r>
        <w:rPr>
          <w:i/>
          <w:iCs/>
        </w:rPr>
        <w:t>Child Development</w:t>
      </w:r>
      <w:r>
        <w:t xml:space="preserve">, </w:t>
      </w:r>
      <w:r>
        <w:rPr>
          <w:i/>
          <w:iCs/>
        </w:rPr>
        <w:t>65</w:t>
      </w:r>
      <w:r>
        <w:t xml:space="preserve">(4), 1228–1238. </w:t>
      </w:r>
      <w:hyperlink r:id="rId88">
        <w:r>
          <w:rPr>
            <w:rStyle w:val="Hyperlink"/>
          </w:rPr>
          <w:t>https://doi.org/10.2307/1131316</w:t>
        </w:r>
      </w:hyperlink>
    </w:p>
    <w:p w:rsidR="00E85319" w:rsidRDefault="00000000">
      <w:pPr>
        <w:pStyle w:val="Bibliography"/>
      </w:pPr>
      <w:bookmarkStart w:id="99" w:name="ref-peterson2000kindred"/>
      <w:bookmarkEnd w:id="98"/>
      <w:r>
        <w:t xml:space="preserve">Peterson. (2000). Kindred spirits: Influences of siblings’ perspectives on theory of mind. </w:t>
      </w:r>
      <w:r>
        <w:rPr>
          <w:i/>
          <w:iCs/>
        </w:rPr>
        <w:t>Cognitive Development</w:t>
      </w:r>
      <w:r>
        <w:t xml:space="preserve">, </w:t>
      </w:r>
      <w:r>
        <w:rPr>
          <w:i/>
          <w:iCs/>
        </w:rPr>
        <w:t>15</w:t>
      </w:r>
      <w:r>
        <w:t xml:space="preserve">(4), 435–455. </w:t>
      </w:r>
      <w:hyperlink r:id="rId89">
        <w:r>
          <w:rPr>
            <w:rStyle w:val="Hyperlink"/>
          </w:rPr>
          <w:t>https://doi.org/10.1016/S0885-2014(01)00040-5</w:t>
        </w:r>
      </w:hyperlink>
    </w:p>
    <w:p w:rsidR="00E85319" w:rsidRDefault="00000000">
      <w:pPr>
        <w:pStyle w:val="Bibliography"/>
      </w:pPr>
      <w:bookmarkStart w:id="100" w:name="ref-peterson2012mind"/>
      <w:bookmarkEnd w:id="99"/>
      <w:r>
        <w:t xml:space="preserve">Peterson, Wellman, H. M., &amp; Slaughter, V. (2012). The Mind Behind the Message: Advancing Theory-of-Mind Scales for Typically Developing Children, and Those With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0">
        <w:r>
          <w:rPr>
            <w:rStyle w:val="Hyperlink"/>
          </w:rPr>
          <w:t>https://doi.org/10.1111/j.1467-8624.2011.01728.x</w:t>
        </w:r>
      </w:hyperlink>
    </w:p>
    <w:p w:rsidR="00E85319" w:rsidRDefault="00000000">
      <w:pPr>
        <w:pStyle w:val="Bibliography"/>
      </w:pPr>
      <w:bookmarkStart w:id="101" w:name="ref-poulin-dubois2023discontinuity"/>
      <w:bookmarkEnd w:id="100"/>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91">
        <w:r>
          <w:rPr>
            <w:rStyle w:val="Hyperlink"/>
          </w:rPr>
          <w:t>https://doi.org/10.1016/j.cogdev.2022.101273</w:t>
        </w:r>
      </w:hyperlink>
    </w:p>
    <w:p w:rsidR="00E85319" w:rsidRDefault="00000000">
      <w:pPr>
        <w:pStyle w:val="Bibliography"/>
      </w:pPr>
      <w:bookmarkStart w:id="102" w:name="ref-pronk2021methods"/>
      <w:bookmarkEnd w:id="101"/>
      <w:r>
        <w:t xml:space="preserve">Pronk, T., Molenaar, D., Wiers, R. W., &amp; Murre, J. (2021). Methods to split cognitive task data for estimating split-half reliability: A comprehensive review and systematic assessment. </w:t>
      </w:r>
      <w:r>
        <w:rPr>
          <w:i/>
          <w:iCs/>
        </w:rPr>
        <w:t>Psychonomic Bulletin &amp; Review</w:t>
      </w:r>
      <w:r>
        <w:t xml:space="preserve">. </w:t>
      </w:r>
      <w:hyperlink r:id="rId92">
        <w:r>
          <w:rPr>
            <w:rStyle w:val="Hyperlink"/>
          </w:rPr>
          <w:t>https://doi.org/10.3758/s13423-021-01948-3</w:t>
        </w:r>
      </w:hyperlink>
    </w:p>
    <w:p w:rsidR="00E85319" w:rsidRDefault="00000000">
      <w:pPr>
        <w:pStyle w:val="Bibliography"/>
      </w:pPr>
      <w:bookmarkStart w:id="103" w:name="ref-rcoreteam2022language"/>
      <w:bookmarkEnd w:id="102"/>
      <w:r>
        <w:lastRenderedPageBreak/>
        <w:t xml:space="preserve">R Core Team. (2022). </w:t>
      </w:r>
      <w:r>
        <w:rPr>
          <w:i/>
          <w:iCs/>
        </w:rPr>
        <w:t>R: A language and environment for statistical computing</w:t>
      </w:r>
      <w:r>
        <w:t xml:space="preserve"> [Manual]. Vienna, Austria: R Foundation for Statistical Computing.</w:t>
      </w:r>
    </w:p>
    <w:p w:rsidR="00E85319" w:rsidRDefault="00000000">
      <w:pPr>
        <w:pStyle w:val="Bibliography"/>
      </w:pPr>
      <w:bookmarkStart w:id="104" w:name="ref-rakoczy2022foundations"/>
      <w:bookmarkEnd w:id="103"/>
      <w:r>
        <w:t xml:space="preserve">Rakoczy, H. (2022). Foundations of theory of mind and its development in early childhood. </w:t>
      </w:r>
      <w:r>
        <w:rPr>
          <w:i/>
          <w:iCs/>
        </w:rPr>
        <w:t>Nature Reviews Psychology</w:t>
      </w:r>
      <w:r>
        <w:t xml:space="preserve">, 1–13. </w:t>
      </w:r>
      <w:hyperlink r:id="rId93">
        <w:r>
          <w:rPr>
            <w:rStyle w:val="Hyperlink"/>
          </w:rPr>
          <w:t>https://doi.org/10.1038/s44159-022-00037-z</w:t>
        </w:r>
      </w:hyperlink>
    </w:p>
    <w:p w:rsidR="00E85319" w:rsidRDefault="00000000">
      <w:pPr>
        <w:pStyle w:val="Bibliography"/>
      </w:pPr>
      <w:bookmarkStart w:id="105" w:name="ref-raviv2018developmental"/>
      <w:bookmarkEnd w:id="104"/>
      <w:r>
        <w:t xml:space="preserve">Raviv, L., &amp; Arnon,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94">
        <w:r>
          <w:rPr>
            <w:rStyle w:val="Hyperlink"/>
          </w:rPr>
          <w:t>https://doi.org/10.1111/desc.12593</w:t>
        </w:r>
      </w:hyperlink>
    </w:p>
    <w:p w:rsidR="00E85319" w:rsidRDefault="00000000">
      <w:pPr>
        <w:pStyle w:val="Bibliography"/>
      </w:pPr>
      <w:bookmarkStart w:id="106" w:name="ref-repacholi2003introduction"/>
      <w:bookmarkEnd w:id="105"/>
      <w:r>
        <w:t xml:space="preserve">Repacholi, V. S. &amp;. B. (2003). Introduction Individual Differences in Theory of Mind: What Are We Investigating? In </w:t>
      </w:r>
      <w:r>
        <w:rPr>
          <w:i/>
          <w:iCs/>
        </w:rPr>
        <w:t>Individual Differences in Theory of Mind</w:t>
      </w:r>
      <w:r>
        <w:t>. Psychology Press.</w:t>
      </w:r>
    </w:p>
    <w:p w:rsidR="00E85319" w:rsidRDefault="00000000">
      <w:pPr>
        <w:pStyle w:val="Bibliography"/>
      </w:pPr>
      <w:bookmarkStart w:id="107" w:name="ref-rizzo2018theory"/>
      <w:bookmarkEnd w:id="106"/>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95">
        <w:r>
          <w:rPr>
            <w:rStyle w:val="Hyperlink"/>
          </w:rPr>
          <w:t>https://doi.org/10.1037/dev0000439</w:t>
        </w:r>
      </w:hyperlink>
    </w:p>
    <w:p w:rsidR="00E85319" w:rsidRDefault="00000000">
      <w:pPr>
        <w:pStyle w:val="Bibliography"/>
      </w:pPr>
      <w:bookmarkStart w:id="108" w:name="ref-rouder2019psychometrics"/>
      <w:bookmarkEnd w:id="107"/>
      <w:r>
        <w:t xml:space="preserve">Rouder, J. N., &amp; Haaf, J. M. (2019). A psychometrics of individual differences in experimental tasks. </w:t>
      </w:r>
      <w:r>
        <w:rPr>
          <w:i/>
          <w:iCs/>
        </w:rPr>
        <w:t>Psychonomic Bulletin &amp; Review</w:t>
      </w:r>
      <w:r>
        <w:t xml:space="preserve">, </w:t>
      </w:r>
      <w:r>
        <w:rPr>
          <w:i/>
          <w:iCs/>
        </w:rPr>
        <w:t>26</w:t>
      </w:r>
      <w:r>
        <w:t xml:space="preserve">(2), 452–467. </w:t>
      </w:r>
      <w:hyperlink r:id="rId96">
        <w:r>
          <w:rPr>
            <w:rStyle w:val="Hyperlink"/>
          </w:rPr>
          <w:t>https://doi.org/10.3758/s13423-018-1558-y</w:t>
        </w:r>
      </w:hyperlink>
    </w:p>
    <w:p w:rsidR="00E85319" w:rsidRDefault="00000000">
      <w:pPr>
        <w:pStyle w:val="Bibliography"/>
      </w:pPr>
      <w:bookmarkStart w:id="109" w:name="ref-samuel2018egocentric"/>
      <w:bookmarkEnd w:id="108"/>
      <w:r>
        <w:t xml:space="preserve">Samuel, S., Legg, E. W., Lurz,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97">
        <w:r>
          <w:rPr>
            <w:rStyle w:val="Hyperlink"/>
          </w:rPr>
          <w:t>https://doi.org/10.1177/1747021817742367</w:t>
        </w:r>
      </w:hyperlink>
    </w:p>
    <w:p w:rsidR="00E85319" w:rsidRDefault="00000000">
      <w:pPr>
        <w:pStyle w:val="Bibliography"/>
      </w:pPr>
      <w:bookmarkStart w:id="110" w:name="ref-samuel2018unreliability"/>
      <w:bookmarkEnd w:id="109"/>
      <w:r>
        <w:t xml:space="preserve">Samuel, S., Legg, E. W., Lurz, R., &amp; Clayton, N. S. (2018b). The unreliability of egocentric bias across selfother and memorybelief distinctions in the Sandbox Task. </w:t>
      </w:r>
      <w:r>
        <w:rPr>
          <w:i/>
          <w:iCs/>
        </w:rPr>
        <w:t>Royal Society Open Science</w:t>
      </w:r>
      <w:r>
        <w:t xml:space="preserve">, </w:t>
      </w:r>
      <w:r>
        <w:rPr>
          <w:i/>
          <w:iCs/>
        </w:rPr>
        <w:t>5</w:t>
      </w:r>
      <w:r>
        <w:t xml:space="preserve">(11), 181355. </w:t>
      </w:r>
      <w:hyperlink r:id="rId98">
        <w:r>
          <w:rPr>
            <w:rStyle w:val="Hyperlink"/>
          </w:rPr>
          <w:t>https://doi.org/10.1098/rsos.181355</w:t>
        </w:r>
      </w:hyperlink>
    </w:p>
    <w:p w:rsidR="00E85319" w:rsidRDefault="00000000">
      <w:pPr>
        <w:pStyle w:val="Bibliography"/>
      </w:pPr>
      <w:bookmarkStart w:id="111" w:name="ref-schaafsma2015deconstructing"/>
      <w:bookmarkEnd w:id="110"/>
      <w:r>
        <w:lastRenderedPageBreak/>
        <w:t xml:space="preserve">Schaafsma, S. M., Pfaff, D. W., Spunt, R. P., &amp; Adolphs, R. (2015). Deconstructing and reconstructing theory of mind. </w:t>
      </w:r>
      <w:r>
        <w:rPr>
          <w:i/>
          <w:iCs/>
        </w:rPr>
        <w:t>Trends in Cognitive Sciences</w:t>
      </w:r>
      <w:r>
        <w:t xml:space="preserve">, </w:t>
      </w:r>
      <w:r>
        <w:rPr>
          <w:i/>
          <w:iCs/>
        </w:rPr>
        <w:t>19</w:t>
      </w:r>
      <w:r>
        <w:t xml:space="preserve">(2), 65–72. </w:t>
      </w:r>
      <w:hyperlink r:id="rId99">
        <w:r>
          <w:rPr>
            <w:rStyle w:val="Hyperlink"/>
          </w:rPr>
          <w:t>https://doi.org/10.1016/j.tics.2014.11.007</w:t>
        </w:r>
      </w:hyperlink>
    </w:p>
    <w:p w:rsidR="00E85319" w:rsidRDefault="00000000">
      <w:pPr>
        <w:pStyle w:val="Bibliography"/>
      </w:pPr>
      <w:bookmarkStart w:id="112" w:name="ref-shepherd2010following"/>
      <w:bookmarkEnd w:id="111"/>
      <w:r>
        <w:t xml:space="preserve">Shepherd, S. (2010). Following Gaze: Gaze-Following Behavior as a Window into Social Cognition. </w:t>
      </w:r>
      <w:r>
        <w:rPr>
          <w:i/>
          <w:iCs/>
        </w:rPr>
        <w:t>Frontiers in Integrative Neuroscience</w:t>
      </w:r>
      <w:r>
        <w:t xml:space="preserve">, </w:t>
      </w:r>
      <w:r>
        <w:rPr>
          <w:i/>
          <w:iCs/>
        </w:rPr>
        <w:t>4</w:t>
      </w:r>
      <w:r>
        <w:t>.</w:t>
      </w:r>
    </w:p>
    <w:p w:rsidR="00E85319" w:rsidRDefault="00000000">
      <w:pPr>
        <w:pStyle w:val="Bibliography"/>
      </w:pPr>
      <w:bookmarkStart w:id="113" w:name="ref-slaughter2015theorya"/>
      <w:bookmarkEnd w:id="112"/>
      <w:r>
        <w:t xml:space="preserve">Slaughter, V. (2015). Theory of Mind in Infants and Young Children: A Review. </w:t>
      </w:r>
      <w:r>
        <w:rPr>
          <w:i/>
          <w:iCs/>
        </w:rPr>
        <w:t>Australian Psychologist</w:t>
      </w:r>
      <w:r>
        <w:t xml:space="preserve">, </w:t>
      </w:r>
      <w:r>
        <w:rPr>
          <w:i/>
          <w:iCs/>
        </w:rPr>
        <w:t>50</w:t>
      </w:r>
      <w:r>
        <w:t xml:space="preserve">(3), 169–172. </w:t>
      </w:r>
      <w:hyperlink r:id="rId100">
        <w:r>
          <w:rPr>
            <w:rStyle w:val="Hyperlink"/>
          </w:rPr>
          <w:t>https://doi.org/10.1111/ap.12080</w:t>
        </w:r>
      </w:hyperlink>
    </w:p>
    <w:p w:rsidR="00E85319" w:rsidRDefault="00000000">
      <w:pPr>
        <w:pStyle w:val="Bibliography"/>
      </w:pPr>
      <w:bookmarkStart w:id="114" w:name="ref-sodian2023reply"/>
      <w:bookmarkEnd w:id="113"/>
      <w:r>
        <w:t xml:space="preserve">Sodian,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1">
        <w:r>
          <w:rPr>
            <w:rStyle w:val="Hyperlink"/>
          </w:rPr>
          <w:t>https://doi.org/10.1016/j.cogdev.2022.101294</w:t>
        </w:r>
      </w:hyperlink>
    </w:p>
    <w:p w:rsidR="00E85319" w:rsidRDefault="00000000">
      <w:pPr>
        <w:pStyle w:val="Bibliography"/>
      </w:pPr>
      <w:bookmarkStart w:id="115" w:name="ref-sodian2016understanding"/>
      <w:bookmarkEnd w:id="114"/>
      <w:r>
        <w:t xml:space="preserve">Sodian, B., Licata, M., Kristen-Antonow,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02">
        <w:r>
          <w:rPr>
            <w:rStyle w:val="Hyperlink"/>
          </w:rPr>
          <w:t>https://doi.org/10.1111/cdev.12533</w:t>
        </w:r>
      </w:hyperlink>
    </w:p>
    <w:p w:rsidR="00E85319" w:rsidRDefault="00000000">
      <w:pPr>
        <w:pStyle w:val="Bibliography"/>
      </w:pPr>
      <w:bookmarkStart w:id="116" w:name="ref-sommerville2013measuring"/>
      <w:bookmarkEnd w:id="115"/>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03">
        <w:r>
          <w:rPr>
            <w:rStyle w:val="Hyperlink"/>
          </w:rPr>
          <w:t>https://doi.org/10.1111/cdev.12110</w:t>
        </w:r>
      </w:hyperlink>
    </w:p>
    <w:p w:rsidR="00E85319" w:rsidRDefault="00000000">
      <w:pPr>
        <w:pStyle w:val="Bibliography"/>
      </w:pPr>
      <w:bookmarkStart w:id="117" w:name="ref-tomasello2003constructing"/>
      <w:bookmarkEnd w:id="116"/>
      <w:r>
        <w:t xml:space="preserve">Tomasello, M. (2003). </w:t>
      </w:r>
      <w:r>
        <w:rPr>
          <w:i/>
          <w:iCs/>
        </w:rPr>
        <w:t>Constructing a language: A usage-based theory of language acquisition</w:t>
      </w:r>
      <w:r>
        <w:t xml:space="preserve"> (pp. viii, 388). Cambridge, MA, US: Harvard University Press.</w:t>
      </w:r>
    </w:p>
    <w:p w:rsidR="00E85319" w:rsidRDefault="00000000">
      <w:pPr>
        <w:pStyle w:val="Bibliography"/>
      </w:pPr>
      <w:bookmarkStart w:id="118" w:name="ref-tomasello2007reliance"/>
      <w:bookmarkEnd w:id="117"/>
      <w:r>
        <w:lastRenderedPageBreak/>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04">
        <w:r>
          <w:rPr>
            <w:rStyle w:val="Hyperlink"/>
          </w:rPr>
          <w:t>https://doi.org/10.1016/j.jhevol.2006.10.001</w:t>
        </w:r>
      </w:hyperlink>
    </w:p>
    <w:p w:rsidR="00E85319" w:rsidRDefault="00000000">
      <w:pPr>
        <w:pStyle w:val="Bibliography"/>
      </w:pPr>
      <w:bookmarkStart w:id="119" w:name="ref-underwood1975individual"/>
      <w:bookmarkEnd w:id="118"/>
      <w:r>
        <w:t xml:space="preserve">Underwood, B. J. (1975). Individual differences as a crucible in theory construction. </w:t>
      </w:r>
      <w:r>
        <w:rPr>
          <w:i/>
          <w:iCs/>
        </w:rPr>
        <w:t>American Psychologist</w:t>
      </w:r>
      <w:r>
        <w:t xml:space="preserve">, </w:t>
      </w:r>
      <w:r>
        <w:rPr>
          <w:i/>
          <w:iCs/>
        </w:rPr>
        <w:t>30</w:t>
      </w:r>
      <w:r>
        <w:t xml:space="preserve">(2), 128–134. </w:t>
      </w:r>
      <w:hyperlink r:id="rId105">
        <w:r>
          <w:rPr>
            <w:rStyle w:val="Hyperlink"/>
          </w:rPr>
          <w:t>https://doi.org/10.1037/h0076759</w:t>
        </w:r>
      </w:hyperlink>
    </w:p>
    <w:p w:rsidR="00E85319" w:rsidRDefault="00000000">
      <w:pPr>
        <w:pStyle w:val="Bibliography"/>
      </w:pPr>
      <w:bookmarkStart w:id="120" w:name="ref-walker2005gender"/>
      <w:bookmarkEnd w:id="119"/>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06">
        <w:r>
          <w:rPr>
            <w:rStyle w:val="Hyperlink"/>
          </w:rPr>
          <w:t>https://doi.org/10.3200/GNTP.166.3.297-312</w:t>
        </w:r>
      </w:hyperlink>
    </w:p>
    <w:p w:rsidR="00E85319" w:rsidRDefault="00000000">
      <w:pPr>
        <w:pStyle w:val="Bibliography"/>
      </w:pPr>
      <w:bookmarkStart w:id="121" w:name="ref-wellman2012theory"/>
      <w:bookmarkEnd w:id="120"/>
      <w:r>
        <w:t xml:space="preserve">Wellman, H. M. (2012). Theory of mind: Better methods, clearer findings, more development. </w:t>
      </w:r>
      <w:r>
        <w:rPr>
          <w:i/>
          <w:iCs/>
        </w:rPr>
        <w:t>European Journal of Developmental Psychology</w:t>
      </w:r>
      <w:r>
        <w:t xml:space="preserve">, </w:t>
      </w:r>
      <w:r>
        <w:rPr>
          <w:i/>
          <w:iCs/>
        </w:rPr>
        <w:t>9</w:t>
      </w:r>
      <w:r>
        <w:t xml:space="preserve">(3), 313–330. </w:t>
      </w:r>
      <w:hyperlink r:id="rId107">
        <w:r>
          <w:rPr>
            <w:rStyle w:val="Hyperlink"/>
          </w:rPr>
          <w:t>https://doi.org/10.1080/17405629.2012.680297</w:t>
        </w:r>
      </w:hyperlink>
    </w:p>
    <w:p w:rsidR="00E85319" w:rsidRDefault="00000000">
      <w:pPr>
        <w:pStyle w:val="Bibliography"/>
      </w:pPr>
      <w:bookmarkStart w:id="122" w:name="ref-wellman2001metaanalysis"/>
      <w:bookmarkEnd w:id="121"/>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08">
        <w:r>
          <w:rPr>
            <w:rStyle w:val="Hyperlink"/>
          </w:rPr>
          <w:t>https://doi.org/10.1111/1467-8624.00304</w:t>
        </w:r>
      </w:hyperlink>
    </w:p>
    <w:p w:rsidR="00E85319" w:rsidRDefault="00000000">
      <w:pPr>
        <w:pStyle w:val="Bibliography"/>
      </w:pPr>
      <w:bookmarkStart w:id="123" w:name="ref-wellman2004scaling"/>
      <w:bookmarkEnd w:id="122"/>
      <w:r>
        <w:t xml:space="preserve">Wellman, H. M., &amp; Liu, D. (2004). Scaling of Theory-of-Mind Tasks. </w:t>
      </w:r>
      <w:r>
        <w:rPr>
          <w:i/>
          <w:iCs/>
        </w:rPr>
        <w:t>Child Development</w:t>
      </w:r>
      <w:r>
        <w:t xml:space="preserve">, </w:t>
      </w:r>
      <w:r>
        <w:rPr>
          <w:i/>
          <w:iCs/>
        </w:rPr>
        <w:t>75</w:t>
      </w:r>
      <w:r>
        <w:t xml:space="preserve">(2), 523–541. </w:t>
      </w:r>
      <w:hyperlink r:id="rId109">
        <w:r>
          <w:rPr>
            <w:rStyle w:val="Hyperlink"/>
          </w:rPr>
          <w:t>https://doi.org/10.1111/j.1467-8624.2004.00691.x</w:t>
        </w:r>
      </w:hyperlink>
    </w:p>
    <w:p w:rsidR="00E85319" w:rsidRDefault="00000000">
      <w:pPr>
        <w:pStyle w:val="Bibliography"/>
      </w:pPr>
      <w:bookmarkStart w:id="124" w:name="ref-wimmer1983beliefs"/>
      <w:bookmarkEnd w:id="123"/>
      <w:r>
        <w:t xml:space="preserve">Wimmer, H., &amp; Perner, J. (1983). Beliefs about beliefs: Representation and constraining function of wrong beliefs in young children’s understanding of deception. </w:t>
      </w:r>
      <w:r>
        <w:rPr>
          <w:i/>
          <w:iCs/>
        </w:rPr>
        <w:t>Cognition</w:t>
      </w:r>
      <w:r>
        <w:t xml:space="preserve">. </w:t>
      </w:r>
      <w:hyperlink r:id="rId110">
        <w:r>
          <w:rPr>
            <w:rStyle w:val="Hyperlink"/>
          </w:rPr>
          <w:t>https://doi.org/10.1016/0010-0277(83)90004-5</w:t>
        </w:r>
      </w:hyperlink>
    </w:p>
    <w:p w:rsidR="00E85319" w:rsidRDefault="00000000">
      <w:pPr>
        <w:pStyle w:val="Bibliography"/>
      </w:pPr>
      <w:bookmarkStart w:id="125" w:name="ref-zhang2021worse"/>
      <w:bookmarkEnd w:id="124"/>
      <w:r>
        <w:lastRenderedPageBreak/>
        <w:t xml:space="preserve">Zhang, Z., Yu, H., Long, M., &amp; Li, H. (2021). Worse Theory of Mind in Only-Children Compared to Children With Siblings and Its Intervention. </w:t>
      </w:r>
      <w:r>
        <w:rPr>
          <w:i/>
          <w:iCs/>
        </w:rPr>
        <w:t>Frontiers in Psychology</w:t>
      </w:r>
      <w:r>
        <w:t xml:space="preserve">, </w:t>
      </w:r>
      <w:r>
        <w:rPr>
          <w:i/>
          <w:iCs/>
        </w:rPr>
        <w:t>12</w:t>
      </w:r>
      <w:r>
        <w:t xml:space="preserve">, 5073. </w:t>
      </w:r>
      <w:hyperlink r:id="rId111">
        <w:r>
          <w:rPr>
            <w:rStyle w:val="Hyperlink"/>
          </w:rPr>
          <w:t>https://doi.org/10.3389/fpsyg.2021.754168</w:t>
        </w:r>
      </w:hyperlink>
      <w:bookmarkEnd w:id="35"/>
      <w:bookmarkEnd w:id="37"/>
      <w:bookmarkEnd w:id="125"/>
    </w:p>
    <w:sectPr w:rsidR="00E85319" w:rsidSect="00CB20D0">
      <w:headerReference w:type="even" r:id="rId112"/>
      <w:headerReference w:type="default" r:id="rId113"/>
      <w:headerReference w:type="first" r:id="rId11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4493" w:rsidRDefault="006D4493">
      <w:pPr>
        <w:spacing w:before="0" w:after="0" w:line="240" w:lineRule="auto"/>
      </w:pPr>
      <w:r>
        <w:separator/>
      </w:r>
    </w:p>
  </w:endnote>
  <w:endnote w:type="continuationSeparator" w:id="0">
    <w:p w:rsidR="006D4493" w:rsidRDefault="006D44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4493" w:rsidRDefault="006D4493">
      <w:r>
        <w:separator/>
      </w:r>
    </w:p>
  </w:footnote>
  <w:footnote w:type="continuationSeparator" w:id="0">
    <w:p w:rsidR="006D4493" w:rsidRDefault="006D4493">
      <w:r>
        <w:continuationSeparator/>
      </w:r>
    </w:p>
  </w:footnote>
  <w:footnote w:id="1">
    <w:p w:rsidR="00E85319" w:rsidRDefault="00000000">
      <w:pPr>
        <w:pStyle w:val="FootnoteText"/>
      </w:pPr>
      <w:r>
        <w:rPr>
          <w:rStyle w:val="FootnoteReference"/>
        </w:rPr>
        <w:footnoteRef/>
      </w:r>
      <w:r>
        <w:t xml:space="preserve"> In the pre-registration (</w:t>
      </w:r>
      <w:hyperlink r:id="rId1">
        <w:r>
          <w:rPr>
            <w:rStyle w:val="Hyperlink"/>
          </w:rPr>
          <w:t>https://osf.io/snju6</w:t>
        </w:r>
      </w:hyperlink>
      <w: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Pr>
          <w:rStyle w:val="VerbatimChar"/>
        </w:rPr>
        <w:t>R: performance ~ target_centrality + age + (1 | ID) + (1 + trial | ID)</w:t>
      </w:r>
      <w:r>
        <w:t>. In this paper, we added symmetricPosition (synonymous to target_centrality) as a 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rsidR="00E85319"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three-year-olds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rsidR="00E85319" w:rsidRDefault="00000000">
      <w:pPr>
        <w:pStyle w:val="FootnoteText"/>
      </w:pPr>
      <w:r>
        <w:rPr>
          <w:rStyle w:val="FootnoteReference"/>
        </w:rPr>
        <w:footnoteRef/>
      </w:r>
      <w:r>
        <w:t xml:space="preserve"> The assessment of internal consistency was not pre-registered and was included as an additional measure of reliability.</w:t>
      </w:r>
    </w:p>
  </w:footnote>
  <w:footnote w:id="4">
    <w:p w:rsidR="00E85319"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0.89.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ASSESSING INDIVIDUAL DIFFERENCES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ASSESSING INDIVIDUAL DIFFERENCES IN GAZE UNDERSTANDING</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74B6C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87401262">
    <w:abstractNumId w:val="12"/>
  </w:num>
  <w:num w:numId="2" w16cid:durableId="882522291">
    <w:abstractNumId w:val="12"/>
  </w:num>
  <w:num w:numId="3" w16cid:durableId="696278897">
    <w:abstractNumId w:val="13"/>
  </w:num>
  <w:num w:numId="4" w16cid:durableId="690036361">
    <w:abstractNumId w:val="1"/>
  </w:num>
  <w:num w:numId="5" w16cid:durableId="1282806944">
    <w:abstractNumId w:val="2"/>
  </w:num>
  <w:num w:numId="6" w16cid:durableId="1477530181">
    <w:abstractNumId w:val="3"/>
  </w:num>
  <w:num w:numId="7" w16cid:durableId="1129010988">
    <w:abstractNumId w:val="4"/>
  </w:num>
  <w:num w:numId="8" w16cid:durableId="2124182729">
    <w:abstractNumId w:val="9"/>
  </w:num>
  <w:num w:numId="9" w16cid:durableId="276720431">
    <w:abstractNumId w:val="5"/>
  </w:num>
  <w:num w:numId="10" w16cid:durableId="1580820891">
    <w:abstractNumId w:val="6"/>
  </w:num>
  <w:num w:numId="11" w16cid:durableId="458108528">
    <w:abstractNumId w:val="7"/>
  </w:num>
  <w:num w:numId="12" w16cid:durableId="356663863">
    <w:abstractNumId w:val="8"/>
  </w:num>
  <w:num w:numId="13" w16cid:durableId="1836022384">
    <w:abstractNumId w:val="10"/>
  </w:num>
  <w:num w:numId="14" w16cid:durableId="1120076535">
    <w:abstractNumId w:val="13"/>
  </w:num>
  <w:num w:numId="15" w16cid:durableId="1037123393">
    <w:abstractNumId w:val="0"/>
  </w:num>
  <w:num w:numId="16" w16cid:durableId="453402285">
    <w:abstractNumId w:val="0"/>
  </w:num>
  <w:num w:numId="17" w16cid:durableId="18295122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5319"/>
    <w:rsid w:val="00357E6D"/>
    <w:rsid w:val="0050364A"/>
    <w:rsid w:val="0068689E"/>
    <w:rsid w:val="00697368"/>
    <w:rsid w:val="006D4493"/>
    <w:rsid w:val="00713B48"/>
    <w:rsid w:val="00B244C0"/>
    <w:rsid w:val="00E853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AAFFCB1-640D-9740-9E1B-19A2BB82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697368"/>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cp-eva/gazecues-methods" TargetMode="External"/><Relationship Id="rId21" Type="http://schemas.openxmlformats.org/officeDocument/2006/relationships/hyperlink" Target="https://ccp-odc.eva.mpg.de/tango-demo/" TargetMode="External"/><Relationship Id="rId42" Type="http://schemas.openxmlformats.org/officeDocument/2006/relationships/hyperlink" Target="https://doi.org/10.18637/jss.v080.i01" TargetMode="External"/><Relationship Id="rId47" Type="http://schemas.openxmlformats.org/officeDocument/2006/relationships/hyperlink" Target="https://www.jstor.org/stable/1132428" TargetMode="External"/><Relationship Id="rId63" Type="http://schemas.openxmlformats.org/officeDocument/2006/relationships/hyperlink" Target="https://doi.org/10.3758/s13428-017-0935-1" TargetMode="External"/><Relationship Id="rId68" Type="http://schemas.openxmlformats.org/officeDocument/2006/relationships/hyperlink" Target="https://doi.org/10.1037/0012-1649.43.6.1447" TargetMode="External"/><Relationship Id="rId84" Type="http://schemas.openxmlformats.org/officeDocument/2006/relationships/hyperlink" Target="https://doi.org/10.1111/j.1467-8624.2007.01042.x" TargetMode="External"/><Relationship Id="rId89" Type="http://schemas.openxmlformats.org/officeDocument/2006/relationships/hyperlink" Target="https://doi.org/10.1016/S0885-2014(01)00040-5" TargetMode="External"/><Relationship Id="rId112" Type="http://schemas.openxmlformats.org/officeDocument/2006/relationships/header" Target="header1.xml"/><Relationship Id="rId16" Type="http://schemas.openxmlformats.org/officeDocument/2006/relationships/image" Target="media/image3.png"/><Relationship Id="rId107" Type="http://schemas.openxmlformats.org/officeDocument/2006/relationships/hyperlink" Target="https://doi.org/10.1080/17405629.2012.680297" TargetMode="External"/><Relationship Id="rId11" Type="http://schemas.openxmlformats.org/officeDocument/2006/relationships/hyperlink" Target="https://osf.io/snju6" TargetMode="External"/><Relationship Id="rId32" Type="http://schemas.openxmlformats.org/officeDocument/2006/relationships/hyperlink" Target="https://doi.org/10.3389/fpsyg.2019.02905" TargetMode="External"/><Relationship Id="rId37" Type="http://schemas.openxmlformats.org/officeDocument/2006/relationships/hyperlink" Target="https://doi.org/10.1111/desc.13049" TargetMode="External"/><Relationship Id="rId53" Type="http://schemas.openxmlformats.org/officeDocument/2006/relationships/hyperlink" Target="https://doi.org/10.1111/infa.12276" TargetMode="External"/><Relationship Id="rId58" Type="http://schemas.openxmlformats.org/officeDocument/2006/relationships/hyperlink" Target="https://doi.org/10.1037/0012-1649.40.2.177" TargetMode="External"/><Relationship Id="rId74" Type="http://schemas.openxmlformats.org/officeDocument/2006/relationships/hyperlink" Target="https://doi.org/10.1016/j.jecp.2014.03.002" TargetMode="External"/><Relationship Id="rId79" Type="http://schemas.openxmlformats.org/officeDocument/2006/relationships/hyperlink" Target="https://doi.org/10.1111/j.1469-7610.1996.tb01408.x" TargetMode="External"/><Relationship Id="rId102" Type="http://schemas.openxmlformats.org/officeDocument/2006/relationships/hyperlink" Target="https://doi.org/10.1111/cdev.12533" TargetMode="External"/><Relationship Id="rId5" Type="http://schemas.openxmlformats.org/officeDocument/2006/relationships/footnotes" Target="footnotes.xml"/><Relationship Id="rId90" Type="http://schemas.openxmlformats.org/officeDocument/2006/relationships/hyperlink" Target="https://doi.org/10.1111/j.1467-8624.2011.01728.x" TargetMode="External"/><Relationship Id="rId95" Type="http://schemas.openxmlformats.org/officeDocument/2006/relationships/hyperlink" Target="https://doi.org/10.1037/dev0000439" TargetMode="External"/><Relationship Id="rId22" Type="http://schemas.openxmlformats.org/officeDocument/2006/relationships/hyperlink" Target="https://github.com/ccp-eva/tango-demo" TargetMode="External"/><Relationship Id="rId27" Type="http://schemas.openxmlformats.org/officeDocument/2006/relationships/hyperlink" Target="https://osf.io/zjhsc/" TargetMode="External"/><Relationship Id="rId43" Type="http://schemas.openxmlformats.org/officeDocument/2006/relationships/hyperlink" Target="https://doi.org/10.32614/RJ-2018-017" TargetMode="External"/><Relationship Id="rId48" Type="http://schemas.openxmlformats.org/officeDocument/2006/relationships/hyperlink" Target="https://doi.org/10.1016/j.jecp.2004.01.002" TargetMode="External"/><Relationship Id="rId64" Type="http://schemas.openxmlformats.org/officeDocument/2006/relationships/hyperlink" Target="https://doi.org/10.1111/desc.12779" TargetMode="External"/><Relationship Id="rId69" Type="http://schemas.openxmlformats.org/officeDocument/2006/relationships/hyperlink" Target="https://doi.org/10.1016/j.jecp.2010.07.012" TargetMode="External"/><Relationship Id="rId113" Type="http://schemas.openxmlformats.org/officeDocument/2006/relationships/header" Target="header2.xml"/><Relationship Id="rId80" Type="http://schemas.openxmlformats.org/officeDocument/2006/relationships/hyperlink" Target="https://doi.org/10.1111/j.1467-8624.2007.01010.x" TargetMode="External"/><Relationship Id="rId85" Type="http://schemas.openxmlformats.org/officeDocument/2006/relationships/hyperlink" Target="https://doi.org/10.1016/j.cognition.2017.06.005" TargetMode="External"/><Relationship Id="rId12" Type="http://schemas.openxmlformats.org/officeDocument/2006/relationships/hyperlink" Target="https://osf.io/r3bhn" TargetMode="External"/><Relationship Id="rId17" Type="http://schemas.openxmlformats.org/officeDocument/2006/relationships/image" Target="media/image4.png"/><Relationship Id="rId33" Type="http://schemas.openxmlformats.org/officeDocument/2006/relationships/hyperlink" Target="https://doi.org/10.1177/1362361311434545" TargetMode="External"/><Relationship Id="rId38" Type="http://schemas.openxmlformats.org/officeDocument/2006/relationships/hyperlink" Target="https://doi.org/10.31234/osf.io/s2e3p" TargetMode="External"/><Relationship Id="rId59" Type="http://schemas.openxmlformats.org/officeDocument/2006/relationships/hyperlink" Target="https://doi.org/10.1016/j.cogdev.2011.10.003" TargetMode="External"/><Relationship Id="rId103" Type="http://schemas.openxmlformats.org/officeDocument/2006/relationships/hyperlink" Target="https://doi.org/10.1111/cdev.12110" TargetMode="External"/><Relationship Id="rId108" Type="http://schemas.openxmlformats.org/officeDocument/2006/relationships/hyperlink" Target="https://doi.org/10.1111/1467-8624.00304" TargetMode="External"/><Relationship Id="rId54" Type="http://schemas.openxmlformats.org/officeDocument/2006/relationships/hyperlink" Target="https://doi.org/10.1111/cdev.12682" TargetMode="External"/><Relationship Id="rId70" Type="http://schemas.openxmlformats.org/officeDocument/2006/relationships/hyperlink" Target="https://doi.org/10.1111/j.1467-9507.2004.00285.x" TargetMode="External"/><Relationship Id="rId75" Type="http://schemas.openxmlformats.org/officeDocument/2006/relationships/hyperlink" Target="https://doi.org/10.1037//0012-1649.34.3.525" TargetMode="External"/><Relationship Id="rId91" Type="http://schemas.openxmlformats.org/officeDocument/2006/relationships/hyperlink" Target="https://doi.org/10.1016/j.cogdev.2022.101273" TargetMode="External"/><Relationship Id="rId96" Type="http://schemas.openxmlformats.org/officeDocument/2006/relationships/hyperlink" Target="https://doi.org/10.3758/s13423-018-1558-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nu62m" TargetMode="External"/><Relationship Id="rId23" Type="http://schemas.openxmlformats.org/officeDocument/2006/relationships/image" Target="media/image5.png"/><Relationship Id="rId28" Type="http://schemas.openxmlformats.org/officeDocument/2006/relationships/hyperlink" Target="https://doi.org/10.1098/rsos.201178" TargetMode="External"/><Relationship Id="rId36" Type="http://schemas.openxmlformats.org/officeDocument/2006/relationships/hyperlink" Target="https://doi.org/10.1111/cdep.12269" TargetMode="External"/><Relationship Id="rId49" Type="http://schemas.openxmlformats.org/officeDocument/2006/relationships/hyperlink" Target="https://www.jstor.org/stable/3696711" TargetMode="External"/><Relationship Id="rId57" Type="http://schemas.openxmlformats.org/officeDocument/2006/relationships/hyperlink" Target="https://doi.org/10.1037/0033-2909.133.4.694" TargetMode="External"/><Relationship Id="rId106" Type="http://schemas.openxmlformats.org/officeDocument/2006/relationships/hyperlink" Target="https://doi.org/10.3200/GNTP.166.3.297-312" TargetMode="External"/><Relationship Id="rId114"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hyperlink" Target="https://doi.org/10.1098/rspb.2012.2654" TargetMode="External"/><Relationship Id="rId44" Type="http://schemas.openxmlformats.org/officeDocument/2006/relationships/hyperlink" Target="https://doi.org/10.1080/15248372.2021.1987240" TargetMode="External"/><Relationship Id="rId52" Type="http://schemas.openxmlformats.org/officeDocument/2006/relationships/hyperlink" Target="https://doi.org/10.1111/1467-8624.00061" TargetMode="External"/><Relationship Id="rId60" Type="http://schemas.openxmlformats.org/officeDocument/2006/relationships/hyperlink" Target="https://doi.org/10.2307/1130707" TargetMode="External"/><Relationship Id="rId65" Type="http://schemas.openxmlformats.org/officeDocument/2006/relationships/hyperlink" Target="https://doi.org/10.1177/0956797609356511" TargetMode="External"/><Relationship Id="rId73" Type="http://schemas.openxmlformats.org/officeDocument/2006/relationships/hyperlink" Target="https://doi.org/10.1016/j.tics.2017.11.006" TargetMode="External"/><Relationship Id="rId78" Type="http://schemas.openxmlformats.org/officeDocument/2006/relationships/hyperlink" Target="https://doi.org/10.1080/15248372.2014.926273" TargetMode="External"/><Relationship Id="rId81" Type="http://schemas.openxmlformats.org/officeDocument/2006/relationships/hyperlink" Target="https://doi.org/10.1111/j.1467-8624.2007.01018.x" TargetMode="External"/><Relationship Id="rId86" Type="http://schemas.openxmlformats.org/officeDocument/2006/relationships/hyperlink" Target="https://doi.org/10.1016/j.jbef.2017.12.004" TargetMode="External"/><Relationship Id="rId94" Type="http://schemas.openxmlformats.org/officeDocument/2006/relationships/hyperlink" Target="https://doi.org/10.1111/desc.12593" TargetMode="External"/><Relationship Id="rId99" Type="http://schemas.openxmlformats.org/officeDocument/2006/relationships/hyperlink" Target="https://doi.org/10.1016/j.tics.2014.11.007" TargetMode="External"/><Relationship Id="rId101" Type="http://schemas.openxmlformats.org/officeDocument/2006/relationships/hyperlink" Target="https://doi.org/10.1016/j.cogdev.2022.101294" TargetMode="Externa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3" Type="http://schemas.openxmlformats.org/officeDocument/2006/relationships/image" Target="media/image2.png"/><Relationship Id="rId18" Type="http://schemas.openxmlformats.org/officeDocument/2006/relationships/hyperlink" Target="https://ccp-odc.eva.mpg.de/tango-demo/" TargetMode="External"/><Relationship Id="rId39" Type="http://schemas.openxmlformats.org/officeDocument/2006/relationships/hyperlink" Target="https://doi.org/10.1038/s41562-021-01145-1" TargetMode="External"/><Relationship Id="rId109" Type="http://schemas.openxmlformats.org/officeDocument/2006/relationships/hyperlink" Target="https://doi.org/10.1111/j.1467-8624.2004.00691.x" TargetMode="External"/><Relationship Id="rId34" Type="http://schemas.openxmlformats.org/officeDocument/2006/relationships/hyperlink" Target="https://doi.org/10.1037/a0031056" TargetMode="External"/><Relationship Id="rId50" Type="http://schemas.openxmlformats.org/officeDocument/2006/relationships/hyperlink" Target="https://doi.org/10.1007/s00426-014-0606-0" TargetMode="External"/><Relationship Id="rId55" Type="http://schemas.openxmlformats.org/officeDocument/2006/relationships/hyperlink" Target="https://www.ncbi.nlm.nih.gov/pubmed/1786720" TargetMode="External"/><Relationship Id="rId76" Type="http://schemas.openxmlformats.org/officeDocument/2006/relationships/hyperlink" Target="https://doi.org/10.1167/13.4.6" TargetMode="External"/><Relationship Id="rId97" Type="http://schemas.openxmlformats.org/officeDocument/2006/relationships/hyperlink" Target="https://doi.org/10.1177/1747021817742367" TargetMode="External"/><Relationship Id="rId104" Type="http://schemas.openxmlformats.org/officeDocument/2006/relationships/hyperlink" Target="https://doi.org/10.1016/j.jhevol.2006.10.001" TargetMode="External"/><Relationship Id="rId7" Type="http://schemas.openxmlformats.org/officeDocument/2006/relationships/hyperlink" Target="mailto:julia_prein@eva.mpg.de" TargetMode="External"/><Relationship Id="rId71" Type="http://schemas.openxmlformats.org/officeDocument/2006/relationships/hyperlink" Target="https://doi.org/10.1037/dev0000140" TargetMode="External"/><Relationship Id="rId92" Type="http://schemas.openxmlformats.org/officeDocument/2006/relationships/hyperlink" Target="https://doi.org/10.3758/s13423-021-01948-3" TargetMode="External"/><Relationship Id="rId2" Type="http://schemas.openxmlformats.org/officeDocument/2006/relationships/styles" Target="styles.xml"/><Relationship Id="rId29" Type="http://schemas.openxmlformats.org/officeDocument/2006/relationships/hyperlink" Target="https://doi.org/10.1016/j.cogdev.2021.101121" TargetMode="External"/><Relationship Id="rId24" Type="http://schemas.openxmlformats.org/officeDocument/2006/relationships/hyperlink" Target="https://ccp-odc.eva.mpg.de/tango-demo/" TargetMode="External"/><Relationship Id="rId40" Type="http://schemas.openxmlformats.org/officeDocument/2006/relationships/hyperlink" Target="https://doi.org/10.1111/j.1467-7687.2005.00445.x" TargetMode="External"/><Relationship Id="rId45" Type="http://schemas.openxmlformats.org/officeDocument/2006/relationships/hyperlink" Target="https://doi.org/10.1111/infa.12360" TargetMode="External"/><Relationship Id="rId66" Type="http://schemas.openxmlformats.org/officeDocument/2006/relationships/hyperlink" Target="https://doi.org/10.1111/1469-7610.00633" TargetMode="External"/><Relationship Id="rId87" Type="http://schemas.openxmlformats.org/officeDocument/2006/relationships/hyperlink" Target="https://doi.org/10.1007/s10826-012-9643-8" TargetMode="External"/><Relationship Id="rId110" Type="http://schemas.openxmlformats.org/officeDocument/2006/relationships/hyperlink" Target="https://doi.org/10.1016/0010-0277(83)90004-5" TargetMode="External"/><Relationship Id="rId115" Type="http://schemas.openxmlformats.org/officeDocument/2006/relationships/fontTable" Target="fontTable.xml"/><Relationship Id="rId61" Type="http://schemas.openxmlformats.org/officeDocument/2006/relationships/hyperlink" Target="https://doi.org/10.31234/osf.io/xr7y3" TargetMode="External"/><Relationship Id="rId82" Type="http://schemas.openxmlformats.org/officeDocument/2006/relationships/hyperlink" Target="https://doi.org/10.1016/j.evolhumbehav.2019.06.005" TargetMode="External"/><Relationship Id="rId19" Type="http://schemas.openxmlformats.org/officeDocument/2006/relationships/hyperlink" Target="https://github.com/ccp-eva/tango-demo" TargetMode="External"/><Relationship Id="rId14" Type="http://schemas.openxmlformats.org/officeDocument/2006/relationships/hyperlink" Target="https://osf.io/xqm73" TargetMode="External"/><Relationship Id="rId30" Type="http://schemas.openxmlformats.org/officeDocument/2006/relationships/hyperlink" Target="https://doi.org/10.1016/0010-0277(85)90022-8" TargetMode="External"/><Relationship Id="rId35" Type="http://schemas.openxmlformats.org/officeDocument/2006/relationships/hyperlink" Target="https://doi.org/10.1080/0361073X.2011.619466" TargetMode="External"/><Relationship Id="rId56" Type="http://schemas.openxmlformats.org/officeDocument/2006/relationships/hyperlink" Target="https://doi.org/10.1080/15248372.2015.1061528" TargetMode="External"/><Relationship Id="rId77" Type="http://schemas.openxmlformats.org/officeDocument/2006/relationships/hyperlink" Target="https://doi.org/10.1016/j.jecp.2017.03.010" TargetMode="External"/><Relationship Id="rId100" Type="http://schemas.openxmlformats.org/officeDocument/2006/relationships/hyperlink" Target="https://doi.org/10.1111/ap.12080" TargetMode="External"/><Relationship Id="rId105" Type="http://schemas.openxmlformats.org/officeDocument/2006/relationships/hyperlink" Target="https://doi.org/10.1037/h0076759" TargetMode="External"/><Relationship Id="rId8" Type="http://schemas.openxmlformats.org/officeDocument/2006/relationships/hyperlink" Target="https://github.com/ccp-eva/tango-demo" TargetMode="External"/><Relationship Id="rId51" Type="http://schemas.openxmlformats.org/officeDocument/2006/relationships/hyperlink" Target="https://doi.org/10.1163/156856806779194026" TargetMode="External"/><Relationship Id="rId72" Type="http://schemas.openxmlformats.org/officeDocument/2006/relationships/hyperlink" Target="https://doi.org/10.1037/0735-7036.112.2.119" TargetMode="External"/><Relationship Id="rId93" Type="http://schemas.openxmlformats.org/officeDocument/2006/relationships/hyperlink" Target="https://doi.org/10.1038/s44159-022-00037-z" TargetMode="External"/><Relationship Id="rId98" Type="http://schemas.openxmlformats.org/officeDocument/2006/relationships/hyperlink" Target="https://doi.org/10.1098/rsos.181355" TargetMode="External"/><Relationship Id="rId3" Type="http://schemas.openxmlformats.org/officeDocument/2006/relationships/settings" Target="settings.xml"/><Relationship Id="rId25" Type="http://schemas.openxmlformats.org/officeDocument/2006/relationships/hyperlink" Target="https://github.com/ccp-eva/tango-demo" TargetMode="External"/><Relationship Id="rId46" Type="http://schemas.openxmlformats.org/officeDocument/2006/relationships/hyperlink" Target="https://doi.org/10.1111/j.0956-7976.2005.01544.x" TargetMode="External"/><Relationship Id="rId67" Type="http://schemas.openxmlformats.org/officeDocument/2006/relationships/hyperlink" Target="https://doi.org/10.1111/cdep.12124" TargetMode="External"/><Relationship Id="rId116" Type="http://schemas.openxmlformats.org/officeDocument/2006/relationships/theme" Target="theme/theme1.xml"/><Relationship Id="rId20" Type="http://schemas.openxmlformats.org/officeDocument/2006/relationships/hyperlink" Target="https://github.com/ccp-eva/gazecues-methods" TargetMode="External"/><Relationship Id="rId41" Type="http://schemas.openxmlformats.org/officeDocument/2006/relationships/hyperlink" Target="https://doi.org/10.3389/fpsyg.2016.01762" TargetMode="External"/><Relationship Id="rId62" Type="http://schemas.openxmlformats.org/officeDocument/2006/relationships/hyperlink" Target="https://doi.org/10.1146/annurev-psych-010416-044046" TargetMode="External"/><Relationship Id="rId83" Type="http://schemas.openxmlformats.org/officeDocument/2006/relationships/hyperlink" Target="https://doi.org/10.1111/j.1750-8606.2008.00052.x" TargetMode="External"/><Relationship Id="rId88" Type="http://schemas.openxmlformats.org/officeDocument/2006/relationships/hyperlink" Target="https://doi.org/10.2307/1131316" TargetMode="External"/><Relationship Id="rId111" Type="http://schemas.openxmlformats.org/officeDocument/2006/relationships/hyperlink" Target="https://doi.org/10.3389/fpsyg.2021.75416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55</Pages>
  <Words>13203</Words>
  <Characters>75261</Characters>
  <Application>Microsoft Office Word</Application>
  <DocSecurity>0</DocSecurity>
  <Lines>627</Lines>
  <Paragraphs>176</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88288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6</cp:revision>
  <dcterms:created xsi:type="dcterms:W3CDTF">2023-05-12T14:07:00Z</dcterms:created>
  <dcterms:modified xsi:type="dcterms:W3CDTF">2023-05-12T14:30:00Z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8590</vt:lpwstr>
  </property>
</Properties>
</file>