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9.png" ContentType="image/png"/>
  <Override PartName="/word/media/rId39.png" ContentType="image/png"/>
  <Override PartName="/word/media/rId6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Author"/>
      </w:pPr>
      <w:r>
        <w:t xml:space="preserve">Julia Prein</w:t>
      </w:r>
      <w:r>
        <w:rPr>
          <w:vertAlign w:val="superscript"/>
        </w:rPr>
        <w:t xml:space="preserve">1</w:t>
      </w:r>
      <w:r>
        <w:t xml:space="preserve">, Manuel Bohn</w:t>
      </w:r>
      <w:r>
        <w:rPr>
          <w:vertAlign w:val="superscript"/>
        </w:rPr>
        <w:t xml:space="preserve">1,2</w:t>
      </w:r>
      <w:r>
        <w:t xml:space="preserve">, Luke Maurits</w:t>
      </w:r>
      <w:r>
        <w:rPr>
          <w:vertAlign w:val="superscript"/>
        </w:rPr>
        <w:t xml:space="preserve">1</w:t>
      </w:r>
      <w:r>
        <w:t xml:space="preserve">, Annika Werwach</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Institute of Psychology, Leuphana University Lüneburg,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Julia Prein: Conceptualization, Methodology, Software, Investigation, Formal Analysis, Writing - Original Draft Preparation, Writing - Review &amp; Editing; Manuel Bohn: Conceptualization, Formal Analysis, Writing - Original Draft Preparation, Writing - Review &amp; Editing; Luke Maurits: Formal Analysis, Writing - Review &amp; Editing; Annika Werwach: Methodology, Investigation, Writing - Review &amp; Editing; Daniel B. M. Haun: Supervision, Writing - Review &amp; Editing.</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social cognition, individual differences, gaze cues, cognitive modeling</w:t>
      </w:r>
    </w:p>
    <w:p>
      <w:pPr>
        <w:pStyle w:val="Textkrper"/>
      </w:pPr>
      <w:r>
        <w:rPr>
          <w:iCs/>
          <w:i/>
        </w:rPr>
        <w:t xml:space="preserve">Word count:</w:t>
      </w:r>
      <w:r>
        <w:t xml:space="preserve"> </w:t>
      </w:r>
      <w:r>
        <w:t xml:space="preserve">xxx</w:t>
      </w:r>
    </w:p>
    <w:p>
      <w:pPr>
        <w:pStyle w:val="h1-pagebreak"/>
      </w:pPr>
      <w:r>
        <w:t xml:space="preserve">Variation in gaze understanding across the life span: A process-level perspective</w:t>
      </w:r>
    </w:p>
    <w:bookmarkStart w:id="27" w:name="introduction"/>
    <w:p>
      <w:pPr>
        <w:pStyle w:val="berschrift1"/>
      </w:pPr>
      <w:r>
        <w:t xml:space="preserve">Introduction</w:t>
      </w:r>
    </w:p>
    <w:p>
      <w:pPr>
        <w:numPr>
          <w:ilvl w:val="0"/>
          <w:numId w:val="1001"/>
        </w:numPr>
        <w:pStyle w:val="Compact"/>
      </w:pPr>
      <w:r>
        <w:t xml:space="preserve">why do we care about developmental trajectory? ref to stat learning paper</w:t>
      </w:r>
    </w:p>
    <w:p>
      <w:pPr>
        <w:numPr>
          <w:ilvl w:val="0"/>
          <w:numId w:val="1001"/>
        </w:numPr>
        <w:pStyle w:val="Compact"/>
      </w:pPr>
      <w:r>
        <w:t xml:space="preserve">variation</w:t>
      </w:r>
    </w:p>
    <w:bookmarkStart w:id="21"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 One possibility to extract information from the environment is through following others’ focus of attention. Building a common ground is considered especially important in communicative interactions and shared activities</w:t>
      </w:r>
      <w:r>
        <w:t xml:space="preserve"> </w:t>
      </w:r>
      <w:r>
        <w:t xml:space="preserve">(Tomasello, Hare, Lehmann, &amp; Call, 2007)</w:t>
      </w:r>
      <w:r>
        <w:t xml:space="preserve">.</w:t>
      </w:r>
    </w:p>
    <w:bookmarkEnd w:id="21"/>
    <w:bookmarkStart w:id="22"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 As one of the most fundamental social-cognitive abilities, it has been extensively studied in infancy and early childhood. Infants as young as six months can attune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 Similarly, visual processing appears to improve with age. Therefore, children could potentially improve in gaze following, fine-tuning the performance of the already existing skill.</w:t>
      </w:r>
    </w:p>
    <w:bookmarkEnd w:id="22"/>
    <w:bookmarkStart w:id="24"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 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 In contrast to</w:t>
      </w:r>
      <w:r>
        <w:t xml:space="preserve"> </w:t>
      </w:r>
      <w:r>
        <w:t xml:space="preserve">Povinelli et al. (1997)</w:t>
      </w:r>
      <w:r>
        <w:t xml:space="preserve">, they found that already 14-month-olds used the agent’s cues to select an object. In conditions with absent-minded</w:t>
      </w:r>
      <w:r>
        <w:t xml:space="preserve"> </w:t>
      </w:r>
      <w:r>
        <w:t xml:space="preserve">‘</w:t>
      </w:r>
      <w:r>
        <w:t xml:space="preserve">cues</w:t>
      </w:r>
      <w:r>
        <w:t xml:space="preserve">’</w:t>
      </w:r>
      <w:r>
        <w:t xml:space="preserve">, infants performed around chance. This could be interpreted as infants recognizing the nature of this joint activity: namely, that the adult’s behavior was beneficial and relevant for their object choice.</w:t>
      </w:r>
    </w:p>
    <w:bookmarkStart w:id="23"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 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 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2"/>
        </w:numPr>
      </w:pPr>
      <w:r>
        <w:t xml:space="preserve">(Raviv &amp; Arnon, 2018)</w:t>
      </w:r>
    </w:p>
    <w:p>
      <w:pPr>
        <w:numPr>
          <w:ilvl w:val="0"/>
          <w:numId w:val="1002"/>
        </w:numPr>
      </w:pPr>
      <w:r>
        <w:t xml:space="preserve">(Astor &amp; Gredebäck, 2022)</w:t>
      </w:r>
    </w:p>
    <w:p>
      <w:pPr>
        <w:numPr>
          <w:ilvl w:val="0"/>
          <w:numId w:val="1002"/>
        </w:numPr>
      </w:pPr>
      <w:r>
        <w:t xml:space="preserve">(Colombo, 2001)</w:t>
      </w:r>
    </w:p>
    <w:p>
      <w:pPr>
        <w:numPr>
          <w:ilvl w:val="0"/>
          <w:numId w:val="1002"/>
        </w:numPr>
      </w:pPr>
      <w:r>
        <w:t xml:space="preserve">(Scaife &amp; Bruner, 1975)</w:t>
      </w:r>
    </w:p>
    <w:p>
      <w:pPr>
        <w:numPr>
          <w:ilvl w:val="0"/>
          <w:numId w:val="1002"/>
        </w:numPr>
      </w:pPr>
      <w:r>
        <w:t xml:space="preserve">(Itakura &amp; Tanaka, 1998)</w:t>
      </w:r>
    </w:p>
    <w:p>
      <w:pPr>
        <w:numPr>
          <w:ilvl w:val="0"/>
          <w:numId w:val="1002"/>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2"/>
        </w:numPr>
      </w:pPr>
      <w:r>
        <w:t xml:space="preserve">(Silverstein, Feng, Westermann, Parise, &amp; Twomey, 2021)</w:t>
      </w:r>
      <w:r>
        <w:t xml:space="preserve"> </w:t>
      </w:r>
      <w:r>
        <w:t xml:space="preserve">for vertical plane</w:t>
      </w:r>
    </w:p>
    <w:p>
      <w:pPr>
        <w:numPr>
          <w:ilvl w:val="0"/>
          <w:numId w:val="1002"/>
        </w:numPr>
      </w:pPr>
      <w:r>
        <w:t xml:space="preserve">(Zhang, Zhang, Zhang, Tang, &amp; Liu, 2019)</w:t>
      </w:r>
    </w:p>
    <w:p>
      <w:pPr>
        <w:numPr>
          <w:ilvl w:val="0"/>
          <w:numId w:val="1002"/>
        </w:numPr>
      </w:pPr>
      <w:r>
        <w:t xml:space="preserve">(Frischen, Bayliss, &amp; Tipper, 2007)</w:t>
      </w:r>
    </w:p>
    <w:p>
      <w:pPr>
        <w:numPr>
          <w:ilvl w:val="0"/>
          <w:numId w:val="1002"/>
        </w:numPr>
      </w:pPr>
      <w:r>
        <w:t xml:space="preserve">(Lee, Eskritt, Symons, &amp; Muir, 1998)</w:t>
      </w:r>
    </w:p>
    <w:p>
      <w:pPr>
        <w:numPr>
          <w:ilvl w:val="0"/>
          <w:numId w:val="1002"/>
        </w:numPr>
      </w:pPr>
      <w:r>
        <w:t xml:space="preserve">(Coelho, George, Conty, Hugueville, &amp; Tijus, 2006)</w:t>
      </w:r>
    </w:p>
    <w:bookmarkEnd w:id="23"/>
    <w:bookmarkEnd w:id="24"/>
    <w:bookmarkStart w:id="26" w:name="aim-of-the-current-project"/>
    <w:p>
      <w:pPr>
        <w:pStyle w:val="berschrift2"/>
      </w:pPr>
      <w:r>
        <w:t xml:space="preserve">Aim of the current project</w:t>
      </w:r>
    </w:p>
    <w:bookmarkStart w:id="25"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 While we expect the younger children to be able to follow gaze, we aimed at assessing the differentiation of their social-cognitive ability. Our goal was</w:t>
      </w:r>
      <w:r>
        <w:t xml:space="preserve"> </w:t>
      </w:r>
      <w:r>
        <w:rPr>
          <w:iCs/>
          <w:i/>
        </w:rPr>
        <w:t xml:space="preserve">not</w:t>
      </w:r>
      <w:r>
        <w:t xml:space="preserve"> </w:t>
      </w:r>
      <w:r>
        <w:t xml:space="preserve">to establish the youngest age at which children understand gaze cues. Rather, we wanted to examine how that ability changes with age.</w:t>
      </w:r>
    </w:p>
    <w:p>
      <w:pPr>
        <w:pStyle w:val="Textkrper"/>
      </w:pPr>
      <w:r>
        <w:t xml:space="preserve">In our study, we focused on the communicative intents of gaze: we asked children to locate a target by following an agent’s gaze. While language demands were kept low, the participants had to actively respond and, therefore, make use of the presented gaze cue.</w:t>
      </w:r>
    </w:p>
    <w:p>
      <w:pPr>
        <w:pStyle w:val="Textkrper"/>
      </w:pPr>
      <w:r>
        <w:t xml:space="preserve">A unique contribution of this study is the richness of the data set. Methodological challenges arise when trying to compare data across ages from qualitatively and quantitatively different study tasks. We could circumvent these issues by applying the exact same task for the entire life span.</w:t>
      </w:r>
    </w:p>
    <w:bookmarkEnd w:id="25"/>
    <w:bookmarkEnd w:id="26"/>
    <w:bookmarkEnd w:id="27"/>
    <w:bookmarkStart w:id="45" w:name="lifespan"/>
    <w:p>
      <w:pPr>
        <w:pStyle w:val="berschrift1"/>
      </w:pPr>
      <w:r>
        <w:t xml:space="preserve">Lifespan</w:t>
      </w:r>
    </w:p>
    <w:p>
      <w:pPr>
        <w:numPr>
          <w:ilvl w:val="0"/>
          <w:numId w:val="1003"/>
        </w:numPr>
        <w:pStyle w:val="Compact"/>
      </w:pPr>
      <w:r>
        <w:t xml:space="preserve">development &amp; individual differences in gaze understanding</w:t>
      </w:r>
    </w:p>
    <w:p>
      <w:pPr>
        <w:numPr>
          <w:ilvl w:val="0"/>
          <w:numId w:val="1003"/>
        </w:numPr>
        <w:pStyle w:val="Compact"/>
      </w:pPr>
      <w:r>
        <w:t xml:space="preserve">verweis methods paper reliable differences kinder &amp; adults.</w:t>
      </w:r>
    </w:p>
    <w:p>
      <w:pPr>
        <w:numPr>
          <w:ilvl w:val="0"/>
          <w:numId w:val="1003"/>
        </w:numPr>
        <w:pStyle w:val="Compact"/>
      </w:pPr>
      <w:r>
        <w:t xml:space="preserve">kontinuerliche, systematische variation, wodrin? =&gt; model</w:t>
      </w:r>
    </w:p>
    <w:p>
      <w:pPr>
        <w:pStyle w:val="FirstParagraph"/>
      </w:pPr>
      <w:hyperlink r:id="rId28">
        <w:r>
          <w:rPr>
            <w:rStyle w:val="Hyperlink"/>
          </w:rPr>
          <w:t xml:space="preserve">https://osf.io/6yjz3</w:t>
        </w:r>
      </w:hyperlink>
    </w:p>
    <w:p>
      <w:pPr>
        <w:pStyle w:val="Textkrper"/>
      </w:pPr>
      <w:r>
        <w:t xml:space="preserve">(#tab:lifespan_sample)</w:t>
      </w:r>
    </w:p>
    <w:p>
      <w:pPr>
        <w:pStyle w:val="TableCaption"/>
      </w:pP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Age group</w:t>
            </w:r>
          </w:p>
        </w:tc>
        <w:tc>
          <w:tcPr/>
          <w:p>
            <w:pPr>
              <w:pStyle w:val="Compact"/>
              <w:jc w:val="left"/>
            </w:pPr>
            <w:r>
              <w:t xml:space="preserve">n</w:t>
            </w:r>
          </w:p>
        </w:tc>
        <w:tc>
          <w:tcPr/>
          <w:p>
            <w:pPr>
              <w:pStyle w:val="Compact"/>
              <w:jc w:val="left"/>
            </w:pPr>
            <w:r>
              <w:t xml:space="preserve">Age mean</w:t>
            </w:r>
          </w:p>
        </w:tc>
        <w:tc>
          <w:tcPr/>
          <w:p>
            <w:pPr>
              <w:pStyle w:val="Compact"/>
              <w:jc w:val="left"/>
            </w:pPr>
            <w:r>
              <w:t xml:space="preserve">Age range</w:t>
            </w:r>
          </w:p>
        </w:tc>
        <w:tc>
          <w:tcPr/>
          <w:p>
            <w:pPr>
              <w:pStyle w:val="Compact"/>
              <w:jc w:val="left"/>
            </w:pPr>
            <w:r>
              <w:t xml:space="preserve">Age SD</w:t>
            </w:r>
          </w:p>
        </w:tc>
      </w:tr>
      <w:tr>
        <w:tc>
          <w:tcPr/>
          <w:p>
            <w:pPr>
              <w:pStyle w:val="Compact"/>
              <w:jc w:val="left"/>
            </w:pPr>
            <w:r>
              <w:t xml:space="preserve">3.00</w:t>
            </w:r>
          </w:p>
        </w:tc>
        <w:tc>
          <w:tcPr/>
          <w:p>
            <w:pPr>
              <w:pStyle w:val="Compact"/>
              <w:jc w:val="left"/>
            </w:pPr>
            <w:r>
              <w:t xml:space="preserve">19 (7 female)</w:t>
            </w:r>
          </w:p>
        </w:tc>
        <w:tc>
          <w:tcPr/>
          <w:p>
            <w:pPr>
              <w:pStyle w:val="Compact"/>
              <w:jc w:val="left"/>
            </w:pPr>
            <w:r>
              <w:t xml:space="preserve">3.62</w:t>
            </w:r>
          </w:p>
        </w:tc>
        <w:tc>
          <w:tcPr/>
          <w:p>
            <w:pPr>
              <w:pStyle w:val="Compact"/>
              <w:jc w:val="left"/>
            </w:pPr>
            <w:r>
              <w:t xml:space="preserve">3.04 - 3.99</w:t>
            </w:r>
          </w:p>
        </w:tc>
        <w:tc>
          <w:tcPr/>
          <w:p>
            <w:pPr>
              <w:pStyle w:val="Compact"/>
              <w:jc w:val="left"/>
            </w:pPr>
            <w:r>
              <w:t xml:space="preserve">0.31</w:t>
            </w:r>
          </w:p>
        </w:tc>
      </w:tr>
      <w:tr>
        <w:tc>
          <w:tcPr/>
          <w:p>
            <w:pPr>
              <w:pStyle w:val="Compact"/>
              <w:jc w:val="left"/>
            </w:pPr>
            <w:r>
              <w:t xml:space="preserve">4.00</w:t>
            </w:r>
          </w:p>
        </w:tc>
        <w:tc>
          <w:tcPr/>
          <w:p>
            <w:pPr>
              <w:pStyle w:val="Compact"/>
              <w:jc w:val="left"/>
            </w:pPr>
            <w:r>
              <w:t xml:space="preserve">17 (9 female)</w:t>
            </w:r>
          </w:p>
        </w:tc>
        <w:tc>
          <w:tcPr/>
          <w:p>
            <w:pPr>
              <w:pStyle w:val="Compact"/>
              <w:jc w:val="left"/>
            </w:pPr>
            <w:r>
              <w:t xml:space="preserve">4.45</w:t>
            </w:r>
          </w:p>
        </w:tc>
        <w:tc>
          <w:tcPr/>
          <w:p>
            <w:pPr>
              <w:pStyle w:val="Compact"/>
              <w:jc w:val="left"/>
            </w:pPr>
            <w:r>
              <w:t xml:space="preserve">4.05 - 4.91</w:t>
            </w:r>
          </w:p>
        </w:tc>
        <w:tc>
          <w:tcPr/>
          <w:p>
            <w:pPr>
              <w:pStyle w:val="Compact"/>
              <w:jc w:val="left"/>
            </w:pPr>
            <w:r>
              <w:t xml:space="preserve">0.30</w:t>
            </w:r>
          </w:p>
        </w:tc>
      </w:tr>
      <w:tr>
        <w:tc>
          <w:tcPr/>
          <w:p>
            <w:pPr>
              <w:pStyle w:val="Compact"/>
              <w:jc w:val="left"/>
            </w:pPr>
            <w:r>
              <w:t xml:space="preserve">5.00</w:t>
            </w:r>
          </w:p>
        </w:tc>
        <w:tc>
          <w:tcPr/>
          <w:p>
            <w:pPr>
              <w:pStyle w:val="Compact"/>
              <w:jc w:val="left"/>
            </w:pPr>
            <w:r>
              <w:t xml:space="preserve">22 (13 female)</w:t>
            </w:r>
          </w:p>
        </w:tc>
        <w:tc>
          <w:tcPr/>
          <w:p>
            <w:pPr>
              <w:pStyle w:val="Compact"/>
              <w:jc w:val="left"/>
            </w:pPr>
            <w:r>
              <w:t xml:space="preserve">5.56</w:t>
            </w:r>
          </w:p>
        </w:tc>
        <w:tc>
          <w:tcPr/>
          <w:p>
            <w:pPr>
              <w:pStyle w:val="Compact"/>
              <w:jc w:val="left"/>
            </w:pPr>
            <w:r>
              <w:t xml:space="preserve">5.08 - 5.99</w:t>
            </w:r>
          </w:p>
        </w:tc>
        <w:tc>
          <w:tcPr/>
          <w:p>
            <w:pPr>
              <w:pStyle w:val="Compact"/>
              <w:jc w:val="left"/>
            </w:pPr>
            <w:r>
              <w:t xml:space="preserve">0.31</w:t>
            </w:r>
          </w:p>
        </w:tc>
      </w:tr>
      <w:tr>
        <w:tc>
          <w:tcPr/>
          <w:p>
            <w:pPr>
              <w:pStyle w:val="Compact"/>
              <w:jc w:val="left"/>
            </w:pPr>
            <w:r>
              <w:t xml:space="preserve">6.00</w:t>
            </w:r>
          </w:p>
        </w:tc>
        <w:tc>
          <w:tcPr/>
          <w:p>
            <w:pPr>
              <w:pStyle w:val="Compact"/>
              <w:jc w:val="left"/>
            </w:pPr>
            <w:r>
              <w:t xml:space="preserve">24 (16 female)</w:t>
            </w:r>
          </w:p>
        </w:tc>
        <w:tc>
          <w:tcPr/>
          <w:p>
            <w:pPr>
              <w:pStyle w:val="Compact"/>
              <w:jc w:val="left"/>
            </w:pPr>
            <w:r>
              <w:t xml:space="preserve">6.50</w:t>
            </w:r>
          </w:p>
        </w:tc>
        <w:tc>
          <w:tcPr/>
          <w:p>
            <w:pPr>
              <w:pStyle w:val="Compact"/>
              <w:jc w:val="left"/>
            </w:pPr>
            <w:r>
              <w:t xml:space="preserve">6.1 - 6.99</w:t>
            </w:r>
          </w:p>
        </w:tc>
        <w:tc>
          <w:tcPr/>
          <w:p>
            <w:pPr>
              <w:pStyle w:val="Compact"/>
              <w:jc w:val="left"/>
            </w:pPr>
            <w:r>
              <w:t xml:space="preserve">0.28</w:t>
            </w:r>
          </w:p>
        </w:tc>
      </w:tr>
      <w:tr>
        <w:tc>
          <w:tcPr/>
          <w:p>
            <w:pPr>
              <w:pStyle w:val="Compact"/>
              <w:jc w:val="left"/>
            </w:pPr>
            <w:r>
              <w:t xml:space="preserve">7.00</w:t>
            </w:r>
          </w:p>
        </w:tc>
        <w:tc>
          <w:tcPr/>
          <w:p>
            <w:pPr>
              <w:pStyle w:val="Compact"/>
              <w:jc w:val="left"/>
            </w:pPr>
            <w:r>
              <w:t xml:space="preserve">39 (20 female)</w:t>
            </w:r>
          </w:p>
        </w:tc>
        <w:tc>
          <w:tcPr/>
          <w:p>
            <w:pPr>
              <w:pStyle w:val="Compact"/>
              <w:jc w:val="left"/>
            </w:pPr>
            <w:r>
              <w:t xml:space="preserve">7.48</w:t>
            </w:r>
          </w:p>
        </w:tc>
        <w:tc>
          <w:tcPr/>
          <w:p>
            <w:pPr>
              <w:pStyle w:val="Compact"/>
              <w:jc w:val="left"/>
            </w:pPr>
            <w:r>
              <w:t xml:space="preserve">7.04 - 7.95</w:t>
            </w:r>
          </w:p>
        </w:tc>
        <w:tc>
          <w:tcPr/>
          <w:p>
            <w:pPr>
              <w:pStyle w:val="Compact"/>
              <w:jc w:val="left"/>
            </w:pPr>
            <w:r>
              <w:t xml:space="preserve">0.25</w:t>
            </w:r>
          </w:p>
        </w:tc>
      </w:tr>
      <w:tr>
        <w:tc>
          <w:tcPr/>
          <w:p>
            <w:pPr>
              <w:pStyle w:val="Compact"/>
              <w:jc w:val="left"/>
            </w:pPr>
            <w:r>
              <w:t xml:space="preserve">8.00</w:t>
            </w:r>
          </w:p>
        </w:tc>
        <w:tc>
          <w:tcPr/>
          <w:p>
            <w:pPr>
              <w:pStyle w:val="Compact"/>
              <w:jc w:val="left"/>
            </w:pPr>
            <w:r>
              <w:t xml:space="preserve">41 (20 female)</w:t>
            </w:r>
          </w:p>
        </w:tc>
        <w:tc>
          <w:tcPr/>
          <w:p>
            <w:pPr>
              <w:pStyle w:val="Compact"/>
              <w:jc w:val="left"/>
            </w:pPr>
            <w:r>
              <w:t xml:space="preserve">8.46</w:t>
            </w:r>
          </w:p>
        </w:tc>
        <w:tc>
          <w:tcPr/>
          <w:p>
            <w:pPr>
              <w:pStyle w:val="Compact"/>
              <w:jc w:val="left"/>
            </w:pPr>
            <w:r>
              <w:t xml:space="preserve">8.03 - 8.98</w:t>
            </w:r>
          </w:p>
        </w:tc>
        <w:tc>
          <w:tcPr/>
          <w:p>
            <w:pPr>
              <w:pStyle w:val="Compact"/>
              <w:jc w:val="left"/>
            </w:pPr>
            <w:r>
              <w:t xml:space="preserve">0.27</w:t>
            </w:r>
          </w:p>
        </w:tc>
      </w:tr>
      <w:tr>
        <w:tc>
          <w:tcPr/>
          <w:p>
            <w:pPr>
              <w:pStyle w:val="Compact"/>
              <w:jc w:val="left"/>
            </w:pPr>
            <w:r>
              <w:t xml:space="preserve">9.00</w:t>
            </w:r>
          </w:p>
        </w:tc>
        <w:tc>
          <w:tcPr/>
          <w:p>
            <w:pPr>
              <w:pStyle w:val="Compact"/>
              <w:jc w:val="left"/>
            </w:pPr>
            <w:r>
              <w:t xml:space="preserve">56 (29 female)</w:t>
            </w:r>
          </w:p>
        </w:tc>
        <w:tc>
          <w:tcPr/>
          <w:p>
            <w:pPr>
              <w:pStyle w:val="Compact"/>
              <w:jc w:val="left"/>
            </w:pPr>
            <w:r>
              <w:t xml:space="preserve">9.46</w:t>
            </w:r>
          </w:p>
        </w:tc>
        <w:tc>
          <w:tcPr/>
          <w:p>
            <w:pPr>
              <w:pStyle w:val="Compact"/>
              <w:jc w:val="left"/>
            </w:pPr>
            <w:r>
              <w:t xml:space="preserve">9.01 - 9.96</w:t>
            </w:r>
          </w:p>
        </w:tc>
        <w:tc>
          <w:tcPr/>
          <w:p>
            <w:pPr>
              <w:pStyle w:val="Compact"/>
              <w:jc w:val="left"/>
            </w:pPr>
            <w:r>
              <w:t xml:space="preserve">0.28</w:t>
            </w:r>
          </w:p>
        </w:tc>
      </w:tr>
      <w:tr>
        <w:tc>
          <w:tcPr/>
          <w:p>
            <w:pPr>
              <w:pStyle w:val="Compact"/>
              <w:jc w:val="left"/>
            </w:pPr>
            <w:r>
              <w:t xml:space="preserve">10.00</w:t>
            </w:r>
          </w:p>
        </w:tc>
        <w:tc>
          <w:tcPr/>
          <w:p>
            <w:pPr>
              <w:pStyle w:val="Compact"/>
              <w:jc w:val="left"/>
            </w:pPr>
            <w:r>
              <w:t xml:space="preserve">35 (22 female)</w:t>
            </w:r>
          </w:p>
        </w:tc>
        <w:tc>
          <w:tcPr/>
          <w:p>
            <w:pPr>
              <w:pStyle w:val="Compact"/>
              <w:jc w:val="left"/>
            </w:pPr>
            <w:r>
              <w:t xml:space="preserve">10.49</w:t>
            </w:r>
          </w:p>
        </w:tc>
        <w:tc>
          <w:tcPr/>
          <w:p>
            <w:pPr>
              <w:pStyle w:val="Compact"/>
              <w:jc w:val="left"/>
            </w:pPr>
            <w:r>
              <w:t xml:space="preserve">10.01 - 11</w:t>
            </w:r>
          </w:p>
        </w:tc>
        <w:tc>
          <w:tcPr/>
          <w:p>
            <w:pPr>
              <w:pStyle w:val="Compact"/>
              <w:jc w:val="left"/>
            </w:pPr>
            <w:r>
              <w:t xml:space="preserve">0.28</w:t>
            </w:r>
          </w:p>
        </w:tc>
      </w:tr>
      <w:tr>
        <w:tc>
          <w:tcPr/>
          <w:p>
            <w:pPr>
              <w:pStyle w:val="Compact"/>
              <w:jc w:val="left"/>
            </w:pPr>
            <w:r>
              <w:t xml:space="preserve">11.00</w:t>
            </w:r>
          </w:p>
        </w:tc>
        <w:tc>
          <w:tcPr/>
          <w:p>
            <w:pPr>
              <w:pStyle w:val="Compact"/>
              <w:jc w:val="left"/>
            </w:pPr>
            <w:r>
              <w:t xml:space="preserve">54 (26 female)</w:t>
            </w:r>
          </w:p>
        </w:tc>
        <w:tc>
          <w:tcPr/>
          <w:p>
            <w:pPr>
              <w:pStyle w:val="Compact"/>
              <w:jc w:val="left"/>
            </w:pPr>
            <w:r>
              <w:t xml:space="preserve">11.43</w:t>
            </w:r>
          </w:p>
        </w:tc>
        <w:tc>
          <w:tcPr/>
          <w:p>
            <w:pPr>
              <w:pStyle w:val="Compact"/>
              <w:jc w:val="left"/>
            </w:pPr>
            <w:r>
              <w:t xml:space="preserve">11.01 - 11.96</w:t>
            </w:r>
          </w:p>
        </w:tc>
        <w:tc>
          <w:tcPr/>
          <w:p>
            <w:pPr>
              <w:pStyle w:val="Compact"/>
              <w:jc w:val="left"/>
            </w:pPr>
            <w:r>
              <w:t xml:space="preserve">0.28</w:t>
            </w:r>
          </w:p>
        </w:tc>
      </w:tr>
      <w:tr>
        <w:tc>
          <w:tcPr/>
          <w:p>
            <w:pPr>
              <w:pStyle w:val="Compact"/>
              <w:jc w:val="left"/>
            </w:pPr>
            <w:r>
              <w:t xml:space="preserve">12.00</w:t>
            </w:r>
          </w:p>
        </w:tc>
        <w:tc>
          <w:tcPr/>
          <w:p>
            <w:pPr>
              <w:pStyle w:val="Compact"/>
              <w:jc w:val="left"/>
            </w:pPr>
            <w:r>
              <w:t xml:space="preserve">43 (19 female)</w:t>
            </w:r>
          </w:p>
        </w:tc>
        <w:tc>
          <w:tcPr/>
          <w:p>
            <w:pPr>
              <w:pStyle w:val="Compact"/>
              <w:jc w:val="left"/>
            </w:pPr>
            <w:r>
              <w:t xml:space="preserve">12.41</w:t>
            </w:r>
          </w:p>
        </w:tc>
        <w:tc>
          <w:tcPr/>
          <w:p>
            <w:pPr>
              <w:pStyle w:val="Compact"/>
              <w:jc w:val="left"/>
            </w:pPr>
            <w:r>
              <w:t xml:space="preserve">12.01 - 12.99</w:t>
            </w:r>
          </w:p>
        </w:tc>
        <w:tc>
          <w:tcPr/>
          <w:p>
            <w:pPr>
              <w:pStyle w:val="Compact"/>
              <w:jc w:val="left"/>
            </w:pPr>
            <w:r>
              <w:t xml:space="preserve">0.30</w:t>
            </w:r>
          </w:p>
        </w:tc>
      </w:tr>
      <w:tr>
        <w:tc>
          <w:tcPr/>
          <w:p>
            <w:pPr>
              <w:pStyle w:val="Compact"/>
              <w:jc w:val="left"/>
            </w:pPr>
            <w:r>
              <w:t xml:space="preserve">13.00</w:t>
            </w:r>
          </w:p>
        </w:tc>
        <w:tc>
          <w:tcPr/>
          <w:p>
            <w:pPr>
              <w:pStyle w:val="Compact"/>
              <w:jc w:val="left"/>
            </w:pPr>
            <w:r>
              <w:t xml:space="preserve">42 (19 female)</w:t>
            </w:r>
          </w:p>
        </w:tc>
        <w:tc>
          <w:tcPr/>
          <w:p>
            <w:pPr>
              <w:pStyle w:val="Compact"/>
              <w:jc w:val="left"/>
            </w:pPr>
            <w:r>
              <w:t xml:space="preserve">13.50</w:t>
            </w:r>
          </w:p>
        </w:tc>
        <w:tc>
          <w:tcPr/>
          <w:p>
            <w:pPr>
              <w:pStyle w:val="Compact"/>
              <w:jc w:val="left"/>
            </w:pPr>
            <w:r>
              <w:t xml:space="preserve">13.09 - 13.99</w:t>
            </w:r>
          </w:p>
        </w:tc>
        <w:tc>
          <w:tcPr/>
          <w:p>
            <w:pPr>
              <w:pStyle w:val="Compact"/>
              <w:jc w:val="left"/>
            </w:pPr>
            <w:r>
              <w:t xml:space="preserve">0.27</w:t>
            </w:r>
          </w:p>
        </w:tc>
      </w:tr>
      <w:tr>
        <w:tc>
          <w:tcPr/>
          <w:p>
            <w:pPr>
              <w:pStyle w:val="Compact"/>
              <w:jc w:val="left"/>
            </w:pPr>
            <w:r>
              <w:t xml:space="preserve">14.00</w:t>
            </w:r>
          </w:p>
        </w:tc>
        <w:tc>
          <w:tcPr/>
          <w:p>
            <w:pPr>
              <w:pStyle w:val="Compact"/>
              <w:jc w:val="left"/>
            </w:pPr>
            <w:r>
              <w:t xml:space="preserve">20 (14 female)</w:t>
            </w:r>
          </w:p>
        </w:tc>
        <w:tc>
          <w:tcPr/>
          <w:p>
            <w:pPr>
              <w:pStyle w:val="Compact"/>
              <w:jc w:val="left"/>
            </w:pPr>
            <w:r>
              <w:t xml:space="preserve">14.37</w:t>
            </w:r>
          </w:p>
        </w:tc>
        <w:tc>
          <w:tcPr/>
          <w:p>
            <w:pPr>
              <w:pStyle w:val="Compact"/>
              <w:jc w:val="left"/>
            </w:pPr>
            <w:r>
              <w:t xml:space="preserve">14.05 - 14.98</w:t>
            </w:r>
          </w:p>
        </w:tc>
        <w:tc>
          <w:tcPr/>
          <w:p>
            <w:pPr>
              <w:pStyle w:val="Compact"/>
              <w:jc w:val="left"/>
            </w:pPr>
            <w:r>
              <w:t xml:space="preserve">0.23</w:t>
            </w:r>
          </w:p>
        </w:tc>
      </w:tr>
      <w:tr>
        <w:tc>
          <w:tcPr/>
          <w:p>
            <w:pPr>
              <w:pStyle w:val="Compact"/>
              <w:jc w:val="left"/>
            </w:pPr>
            <w:r>
              <w:t xml:space="preserve">15.00</w:t>
            </w:r>
          </w:p>
        </w:tc>
        <w:tc>
          <w:tcPr/>
          <w:p>
            <w:pPr>
              <w:pStyle w:val="Compact"/>
              <w:jc w:val="left"/>
            </w:pPr>
            <w:r>
              <w:t xml:space="preserve">21 (11 female)</w:t>
            </w:r>
          </w:p>
        </w:tc>
        <w:tc>
          <w:tcPr/>
          <w:p>
            <w:pPr>
              <w:pStyle w:val="Compact"/>
              <w:jc w:val="left"/>
            </w:pPr>
            <w:r>
              <w:t xml:space="preserve">15.56</w:t>
            </w:r>
          </w:p>
        </w:tc>
        <w:tc>
          <w:tcPr/>
          <w:p>
            <w:pPr>
              <w:pStyle w:val="Compact"/>
              <w:jc w:val="left"/>
            </w:pPr>
            <w:r>
              <w:t xml:space="preserve">15.05 - 15.98</w:t>
            </w:r>
          </w:p>
        </w:tc>
        <w:tc>
          <w:tcPr/>
          <w:p>
            <w:pPr>
              <w:pStyle w:val="Compact"/>
              <w:jc w:val="left"/>
            </w:pPr>
            <w:r>
              <w:t xml:space="preserve">0.30</w:t>
            </w:r>
          </w:p>
        </w:tc>
      </w:tr>
      <w:tr>
        <w:tc>
          <w:tcPr/>
          <w:p>
            <w:pPr>
              <w:pStyle w:val="Compact"/>
              <w:jc w:val="left"/>
            </w:pPr>
            <w:r>
              <w:t xml:space="preserve">16.00</w:t>
            </w:r>
          </w:p>
        </w:tc>
        <w:tc>
          <w:tcPr/>
          <w:p>
            <w:pPr>
              <w:pStyle w:val="Compact"/>
              <w:jc w:val="left"/>
            </w:pPr>
            <w:r>
              <w:t xml:space="preserve">19 (10 female)</w:t>
            </w:r>
          </w:p>
        </w:tc>
        <w:tc>
          <w:tcPr/>
          <w:p>
            <w:pPr>
              <w:pStyle w:val="Compact"/>
              <w:jc w:val="left"/>
            </w:pPr>
            <w:r>
              <w:t xml:space="preserve">16.51</w:t>
            </w:r>
          </w:p>
        </w:tc>
        <w:tc>
          <w:tcPr/>
          <w:p>
            <w:pPr>
              <w:pStyle w:val="Compact"/>
              <w:jc w:val="left"/>
            </w:pPr>
            <w:r>
              <w:t xml:space="preserve">16.17 - 16.97</w:t>
            </w:r>
          </w:p>
        </w:tc>
        <w:tc>
          <w:tcPr/>
          <w:p>
            <w:pPr>
              <w:pStyle w:val="Compact"/>
              <w:jc w:val="left"/>
            </w:pPr>
            <w:r>
              <w:t xml:space="preserve">0.24</w:t>
            </w:r>
          </w:p>
        </w:tc>
      </w:tr>
      <w:tr>
        <w:tc>
          <w:tcPr/>
          <w:p>
            <w:pPr>
              <w:pStyle w:val="Compact"/>
              <w:jc w:val="left"/>
            </w:pPr>
            <w:r>
              <w:t xml:space="preserve">17.00</w:t>
            </w:r>
          </w:p>
        </w:tc>
        <w:tc>
          <w:tcPr/>
          <w:p>
            <w:pPr>
              <w:pStyle w:val="Compact"/>
              <w:jc w:val="left"/>
            </w:pPr>
            <w:r>
              <w:t xml:space="preserve">19 (10 female)</w:t>
            </w:r>
          </w:p>
        </w:tc>
        <w:tc>
          <w:tcPr/>
          <w:p>
            <w:pPr>
              <w:pStyle w:val="Compact"/>
              <w:jc w:val="left"/>
            </w:pPr>
            <w:r>
              <w:t xml:space="preserve">17.53</w:t>
            </w:r>
          </w:p>
        </w:tc>
        <w:tc>
          <w:tcPr/>
          <w:p>
            <w:pPr>
              <w:pStyle w:val="Compact"/>
              <w:jc w:val="left"/>
            </w:pPr>
            <w:r>
              <w:t xml:space="preserve">17.01 - 17.95</w:t>
            </w:r>
          </w:p>
        </w:tc>
        <w:tc>
          <w:tcPr/>
          <w:p>
            <w:pPr>
              <w:pStyle w:val="Compact"/>
              <w:jc w:val="left"/>
            </w:pPr>
            <w:r>
              <w:t xml:space="preserve">0.28</w:t>
            </w:r>
          </w:p>
        </w:tc>
      </w:tr>
      <w:tr>
        <w:tc>
          <w:tcPr/>
          <w:p>
            <w:pPr>
              <w:pStyle w:val="Compact"/>
              <w:jc w:val="left"/>
            </w:pPr>
            <w:r>
              <w:t xml:space="preserve">18.00</w:t>
            </w:r>
          </w:p>
        </w:tc>
        <w:tc>
          <w:tcPr/>
          <w:p>
            <w:pPr>
              <w:pStyle w:val="Compact"/>
              <w:jc w:val="left"/>
            </w:pPr>
            <w:r>
              <w:t xml:space="preserve">2 (0 female)</w:t>
            </w:r>
          </w:p>
        </w:tc>
        <w:tc>
          <w:tcPr/>
          <w:p>
            <w:pPr>
              <w:pStyle w:val="Compact"/>
              <w:jc w:val="left"/>
            </w:pPr>
            <w:r>
              <w:t xml:space="preserve">18.00</w:t>
            </w:r>
          </w:p>
        </w:tc>
        <w:tc>
          <w:tcPr/>
          <w:p>
            <w:pPr>
              <w:pStyle w:val="Compact"/>
              <w:jc w:val="left"/>
            </w:pPr>
            <w:r>
              <w:t xml:space="preserve">18 - 18</w:t>
            </w:r>
          </w:p>
        </w:tc>
        <w:tc>
          <w:tcPr/>
          <w:p>
            <w:pPr>
              <w:pStyle w:val="Compact"/>
              <w:jc w:val="left"/>
            </w:pPr>
            <w:r>
              <w:t xml:space="preserve">0.00</w:t>
            </w:r>
          </w:p>
        </w:tc>
      </w:tr>
      <w:tr>
        <w:tc>
          <w:tcPr/>
          <w:p>
            <w:pPr>
              <w:pStyle w:val="Compact"/>
              <w:jc w:val="left"/>
            </w:pPr>
            <w:r>
              <w:t xml:space="preserve">19.00</w:t>
            </w:r>
          </w:p>
        </w:tc>
        <w:tc>
          <w:tcPr/>
          <w:p>
            <w:pPr>
              <w:pStyle w:val="Compact"/>
              <w:jc w:val="left"/>
            </w:pPr>
            <w:r>
              <w:t xml:space="preserve">5 (4 female)</w:t>
            </w:r>
          </w:p>
        </w:tc>
        <w:tc>
          <w:tcPr/>
          <w:p>
            <w:pPr>
              <w:pStyle w:val="Compact"/>
              <w:jc w:val="left"/>
            </w:pPr>
            <w:r>
              <w:t xml:space="preserve">19.00</w:t>
            </w:r>
          </w:p>
        </w:tc>
        <w:tc>
          <w:tcPr/>
          <w:p>
            <w:pPr>
              <w:pStyle w:val="Compact"/>
              <w:jc w:val="left"/>
            </w:pPr>
            <w:r>
              <w:t xml:space="preserve">19 - 19</w:t>
            </w:r>
          </w:p>
        </w:tc>
        <w:tc>
          <w:tcPr/>
          <w:p>
            <w:pPr>
              <w:pStyle w:val="Compact"/>
              <w:jc w:val="left"/>
            </w:pPr>
            <w:r>
              <w:t xml:space="preserve">0.00</w:t>
            </w:r>
          </w:p>
        </w:tc>
      </w:tr>
      <w:tr>
        <w:tc>
          <w:tcPr/>
          <w:p>
            <w:pPr>
              <w:pStyle w:val="Compact"/>
              <w:jc w:val="left"/>
            </w:pPr>
            <w:r>
              <w:t xml:space="preserve">20.00</w:t>
            </w:r>
          </w:p>
        </w:tc>
        <w:tc>
          <w:tcPr/>
          <w:p>
            <w:pPr>
              <w:pStyle w:val="Compact"/>
              <w:jc w:val="left"/>
            </w:pPr>
            <w:r>
              <w:t xml:space="preserve">40 (25 female)</w:t>
            </w:r>
          </w:p>
        </w:tc>
        <w:tc>
          <w:tcPr/>
          <w:p>
            <w:pPr>
              <w:pStyle w:val="Compact"/>
              <w:jc w:val="left"/>
            </w:pPr>
            <w:r>
              <w:t xml:space="preserve">23.02</w:t>
            </w:r>
          </w:p>
        </w:tc>
        <w:tc>
          <w:tcPr/>
          <w:p>
            <w:pPr>
              <w:pStyle w:val="Compact"/>
              <w:jc w:val="left"/>
            </w:pPr>
            <w:r>
              <w:t xml:space="preserve">20 - 29</w:t>
            </w:r>
          </w:p>
        </w:tc>
        <w:tc>
          <w:tcPr/>
          <w:p>
            <w:pPr>
              <w:pStyle w:val="Compact"/>
              <w:jc w:val="left"/>
            </w:pPr>
            <w:r>
              <w:t xml:space="preserve">2.77</w:t>
            </w:r>
          </w:p>
        </w:tc>
      </w:tr>
      <w:tr>
        <w:tc>
          <w:tcPr/>
          <w:p>
            <w:pPr>
              <w:pStyle w:val="Compact"/>
              <w:jc w:val="left"/>
            </w:pPr>
            <w:r>
              <w:t xml:space="preserve">30.00</w:t>
            </w:r>
          </w:p>
        </w:tc>
        <w:tc>
          <w:tcPr/>
          <w:p>
            <w:pPr>
              <w:pStyle w:val="Compact"/>
              <w:jc w:val="left"/>
            </w:pPr>
            <w:r>
              <w:t xml:space="preserve">40 (21 female)</w:t>
            </w:r>
          </w:p>
        </w:tc>
        <w:tc>
          <w:tcPr/>
          <w:p>
            <w:pPr>
              <w:pStyle w:val="Compact"/>
              <w:jc w:val="left"/>
            </w:pPr>
            <w:r>
              <w:t xml:space="preserve">34.42</w:t>
            </w:r>
          </w:p>
        </w:tc>
        <w:tc>
          <w:tcPr/>
          <w:p>
            <w:pPr>
              <w:pStyle w:val="Compact"/>
              <w:jc w:val="left"/>
            </w:pPr>
            <w:r>
              <w:t xml:space="preserve">30 - 39</w:t>
            </w:r>
          </w:p>
        </w:tc>
        <w:tc>
          <w:tcPr/>
          <w:p>
            <w:pPr>
              <w:pStyle w:val="Compact"/>
              <w:jc w:val="left"/>
            </w:pPr>
            <w:r>
              <w:t xml:space="preserve">3.00</w:t>
            </w:r>
          </w:p>
        </w:tc>
      </w:tr>
      <w:tr>
        <w:tc>
          <w:tcPr/>
          <w:p>
            <w:pPr>
              <w:pStyle w:val="Compact"/>
              <w:jc w:val="left"/>
            </w:pPr>
            <w:r>
              <w:t xml:space="preserve">40.00</w:t>
            </w:r>
          </w:p>
        </w:tc>
        <w:tc>
          <w:tcPr/>
          <w:p>
            <w:pPr>
              <w:pStyle w:val="Compact"/>
              <w:jc w:val="left"/>
            </w:pPr>
            <w:r>
              <w:t xml:space="preserve">40 (24 female)</w:t>
            </w:r>
          </w:p>
        </w:tc>
        <w:tc>
          <w:tcPr/>
          <w:p>
            <w:pPr>
              <w:pStyle w:val="Compact"/>
              <w:jc w:val="left"/>
            </w:pPr>
            <w:r>
              <w:t xml:space="preserve">44.17</w:t>
            </w:r>
          </w:p>
        </w:tc>
        <w:tc>
          <w:tcPr/>
          <w:p>
            <w:pPr>
              <w:pStyle w:val="Compact"/>
              <w:jc w:val="left"/>
            </w:pPr>
            <w:r>
              <w:t xml:space="preserve">40 - 49</w:t>
            </w:r>
          </w:p>
        </w:tc>
        <w:tc>
          <w:tcPr/>
          <w:p>
            <w:pPr>
              <w:pStyle w:val="Compact"/>
              <w:jc w:val="left"/>
            </w:pPr>
            <w:r>
              <w:t xml:space="preserve">2.92</w:t>
            </w:r>
          </w:p>
        </w:tc>
      </w:tr>
      <w:tr>
        <w:tc>
          <w:tcPr/>
          <w:p>
            <w:pPr>
              <w:pStyle w:val="Compact"/>
              <w:jc w:val="left"/>
            </w:pPr>
            <w:r>
              <w:t xml:space="preserve">50.00</w:t>
            </w:r>
          </w:p>
        </w:tc>
        <w:tc>
          <w:tcPr/>
          <w:p>
            <w:pPr>
              <w:pStyle w:val="Compact"/>
              <w:jc w:val="left"/>
            </w:pPr>
            <w:r>
              <w:t xml:space="preserve">40 (21 female)</w:t>
            </w:r>
          </w:p>
        </w:tc>
        <w:tc>
          <w:tcPr/>
          <w:p>
            <w:pPr>
              <w:pStyle w:val="Compact"/>
              <w:jc w:val="left"/>
            </w:pPr>
            <w:r>
              <w:t xml:space="preserve">54.38</w:t>
            </w:r>
          </w:p>
        </w:tc>
        <w:tc>
          <w:tcPr/>
          <w:p>
            <w:pPr>
              <w:pStyle w:val="Compact"/>
              <w:jc w:val="left"/>
            </w:pPr>
            <w:r>
              <w:t xml:space="preserve">50 - 59</w:t>
            </w:r>
          </w:p>
        </w:tc>
        <w:tc>
          <w:tcPr/>
          <w:p>
            <w:pPr>
              <w:pStyle w:val="Compact"/>
              <w:jc w:val="left"/>
            </w:pPr>
            <w:r>
              <w:t xml:space="preserve">3.04</w:t>
            </w:r>
          </w:p>
        </w:tc>
      </w:tr>
      <w:tr>
        <w:tc>
          <w:tcPr/>
          <w:p>
            <w:pPr>
              <w:pStyle w:val="Compact"/>
              <w:jc w:val="left"/>
            </w:pPr>
            <w:r>
              <w:t xml:space="preserve">60.00</w:t>
            </w:r>
          </w:p>
        </w:tc>
        <w:tc>
          <w:tcPr/>
          <w:p>
            <w:pPr>
              <w:pStyle w:val="Compact"/>
              <w:jc w:val="left"/>
            </w:pPr>
            <w:r>
              <w:t xml:space="preserve">40 (21 female)</w:t>
            </w:r>
          </w:p>
        </w:tc>
        <w:tc>
          <w:tcPr/>
          <w:p>
            <w:pPr>
              <w:pStyle w:val="Compact"/>
              <w:jc w:val="left"/>
            </w:pPr>
            <w:r>
              <w:t xml:space="preserve">63.73</w:t>
            </w:r>
          </w:p>
        </w:tc>
        <w:tc>
          <w:tcPr/>
          <w:p>
            <w:pPr>
              <w:pStyle w:val="Compact"/>
              <w:jc w:val="left"/>
            </w:pPr>
            <w:r>
              <w:t xml:space="preserve">60 - 69</w:t>
            </w:r>
          </w:p>
        </w:tc>
        <w:tc>
          <w:tcPr/>
          <w:p>
            <w:pPr>
              <w:pStyle w:val="Compact"/>
              <w:jc w:val="left"/>
            </w:pPr>
            <w:r>
              <w:t xml:space="preserve">2.56</w:t>
            </w:r>
          </w:p>
        </w:tc>
      </w:tr>
      <w:tr>
        <w:tc>
          <w:tcPr/>
          <w:p>
            <w:pPr>
              <w:pStyle w:val="Compact"/>
              <w:jc w:val="left"/>
            </w:pPr>
            <w:r>
              <w:t xml:space="preserve">70.00</w:t>
            </w:r>
          </w:p>
        </w:tc>
        <w:tc>
          <w:tcPr/>
          <w:p>
            <w:pPr>
              <w:pStyle w:val="Compact"/>
              <w:jc w:val="left"/>
            </w:pPr>
            <w:r>
              <w:t xml:space="preserve">40 (20 female)</w:t>
            </w:r>
          </w:p>
        </w:tc>
        <w:tc>
          <w:tcPr/>
          <w:p>
            <w:pPr>
              <w:pStyle w:val="Compact"/>
              <w:jc w:val="left"/>
            </w:pPr>
            <w:r>
              <w:t xml:space="preserve">72.75</w:t>
            </w:r>
          </w:p>
        </w:tc>
        <w:tc>
          <w:tcPr/>
          <w:p>
            <w:pPr>
              <w:pStyle w:val="Compact"/>
              <w:jc w:val="left"/>
            </w:pPr>
            <w:r>
              <w:t xml:space="preserve">70 - 79</w:t>
            </w:r>
          </w:p>
        </w:tc>
        <w:tc>
          <w:tcPr/>
          <w:p>
            <w:pPr>
              <w:pStyle w:val="Compact"/>
              <w:jc w:val="left"/>
            </w:pPr>
            <w:r>
              <w:t xml:space="preserve">2.44</w:t>
            </w:r>
          </w:p>
        </w:tc>
      </w:tr>
    </w:tbl>
    <w:bookmarkStart w:id="29" w:name="participants"/>
    <w:p>
      <w:pPr>
        <w:pStyle w:val="berschrift2"/>
      </w:pPr>
      <w:r>
        <w:t xml:space="preserve">Participants</w:t>
      </w:r>
    </w:p>
    <w:p>
      <w:pPr>
        <w:pStyle w:val="FirstParagraph"/>
      </w:pPr>
      <w:r>
        <w:t xml:space="preserve">We collected data from a remote child, teenager and adult sample. 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children, including 19 3-year-olds (mean = 3.62 years, SD = 0.31, range = 3.04 - 3.99, 7 girls), 17 4-year-olds (mean = 4.45 years, SD = 0.30, range = 4.05 - 4.91, 9 girls), 22 5-year-olds (mean = 5.56 years, SD = 0.31, range = 5.08 - 5.99, 13 girls), 24 6-year-olds (mean = 6.50 years, SD = 0.28, range = 6.10 - 6.99, 16 girls), 39 7-year-olds (mean = 7.48 years, SD = 0.25, range = 7.04 - 7.95, 20 girls), 41 8-year-olds (mean = 8.46 years, SD = 0.27, range = 8.03 - 8.98, 20 girls), 56 9-year-olds (mean = 9.46 years, SD = 0.28, range = 9.01 - 9.96, 29 girls), 35 10-year-olds (mean = 10.49 years, SD = 0.28, range = 10.01 - 11, 22 girls), 54 11-year-olds (mean = 11.43 years, SD = 0.28, range = 11.01 - 11.96, 26 girls), 43 12-year-olds (mean = 12.41 years, SD = 0.30, range = 12.01 - 12.99, 19 girls), 42 13-year-olds (mean = 13.50 years, SD = 0.27, range = 13.09 - 13.99, 19 girls), 20 14-year-olds (mean = 14.37 years, SD = 0.23, range = 14.05 - 14.98, 14 girls), 21 15-year-olds (mean = 15.56 years, SD = 0.30, range = 15.05 - 15.98, 11 girls), 19 16-year-olds (mean = 16.51 years, SD = 0.24, range = 16.17 - 16.97, 10 girls), 19 17-year-olds (mean = 17.53 years, SD = 0.28, range = 17.01 - 17.95, 10 girls), 2 17-year-olds (mean = 18 years, SD = 0, range = 18 - 18, 0 girls), 5 17-year-olds (mean = 19 years, SD = 0, range = 19 - 19, 4 girls).</w:t>
      </w:r>
    </w:p>
    <w:p>
      <w:pPr>
        <w:pStyle w:val="Textkrper"/>
      </w:pPr>
      <w:r>
        <w:t xml:space="preserve">Children and teenagers in our sample grow up in an industrialized, urban Central-European context. 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that reported to have normal or corrected-to-normal vision. The sample included 40 20- to 29-year-olds (mean = 23.02 years, SD = 2.77, range = 20 - 29, 25 female), 40 30- to 39-year-olds (mean = 34.42 years, SD = 3, range = 30 - 39, 21 female), 40 40- to 49-year-olds (mean = 44.17 years, SD = 2.92, range = 40 - 49, 24 female), 40 50- to 59-year-olds (mean = 54.38 years, SD = 3.04, range = 50 - 59, 21 female), 40 60- to 69-year-olds (mean = 63.73 years, SD = 2.56, range = 60 - 69, 21 female), and 40 70- to 79-year-olds (mean = 72.75 years, SD = 2.44, range = 70 - 79, 20 female).</w:t>
      </w:r>
    </w:p>
    <w:p>
      <w:pPr>
        <w:pStyle w:val="Textkrper"/>
      </w:pPr>
      <w:r>
        <w:t xml:space="preserve">For completing the study, subjects were paid above the fixed minimum wage (on average £10.00 per hour; see Supplements for further detail).</w:t>
      </w:r>
    </w:p>
    <w:bookmarkEnd w:id="29"/>
    <w:bookmarkStart w:id="36" w:name="materials"/>
    <w:p>
      <w:pPr>
        <w:pStyle w:val="berschrift2"/>
      </w:pPr>
      <w:r>
        <w:t xml:space="preserve">Materials</w:t>
      </w:r>
    </w:p>
    <w:p>
      <w:pPr>
        <w:pStyle w:val="FirstParagraph"/>
      </w:pPr>
      <w:r>
        <w:t xml:space="preserve">We used the continuous version of the TANGO</w:t>
      </w:r>
      <w:r>
        <w:t xml:space="preserve"> </w:t>
      </w:r>
      <w:r>
        <w:t xml:space="preserve">(Prein, Bohn, Kalinke, &amp; Haun, 2022)</w:t>
      </w:r>
      <w:r>
        <w:t xml:space="preserve">. The task was presented as an interactive web application (see Figure</w:t>
      </w:r>
      <w:r>
        <w:t xml:space="preserve"> </w:t>
      </w:r>
      <w:r>
        <w:t xml:space="preserve">1</w:t>
      </w:r>
      <w:r>
        <w:t xml:space="preserve">; live demo</w:t>
      </w:r>
      <w:r>
        <w:t xml:space="preserve"> </w:t>
      </w:r>
      <w:hyperlink r:id="rId30">
        <w:r>
          <w:rPr>
            <w:rStyle w:val="Hyperlink"/>
          </w:rPr>
          <w:t xml:space="preserve">https://ccp-odc.eva.mpg.de/tango-demo/</w:t>
        </w:r>
      </w:hyperlink>
      <w:r>
        <w:t xml:space="preserve">; source code</w:t>
      </w:r>
      <w:r>
        <w:t xml:space="preserve"> </w:t>
      </w:r>
      <w:hyperlink r:id="rId31">
        <w:r>
          <w:rPr>
            <w:rStyle w:val="Hyperlink"/>
          </w:rPr>
          <w:t xml:space="preserve">https://github.com/ccp-eva/tango-demo</w:t>
        </w:r>
      </w:hyperlink>
      <w:r>
        <w:t xml:space="preserve">). 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 The target then fell behind a hedge (continuous task version). The agent’s gaze followed the target’s trajectory: pupil and iris moved so that their center aligned with the target center. In test trials, the target flight was covered so that participants could not see where the target landed. Participants’ task was to locate the target by tracking the agent’s gaze. They could respond by touching on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center and the x coordinate of the participant’s click. Target coordinates were randomly generated during runtime. Each target bin, as well as all agents and target colors, occurred equally often and and did not appear in more than two consecutive trials.</w:t>
      </w:r>
    </w:p>
    <w:p>
      <w:pPr>
        <w:pStyle w:val="CaptionedFigure"/>
      </w:pPr>
      <w:r>
        <w:drawing>
          <wp:inline>
            <wp:extent cx="5969000" cy="1991049"/>
            <wp:effectExtent b="0" l="0" r="0" t="0"/>
            <wp:docPr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title="" id="33" name="Picture"/>
            <a:graphic>
              <a:graphicData uri="http://schemas.openxmlformats.org/drawingml/2006/picture">
                <pic:pic>
                  <pic:nvPicPr>
                    <pic:cNvPr descr="../figures/procedure.png" id="34" name="Picture"/>
                    <pic:cNvPicPr>
                      <a:picLocks noChangeArrowheads="1" noChangeAspect="1"/>
                    </pic:cNvPicPr>
                  </pic:nvPicPr>
                  <pic:blipFill>
                    <a:blip r:embed="rId32"/>
                    <a:stretch>
                      <a:fillRect/>
                    </a:stretch>
                  </pic:blipFill>
                  <pic:spPr bwMode="auto">
                    <a:xfrm>
                      <a:off x="0" y="0"/>
                      <a:ext cx="5969000" cy="1991049"/>
                    </a:xfrm>
                    <a:prstGeom prst="rect">
                      <a:avLst/>
                    </a:prstGeom>
                    <a:noFill/>
                    <a:ln w="9525">
                      <a:noFill/>
                      <a:headEnd/>
                      <a:tailEnd/>
                    </a:ln>
                  </pic:spPr>
                </pic:pic>
              </a:graphicData>
            </a:graphic>
          </wp:inline>
        </w:drawing>
      </w:r>
    </w:p>
    <w:p>
      <w:pPr>
        <w:pStyle w:val="ImageCaption"/>
      </w:pPr>
      <w:bookmarkStart w:id="35" w:name="fig:fig1"/>
      <w:bookmarkEnd w:id="35"/>
      <w:r>
        <w:t xml:space="preserve">Figure</w:t>
      </w:r>
      <w:r>
        <w:rPr>
          <w:iCs/>
          <w:i/>
        </w:rPr>
        <w:t xml:space="preserve"> </w:t>
      </w:r>
      <w:r>
        <w:t xml:space="preserve">1:</w:t>
      </w:r>
      <w:r>
        <w:t xml:space="preserve"> </w:t>
      </w:r>
      <w:r>
        <w:rPr>
          <w:bCs/>
          <w:b/>
        </w:rPr>
        <w:t xml:space="preserve">Setup of the TANGO and Magnet tasks</w:t>
      </w:r>
      <w:r>
        <w:t xml:space="preserve">.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bookmarkEnd w:id="36"/>
    <w:bookmarkStart w:id="37"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to not help their children in responding. Webcam videos were recorded whenever consented and technically feasible, in order to monitor whether children and teenagers responded on their own.</w:t>
      </w:r>
    </w:p>
    <w:bookmarkEnd w:id="37"/>
    <w:bookmarkStart w:id="38" w:name="analysis"/>
    <w:p>
      <w:pPr>
        <w:pStyle w:val="berschrift2"/>
      </w:pPr>
      <w:r>
        <w:t xml:space="preserve">Analysis</w:t>
      </w:r>
    </w:p>
    <w:p>
      <w:pPr>
        <w:pStyle w:val="FirstParagraph"/>
      </w:pPr>
      <w:r>
        <w:t xml:space="preserve">All test trials without voice-over description were included in our analyses. We ran all analyses in R version 4.3.0 (2023-04-21)</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w:t>
      </w:r>
      <w:r>
        <w:t xml:space="preserve"> </w:t>
      </w:r>
      <w:r>
        <w:rPr>
          <w:rStyle w:val="VerbatimChar"/>
        </w:rPr>
        <w:t xml:space="preserve">R: performance ~ age + datacollection + (symmetricPosition | subjID) + (1 | targetPosition)</w:t>
      </w:r>
      <w:r>
        <w:t xml:space="preserve">). Here,</w:t>
      </w:r>
      <w:r>
        <w:t xml:space="preserve"> </w:t>
      </w:r>
      <w:r>
        <w:rPr>
          <w:rStyle w:val="VerbatimChar"/>
        </w:rPr>
        <w:t xml:space="preserve">targetPosition</w:t>
      </w:r>
      <w:r>
        <w:t xml:space="preserve"> </w:t>
      </w:r>
      <w:r>
        <w:t xml:space="preserve">refers to the exact bin/box of the target, while</w:t>
      </w:r>
      <w:r>
        <w:t xml:space="preserve"> </w:t>
      </w:r>
      <w:r>
        <w:rPr>
          <w:rStyle w:val="VerbatimChar"/>
        </w:rPr>
        <w:t xml:space="preserve">symmetricPosition</w:t>
      </w:r>
      <w:r>
        <w:t xml:space="preserve"> </w:t>
      </w:r>
      <w:r>
        <w:t xml:space="preserve">refers to the absolute distance from the stimulus center (i.e., smaller value meaning more central target position). We expected that trials could differ in their difficulty depending on the target centrality and that these item effects could vary between participants.</w:t>
      </w:r>
    </w:p>
    <w:p>
      <w:pPr>
        <w:pStyle w:val="Textkrper"/>
      </w:pPr>
      <w:r>
        <w:t xml:space="preserve">For the hedge version, performance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 For the box version, the model predicted correct responses (0/1) using a</w:t>
      </w:r>
      <w:r>
        <w:t xml:space="preserve"> </w:t>
      </w:r>
      <w:r>
        <w:rPr>
          <w:rStyle w:val="VerbatimChar"/>
        </w:rPr>
        <w:t xml:space="preserve">Bernoulli</w:t>
      </w:r>
      <w:r>
        <w:t xml:space="preserve"> </w:t>
      </w:r>
      <w:r>
        <w:t xml:space="preserve">distribution with a logit link function. 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0" name="Picture"/>
            <a:graphic>
              <a:graphicData uri="http://schemas.openxmlformats.org/drawingml/2006/picture">
                <pic:pic>
                  <pic:nvPicPr>
                    <pic:cNvPr descr="../figures/lifespan_plot.png" id="41"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2" w:name="fig:fig2"/>
      <w:bookmarkEnd w:id="42"/>
      <w:r>
        <w:t xml:space="preserve">Figure</w:t>
      </w:r>
      <w:r>
        <w:rPr>
          <w:iCs/>
          <w:i/>
        </w:rPr>
        <w:t xml:space="preserve"> </w:t>
      </w:r>
      <w:r>
        <w:t xml:space="preserve">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3"/>
    <w:bookmarkStart w:id="44" w:name="discussion"/>
    <w:p>
      <w:pPr>
        <w:pStyle w:val="berschrift2"/>
      </w:pPr>
      <w:r>
        <w:t xml:space="preserve">Discussion</w:t>
      </w:r>
    </w:p>
    <w:p>
      <w:pPr>
        <w:pStyle w:val="FirstParagraph"/>
      </w:pPr>
      <w:r>
        <w:t xml:space="preserve">Three-year-olds were surprisingly inaccurate in their responses. One possible explanation could be that they simply lacked the ability to complete the task, potentially due to issues in gaze following. Contrasting our results with previous findings on infant gaze following, this explanation is unlikely. A more likely explanation would be that children were able to follow the agent’s gaze but struggled to translate this implicit understanding into active behavior.</w:t>
      </w:r>
    </w:p>
    <w:p>
      <w:pPr>
        <w:pStyle w:val="Textkrper"/>
      </w:pPr>
      <w:r>
        <w:t xml:space="preserve">Another point to keep in mind is that we used subtle eye movements as cues. Many existing studies let the agents move eye and head in parallel, therefore establishing a confound with greater (head) movement. Relying exclusively on the eye movement might be trickier for children than when presented with a combined eye and head orientation.</w:t>
      </w:r>
    </w:p>
    <w:p>
      <w:pPr>
        <w:pStyle w:val="Textkrper"/>
      </w:pPr>
      <w:r>
        <w:t xml:space="preserve">The performance of the youngest children seems more consistent with performance demands than with a failure in gaze following.</w:t>
      </w:r>
    </w:p>
    <w:bookmarkEnd w:id="44"/>
    <w:bookmarkEnd w:id="45"/>
    <w:bookmarkStart w:id="55" w:name="computational-cognitive-model"/>
    <w:p>
      <w:pPr>
        <w:pStyle w:val="berschrift1"/>
      </w:pPr>
      <w:r>
        <w:t xml:space="preserve">Computational cognitive model</w:t>
      </w:r>
    </w:p>
    <w:p>
      <w:pPr>
        <w:numPr>
          <w:ilvl w:val="0"/>
          <w:numId w:val="1004"/>
        </w:numPr>
        <w:pStyle w:val="Compact"/>
      </w:pPr>
      <w:r>
        <w:t xml:space="preserve">model auch für warum ältere Erwachsene schlecht? anders schlecht als kinder?</w:t>
      </w:r>
    </w:p>
    <w:p>
      <w:pPr>
        <w:numPr>
          <w:ilvl w:val="0"/>
          <w:numId w:val="1004"/>
        </w:numPr>
        <w:pStyle w:val="Compact"/>
      </w:pPr>
      <w:r>
        <w:t xml:space="preserve">entwicklungsperspektive basierend auf model</w:t>
      </w:r>
    </w:p>
    <w:p>
      <w:pPr>
        <w:numPr>
          <w:ilvl w:val="0"/>
          <w:numId w:val="1004"/>
        </w:numPr>
        <w:pStyle w:val="Compact"/>
      </w:pPr>
      <w:r>
        <w:t xml:space="preserve">dann prozess-ebene = magnet</w:t>
      </w:r>
    </w:p>
    <w:bookmarkStart w:id="46" w:name="participants-1"/>
    <w:p>
      <w:pPr>
        <w:pStyle w:val="berschrift2"/>
      </w:pPr>
      <w:r>
        <w:t xml:space="preserve">Participants</w:t>
      </w:r>
    </w:p>
    <w:p>
      <w:pPr>
        <w:pStyle w:val="FirstParagraph"/>
      </w:pPr>
      <w:r>
        <w:t xml:space="preserve">The sample included the 60 three- to five-year-old children and 50 adults from our Lifespan study. For age distributions, see Participant section of the Lifespan Study.</w:t>
      </w:r>
    </w:p>
    <w:p>
      <w:pPr>
        <w:pStyle w:val="Textkrper"/>
      </w:pPr>
      <w:r>
        <w:t xml:space="preserve">out of convenience, we only used … since developmental chnage was minimial in adutls we used …</w:t>
      </w:r>
    </w:p>
    <w:bookmarkEnd w:id="46"/>
    <w:bookmarkStart w:id="47" w:name="procedure-1"/>
    <w:p>
      <w:pPr>
        <w:pStyle w:val="berschrift2"/>
      </w:pPr>
      <w:r>
        <w:t xml:space="preserve">Procedure</w:t>
      </w:r>
    </w:p>
    <w:bookmarkEnd w:id="47"/>
    <w:bookmarkStart w:id="48" w:name="analysis-1"/>
    <w:p>
      <w:pPr>
        <w:pStyle w:val="berschrift2"/>
      </w:pPr>
      <w:r>
        <w:t xml:space="preserve">Analysis</w:t>
      </w:r>
    </w:p>
    <w:bookmarkEnd w:id="48"/>
    <w:bookmarkStart w:id="53" w:name="results-1"/>
    <w:p>
      <w:pPr>
        <w:pStyle w:val="berschrift2"/>
      </w:pPr>
      <w:r>
        <w:t xml:space="preserve">Results</w:t>
      </w:r>
    </w:p>
    <w:p>
      <w:pPr>
        <w:pStyle w:val="CaptionedFigure"/>
      </w:pPr>
      <w:r>
        <w:drawing>
          <wp:inline>
            <wp:extent cx="5969000" cy="2507763"/>
            <wp:effectExtent b="0" l="0" r="0" t="0"/>
            <wp:docPr descr="Figure 3: Gaze funnel" title="" id="50" name="Picture"/>
            <a:graphic>
              <a:graphicData uri="http://schemas.openxmlformats.org/drawingml/2006/picture">
                <pic:pic>
                  <pic:nvPicPr>
                    <pic:cNvPr descr="../figures/gazefunnel_combined.png" id="51" name="Picture"/>
                    <pic:cNvPicPr>
                      <a:picLocks noChangeArrowheads="1" noChangeAspect="1"/>
                    </pic:cNvPicPr>
                  </pic:nvPicPr>
                  <pic:blipFill>
                    <a:blip r:embed="rId49"/>
                    <a:stretch>
                      <a:fillRect/>
                    </a:stretch>
                  </pic:blipFill>
                  <pic:spPr bwMode="auto">
                    <a:xfrm>
                      <a:off x="0" y="0"/>
                      <a:ext cx="5969000" cy="2507763"/>
                    </a:xfrm>
                    <a:prstGeom prst="rect">
                      <a:avLst/>
                    </a:prstGeom>
                    <a:noFill/>
                    <a:ln w="9525">
                      <a:noFill/>
                      <a:headEnd/>
                      <a:tailEnd/>
                    </a:ln>
                  </pic:spPr>
                </pic:pic>
              </a:graphicData>
            </a:graphic>
          </wp:inline>
        </w:drawing>
      </w:r>
    </w:p>
    <w:p>
      <w:pPr>
        <w:pStyle w:val="ImageCaption"/>
      </w:pPr>
      <w:bookmarkStart w:id="52" w:name="fig:fig3"/>
      <w:bookmarkEnd w:id="52"/>
      <w:r>
        <w:t xml:space="preserve">Figure</w:t>
      </w:r>
      <w:r>
        <w:rPr>
          <w:iCs/>
          <w:i/>
        </w:rPr>
        <w:t xml:space="preserve"> </w:t>
      </w:r>
      <w:r>
        <w:t xml:space="preserve">3:</w:t>
      </w:r>
      <w:r>
        <w:t xml:space="preserve"> </w:t>
      </w:r>
      <w:r>
        <w:rPr>
          <w:bCs/>
          <w:b/>
        </w:rPr>
        <w:t xml:space="preserve">Gaze funnel</w:t>
      </w:r>
    </w:p>
    <w:bookmarkEnd w:id="53"/>
    <w:bookmarkStart w:id="54" w:name="discussion-1"/>
    <w:p>
      <w:pPr>
        <w:pStyle w:val="berschrift2"/>
      </w:pPr>
      <w:r>
        <w:t xml:space="preserve">Discussion</w:t>
      </w:r>
    </w:p>
    <w:bookmarkEnd w:id="54"/>
    <w:bookmarkEnd w:id="55"/>
    <w:bookmarkStart w:id="69" w:name="components-of-gaze-understanding"/>
    <w:p>
      <w:pPr>
        <w:pStyle w:val="berschrift1"/>
      </w:pPr>
      <w:r>
        <w:t xml:space="preserve">Components of gaze understanding</w:t>
      </w:r>
    </w:p>
    <w:p>
      <w:pPr>
        <w:pStyle w:val="FirstParagraph"/>
      </w:pPr>
      <w:r>
        <w:t xml:space="preserve">Our computational cognitive model assumes that the ability to engage in vector estimation is a crucial component of mastering gaze understanding. In this study, we sought to inquire whether there are any other cognitive processes outside vector-following that constitute gaze understanding. We aimed to assess whether there are exclusively task-specific processes at hand or whether gaze understanding recruits a general social-cognitive ability that is shared among other social-cognitive tasks.</w:t>
      </w:r>
    </w:p>
    <w:p>
      <w:pPr>
        <w:pStyle w:val="Textkrper"/>
      </w:pPr>
      <w:r>
        <w:t xml:space="preserve">First, we aimed at isolating the vector-following part of the gaze understanding task. For this, we designed a new non-social vector estimation task that shared all crucial design features of the understanding task. Additionally, we administered a ToM task battery, comprising 4 tasks from the ToM scale by Wellman and Liu (2004) and two additional perspective-taking tasks.</w:t>
      </w:r>
    </w:p>
    <w:p>
      <w:pPr>
        <w:pStyle w:val="Textkrper"/>
      </w:pPr>
      <w:r>
        <w:t xml:space="preserve">Our reasoning was that the gaze understanding task shares task demands with the non-social vector estimation task, while it shares its social context with the ToM tasks. This way, we can disentangle which components comprise gaze understanding. In this way, we can find out what contribution each component makes to explain gaze understanding.</w:t>
      </w:r>
    </w:p>
    <w:p>
      <w:pPr>
        <w:pStyle w:val="Textkrper"/>
      </w:pPr>
      <w:r>
        <w:t xml:space="preserve">Task design, data collection, and sample sizes were pre-registered:</w:t>
      </w:r>
      <w:r>
        <w:t xml:space="preserve"> </w:t>
      </w:r>
      <w:hyperlink r:id="rId56">
        <w:r>
          <w:rPr>
            <w:rStyle w:val="Hyperlink"/>
          </w:rPr>
          <w:t xml:space="preserve">https://osf.io/xsqkt</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February and March 2023.</w:t>
      </w:r>
    </w:p>
    <w:bookmarkStart w:id="57"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w:t>
      </w:r>
    </w:p>
    <w:bookmarkEnd w:id="57"/>
    <w:bookmarkStart w:id="61"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design. All participants performed the following tasks in a fixed order: (1) non-social vector estimation task, (2) ToM task battery, (3) gaze understanding task. Several reasons motivated the decision. First, we decided for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gaze understanding task, so that participants would not be biased to interpret the presented stimuli as</w:t>
      </w:r>
      <w:r>
        <w:t xml:space="preserve"> </w:t>
      </w:r>
      <w:r>
        <w:t xml:space="preserve">“</w:t>
      </w:r>
      <w:r>
        <w:t xml:space="preserve">eye- /</w:t>
      </w:r>
      <w:r>
        <w:t xml:space="preserve">”</w:t>
      </w:r>
      <w:r>
        <w:t xml:space="preserve">agent-like”.</w:t>
      </w:r>
    </w:p>
    <w:bookmarkStart w:id="58" w:name="non-social-vector-estimation"/>
    <w:p>
      <w:pPr>
        <w:pStyle w:val="berschrift3"/>
      </w:pPr>
      <w:r>
        <w:t xml:space="preserve">Non-social vector estimation.</w:t>
      </w:r>
    </w:p>
    <w:p>
      <w:pPr>
        <w:pStyle w:val="FirstParagraph"/>
      </w:pPr>
      <w:r>
        <w:t xml:space="preserve">Modeling the setup and structure of the previously applied gaze understanding task, we designed a non-social vector estimation task. This task was also presented as a webapp and made use of the concept of magnetism. The setup looked as follows. On the upper part of the screen, there was a tube with a gearwheel, located in a circular window. On the floor, there laid a magnet. The magnet then got switched on (making a cartoon-like sound), whereupon the gearwheel moved towards the magnet. The gearwheel moved in a way that its center aligned with the center of the magnet.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the touch training, participants had full visual access to the magnet’s location (i.e., no wooden wall). In familiarization trials, participants had partial visual access, since the wooden wall was moved in front of the target after the magnet’s location was already visible. In test trials, participants have no visual access to the magnet location, because the wall covers the magnet from the beginning of the trial.</w:t>
      </w:r>
    </w:p>
    <w:p>
      <w:pPr>
        <w:pStyle w:val="Textkrper"/>
      </w:pPr>
      <w:r>
        <w:t xml:space="preserve">Children received 19 trials with one touch training, two familiarization trials, and 16 test trials each. The first trial of each type comprised a voice-over description of the presented events. We conducted our analysis with 15 test trials, excluding the touch, familiarization, and voice-over trials.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58"/>
    <w:bookmarkStart w:id="59"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 with the aim of increasing the task battery’s difficulty. The dependent variable was the aggregate score of all solved ToM tasks. 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59"/>
    <w:bookmarkStart w:id="60"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2022)</w:t>
      </w:r>
      <w:r>
        <w:t xml:space="preserve">. Children were tested on a tablet.</w:t>
      </w:r>
    </w:p>
    <w:bookmarkEnd w:id="60"/>
    <w:bookmarkEnd w:id="61"/>
    <w:bookmarkStart w:id="62" w:name="analysis-2"/>
    <w:p>
      <w:pPr>
        <w:pStyle w:val="berschrift2"/>
      </w:pPr>
      <w:r>
        <w:t xml:space="preserve">Analysis</w:t>
      </w:r>
    </w:p>
    <w:p>
      <w:pPr>
        <w:pStyle w:val="FirstParagraph"/>
      </w:pPr>
      <w:r>
        <w:t xml:space="preserve">By design, both the gaze understanding task as well as the non-social vector estimation task involve vector estimation. On the basis of the results from our computational cognitive model, we expected that children’s performance in both tasks correlate significantly. For these two tasks, we calculated the mean level of imprecision for each subject. We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can imagine two possible scenarios: (A) If gaze understanding recruits a general social-cognitive ability beyond vector estimation, we expect that gaze understanding and ToM measures are more strongly correlated than non-social vector estimation and ToM measures. (B) If gaze understanding relies purely on task-specific processes, then the correlation between gaze understanding and ToM measures will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w:t>
      </w:r>
    </w:p>
    <w:p>
      <w:pPr>
        <w:pStyle w:val="Textkrper"/>
      </w:pPr>
      <w:r>
        <w:t xml:space="preserve">Furthermore, to estimate which components contribute to gaze understanding, we conducted a model comparison with GLMMs predicting the mean imprecision in gaze understanding by age, non-social vector estimation, the ToM aggregate score, or the aggregate of the two perspective-taking tasks (subset of ToM battery; example of model notation in`R: tango_mean ~ age_centered + magnet_scaled + perspective_scaled`). The outcome variable was modeled by a lognormal distribution. With this analysis, we wanted to assess whether the ToM aggregate score or the singled-out perspective-taking score added additional explanatory value.</w:t>
      </w:r>
    </w:p>
    <w:bookmarkEnd w:id="62"/>
    <w:bookmarkStart w:id="67"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 Importantly, however, the two vector estimation tasks were not redundant: only a part of the variance in gaze understanding could be explained by non-social vector estimation.</w:t>
      </w:r>
    </w:p>
    <w:p>
      <w:pPr>
        <w:pStyle w:val="Textkrper"/>
      </w:pPr>
      <w:r>
        <w:t xml:space="preserve">Our model comparison corroborated this: evidently, gaze understanding was best predicted by non-social vector estimation and perspective-taking. This shows that the gaze understanding task recruits social-cognitive abilities beyond vector estimation.</w:t>
      </w:r>
    </w:p>
    <w:p>
      <w:pPr>
        <w:pStyle w:val="CaptionedFigure"/>
      </w:pPr>
      <w:r>
        <w:drawing>
          <wp:inline>
            <wp:extent cx="5969000" cy="1989666"/>
            <wp:effectExtent b="0" l="0" r="0" t="0"/>
            <wp:docPr descr="Figure 4: Components of gaze understanding" title="" id="64" name="Picture"/>
            <a:graphic>
              <a:graphicData uri="http://schemas.openxmlformats.org/drawingml/2006/picture">
                <pic:pic>
                  <pic:nvPicPr>
                    <pic:cNvPr descr="../figures/magnet_arrangedplot.png" id="65" name="Picture"/>
                    <pic:cNvPicPr>
                      <a:picLocks noChangeArrowheads="1" noChangeAspect="1"/>
                    </pic:cNvPicPr>
                  </pic:nvPicPr>
                  <pic:blipFill>
                    <a:blip r:embed="rId63"/>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66" w:name="fig:fig4"/>
      <w:bookmarkEnd w:id="66"/>
      <w:r>
        <w:t xml:space="preserve">Figure</w:t>
      </w:r>
      <w:r>
        <w:rPr>
          <w:iCs/>
          <w:i/>
        </w:rPr>
        <w:t xml:space="preserve"> </w:t>
      </w:r>
      <w:r>
        <w:t xml:space="preserve">4:</w:t>
      </w:r>
      <w:r>
        <w:t xml:space="preserve"> </w:t>
      </w:r>
      <w:r>
        <w:rPr>
          <w:bCs/>
          <w:b/>
        </w:rPr>
        <w:t xml:space="preserve">Components of gaze understanding</w:t>
      </w:r>
    </w:p>
    <w:bookmarkEnd w:id="67"/>
    <w:bookmarkStart w:id="68" w:name="discussion-2"/>
    <w:p>
      <w:pPr>
        <w:pStyle w:val="berschrift2"/>
      </w:pPr>
      <w:r>
        <w:t xml:space="preserve">Discussion</w:t>
      </w:r>
    </w:p>
    <w:p>
      <w:pPr>
        <w:pStyle w:val="FirstParagraph"/>
      </w:pPr>
      <w:r>
        <w:t xml:space="preserve">In previous work, we could establish that the TANGO is suited as an individual differences measure</w:t>
      </w:r>
      <w:r>
        <w:t xml:space="preserve"> </w:t>
      </w:r>
      <w:r>
        <w:t xml:space="preserve">(Prein et al., 2022)</w:t>
      </w:r>
      <w:r>
        <w:t xml:space="preserve">. Capturing meaningful variability in performance is a crucial task feature when we are interested in revealing the relationship between different cognitive abilities.</w:t>
      </w:r>
    </w:p>
    <w:p>
      <w:pPr>
        <w:pStyle w:val="Textkrper"/>
      </w:pPr>
      <w:r>
        <w:t xml:space="preserve">It seems noteworthy to point out that lower correlations between ToM skills and gaze understanding could be grounded in the design features of the applied ToM tasks. The tasks we used to measure ToM skills were not designed to capture individual differences: they rely on an aggregate score of dichotomous measures. These sum scores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The development of new measures to capture individual differences in social-cognitive abilities like false-belief understanding seems desirable and essential to move this line of research further.</w:t>
      </w:r>
    </w:p>
    <w:bookmarkEnd w:id="68"/>
    <w:bookmarkEnd w:id="69"/>
    <w:bookmarkStart w:id="70" w:name="general-discussion"/>
    <w:p>
      <w:pPr>
        <w:pStyle w:val="berschrift1"/>
      </w:pPr>
      <w:r>
        <w:t xml:space="preserve">General discussion</w:t>
      </w:r>
    </w:p>
    <w:bookmarkEnd w:id="70"/>
    <w:bookmarkStart w:id="71" w:name="limitations"/>
    <w:p>
      <w:pPr>
        <w:pStyle w:val="berschrift1"/>
      </w:pPr>
      <w:r>
        <w:t xml:space="preserve">Limitations</w:t>
      </w:r>
    </w:p>
    <w:bookmarkEnd w:id="71"/>
    <w:bookmarkStart w:id="72" w:name="conclusion"/>
    <w:p>
      <w:pPr>
        <w:pStyle w:val="berschrift1"/>
      </w:pPr>
      <w:r>
        <w:t xml:space="preserve">Conclusion</w:t>
      </w:r>
    </w:p>
    <w:p>
      <w:r>
        <w:br w:type="page"/>
      </w:r>
    </w:p>
    <w:bookmarkEnd w:id="72"/>
    <w:bookmarkStart w:id="81" w:name="declarations"/>
    <w:p>
      <w:pPr>
        <w:pStyle w:val="berschrift1"/>
      </w:pPr>
      <w:r>
        <w:t xml:space="preserve">Declarations</w:t>
      </w:r>
    </w:p>
    <w:bookmarkStart w:id="76" w:name="open-practices-statement"/>
    <w:p>
      <w:pPr>
        <w:pStyle w:val="berschrift2"/>
      </w:pPr>
      <w:r>
        <w:t xml:space="preserve">Open practices statement</w:t>
      </w:r>
    </w:p>
    <w:p>
      <w:pPr>
        <w:pStyle w:val="FirstParagraph"/>
      </w:pPr>
      <w:r>
        <w:t xml:space="preserve">The web application (</w:t>
      </w:r>
      <w:hyperlink r:id="rId73">
        <w:r>
          <w:rPr>
            <w:rStyle w:val="Hyperlink"/>
          </w:rPr>
          <w:t xml:space="preserve">https://ccp-odc.eva.mpg.de/tango-demo/</w:t>
        </w:r>
      </w:hyperlink>
      <w:r>
        <w:t xml:space="preserve">) described here is open source (</w:t>
      </w:r>
      <w:hyperlink r:id="rId31">
        <w:r>
          <w:rPr>
            <w:rStyle w:val="Hyperlink"/>
          </w:rPr>
          <w:t xml:space="preserve">https://github.com/ccp-eva/tango-demo</w:t>
        </w:r>
      </w:hyperlink>
      <w:r>
        <w:t xml:space="preserve">). The data sets generated during and/or analysed during the current study are available in the [gazecues-modeling] repository (</w:t>
      </w:r>
      <w:hyperlink r:id="rId74">
        <w:r>
          <w:rPr>
            <w:rStyle w:val="Hyperlink"/>
          </w:rPr>
          <w:t xml:space="preserve">https://github.com/ccp-eva/gazecues-modeling</w:t>
        </w:r>
      </w:hyperlink>
      <w:r>
        <w:t xml:space="preserve">). All experiments were pre-registered (</w:t>
      </w:r>
      <w:hyperlink r:id="rId75">
        <w:r>
          <w:rPr>
            <w:rStyle w:val="Hyperlink"/>
          </w:rPr>
          <w:t xml:space="preserve">https://osf.io/zjhsc/</w:t>
        </w:r>
      </w:hyperlink>
      <w:r>
        <w:t xml:space="preserve">).</w:t>
      </w:r>
    </w:p>
    <w:bookmarkEnd w:id="76"/>
    <w:bookmarkStart w:id="77"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bookmarkEnd w:id="77"/>
    <w:bookmarkStart w:id="78" w:name="conflicts-of-interest"/>
    <w:p>
      <w:pPr>
        <w:pStyle w:val="berschrift2"/>
      </w:pPr>
      <w:r>
        <w:t xml:space="preserve">Conflicts of interest</w:t>
      </w:r>
    </w:p>
    <w:p>
      <w:pPr>
        <w:pStyle w:val="FirstParagraph"/>
      </w:pPr>
      <w:r>
        <w:t xml:space="preserve">The authors declare that they have no conflict of interest.</w:t>
      </w:r>
    </w:p>
    <w:bookmarkEnd w:id="78"/>
    <w:bookmarkStart w:id="79"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79"/>
    <w:bookmarkStart w:id="80" w:name="authors-contributions"/>
    <w:p>
      <w:pPr>
        <w:pStyle w:val="berschrift2"/>
      </w:pPr>
      <w:r>
        <w:t xml:space="preserve">Authors’ contributions</w:t>
      </w:r>
    </w:p>
    <w:p>
      <w:pPr>
        <w:pStyle w:val="FirstParagraph"/>
      </w:pPr>
      <w:r>
        <w:t xml:space="preserve">The authors made the following contributions: ### TODO</w:t>
      </w:r>
    </w:p>
    <w:p>
      <w:r>
        <w:br w:type="page"/>
      </w:r>
    </w:p>
    <w:bookmarkEnd w:id="80"/>
    <w:bookmarkEnd w:id="81"/>
    <w:bookmarkStart w:id="134" w:name="references"/>
    <w:p>
      <w:pPr>
        <w:pStyle w:val="berschrift1"/>
      </w:pPr>
      <w:r>
        <w:t xml:space="preserve">References</w:t>
      </w:r>
    </w:p>
    <w:bookmarkStart w:id="133" w:name="refs"/>
    <w:bookmarkStart w:id="83"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2">
        <w:r>
          <w:rPr>
            <w:rStyle w:val="Hyperlink"/>
          </w:rPr>
          <w:t xml:space="preserve">https://doi.org/10.1016/bs.acdb.2022.04.003</w:t>
        </w:r>
      </w:hyperlink>
    </w:p>
    <w:bookmarkEnd w:id="83"/>
    <w:bookmarkStart w:id="85"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4">
        <w:r>
          <w:rPr>
            <w:rStyle w:val="Hyperlink"/>
          </w:rPr>
          <w:t xml:space="preserve">https://doi.org/10.1111/j.1467-7687.2005.00440.x</w:t>
        </w:r>
      </w:hyperlink>
    </w:p>
    <w:bookmarkEnd w:id="85"/>
    <w:bookmarkStart w:id="87"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6">
        <w:r>
          <w:rPr>
            <w:rStyle w:val="Hyperlink"/>
          </w:rPr>
          <w:t xml:space="preserve">https://doi.org/10.1037/0012-1649.38.6.958</w:t>
        </w:r>
      </w:hyperlink>
    </w:p>
    <w:bookmarkEnd w:id="87"/>
    <w:bookmarkStart w:id="89"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88">
        <w:r>
          <w:rPr>
            <w:rStyle w:val="Hyperlink"/>
          </w:rPr>
          <w:t xml:space="preserve">https://doi.org/10.18637/jss.v080.i01</w:t>
        </w:r>
      </w:hyperlink>
    </w:p>
    <w:bookmarkEnd w:id="89"/>
    <w:bookmarkStart w:id="91"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0">
        <w:r>
          <w:rPr>
            <w:rStyle w:val="Hyperlink"/>
          </w:rPr>
          <w:t xml:space="preserve">https://doi.org/10.32614/RJ-2018-017</w:t>
        </w:r>
      </w:hyperlink>
    </w:p>
    <w:bookmarkEnd w:id="91"/>
    <w:bookmarkStart w:id="93"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2">
        <w:r>
          <w:rPr>
            <w:rStyle w:val="Hyperlink"/>
          </w:rPr>
          <w:t xml:space="preserve">https://doi.org/10.1111/j.2044-835X.1991.tb00862.x</w:t>
        </w:r>
      </w:hyperlink>
    </w:p>
    <w:bookmarkEnd w:id="93"/>
    <w:bookmarkStart w:id="95" w:name="ref-carpenter1998social"/>
    <w:p>
      <w:pPr>
        <w:pStyle w:val="Literaturverzeichnis"/>
      </w:pPr>
      <w:r>
        <w:t xml:space="preserve">Carpenter, M., Nagell, K., &amp; Tomasello, M. (1998).</w:t>
      </w:r>
      <w:r>
        <w:t xml:space="preserve"> </w:t>
      </w:r>
      <w:hyperlink r:id="rId94">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5"/>
    <w:bookmarkStart w:id="97"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96">
        <w:r>
          <w:rPr>
            <w:rStyle w:val="Hyperlink"/>
          </w:rPr>
          <w:t xml:space="preserve">https://doi.org/10.1163/156856806779194026</w:t>
        </w:r>
      </w:hyperlink>
    </w:p>
    <w:bookmarkEnd w:id="97"/>
    <w:bookmarkStart w:id="99"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98">
        <w:r>
          <w:rPr>
            <w:rStyle w:val="Hyperlink"/>
          </w:rPr>
          <w:t xml:space="preserve">https://doi.org/10.1146/annurev.psych.52.1.337</w:t>
        </w:r>
      </w:hyperlink>
    </w:p>
    <w:bookmarkEnd w:id="99"/>
    <w:bookmarkStart w:id="101"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0">
        <w:r>
          <w:rPr>
            <w:rStyle w:val="Hyperlink"/>
          </w:rPr>
          <w:t xml:space="preserve">https://doi.org/10.1016/S0163-6383(97)90048-5</w:t>
        </w:r>
      </w:hyperlink>
    </w:p>
    <w:bookmarkEnd w:id="101"/>
    <w:bookmarkStart w:id="103"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02">
        <w:r>
          <w:rPr>
            <w:rStyle w:val="Hyperlink"/>
          </w:rPr>
          <w:t xml:space="preserve">https://doi.org/10.1037/0033-2909.133.4.694</w:t>
        </w:r>
      </w:hyperlink>
    </w:p>
    <w:bookmarkEnd w:id="103"/>
    <w:bookmarkStart w:id="105"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04">
        <w:r>
          <w:rPr>
            <w:rStyle w:val="Hyperlink"/>
          </w:rPr>
          <w:t xml:space="preserve">https://doi.org/10.1037/0012-1649.40.2.177</w:t>
        </w:r>
      </w:hyperlink>
    </w:p>
    <w:bookmarkEnd w:id="105"/>
    <w:bookmarkStart w:id="107"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06">
        <w:r>
          <w:rPr>
            <w:rStyle w:val="Hyperlink"/>
          </w:rPr>
          <w:t xml:space="preserve">https://doi.org/10.1037/0735-7036.112.2.119</w:t>
        </w:r>
      </w:hyperlink>
    </w:p>
    <w:bookmarkEnd w:id="107"/>
    <w:bookmarkStart w:id="109"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08">
        <w:r>
          <w:rPr>
            <w:rStyle w:val="Hyperlink"/>
          </w:rPr>
          <w:t xml:space="preserve">https://doi.org/10.1037//0012-1649.34.3.525</w:t>
        </w:r>
      </w:hyperlink>
    </w:p>
    <w:bookmarkEnd w:id="109"/>
    <w:bookmarkStart w:id="111"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10">
        <w:r>
          <w:rPr>
            <w:rStyle w:val="Hyperlink"/>
          </w:rPr>
          <w:t xml:space="preserve">https://doi.org/10.1111/j.1467-7687.2004.00315.x</w:t>
        </w:r>
      </w:hyperlink>
    </w:p>
    <w:bookmarkEnd w:id="111"/>
    <w:bookmarkStart w:id="113"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12">
        <w:r>
          <w:rPr>
            <w:rStyle w:val="Hyperlink"/>
          </w:rPr>
          <w:t xml:space="preserve">https://doi.org/10.1016/S0163-6383(97)90063-1</w:t>
        </w:r>
      </w:hyperlink>
    </w:p>
    <w:bookmarkEnd w:id="113"/>
    <w:bookmarkStart w:id="115"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14">
        <w:r>
          <w:rPr>
            <w:rStyle w:val="Hyperlink"/>
          </w:rPr>
          <w:t xml:space="preserve">https://doi.org/10.1016/j.jbef.2017.12.004</w:t>
        </w:r>
      </w:hyperlink>
    </w:p>
    <w:bookmarkEnd w:id="115"/>
    <w:bookmarkStart w:id="117"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16">
        <w:r>
          <w:rPr>
            <w:rStyle w:val="Hyperlink"/>
          </w:rPr>
          <w:t xml:space="preserve">https://doi.org/10.1016/S0885-2014(97)90017-4</w:t>
        </w:r>
      </w:hyperlink>
    </w:p>
    <w:bookmarkEnd w:id="117"/>
    <w:bookmarkStart w:id="119"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118">
        <w:r>
          <w:rPr>
            <w:rStyle w:val="Hyperlink"/>
          </w:rPr>
          <w:t xml:space="preserve">https://doi.org/10.31234/osf.io/vghw8</w:t>
        </w:r>
      </w:hyperlink>
    </w:p>
    <w:bookmarkEnd w:id="119"/>
    <w:bookmarkStart w:id="120"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20"/>
    <w:bookmarkStart w:id="122"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21">
        <w:r>
          <w:rPr>
            <w:rStyle w:val="Hyperlink"/>
          </w:rPr>
          <w:t xml:space="preserve">https://doi.org/10.1111/desc.12593</w:t>
        </w:r>
      </w:hyperlink>
    </w:p>
    <w:bookmarkEnd w:id="122"/>
    <w:bookmarkStart w:id="124"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23">
        <w:r>
          <w:rPr>
            <w:rStyle w:val="Hyperlink"/>
          </w:rPr>
          <w:t xml:space="preserve">https://doi.org/10.1038/253265a0</w:t>
        </w:r>
      </w:hyperlink>
    </w:p>
    <w:bookmarkEnd w:id="124"/>
    <w:bookmarkStart w:id="126"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25">
        <w:r>
          <w:rPr>
            <w:rStyle w:val="Hyperlink"/>
          </w:rPr>
          <w:t xml:space="preserve">https://doi.org/10.1162/opmi_a_00049</w:t>
        </w:r>
      </w:hyperlink>
    </w:p>
    <w:bookmarkEnd w:id="126"/>
    <w:bookmarkStart w:id="128"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27">
        <w:r>
          <w:rPr>
            <w:rStyle w:val="Hyperlink"/>
          </w:rPr>
          <w:t xml:space="preserve">https://doi.org/10.1016/j.jhevol.2006.10.001</w:t>
        </w:r>
      </w:hyperlink>
    </w:p>
    <w:bookmarkEnd w:id="128"/>
    <w:bookmarkStart w:id="130"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29">
        <w:r>
          <w:rPr>
            <w:rStyle w:val="Hyperlink"/>
          </w:rPr>
          <w:t xml:space="preserve">https://doi.org/10.1111/j.1467-8624.2004.00691.x</w:t>
        </w:r>
      </w:hyperlink>
    </w:p>
    <w:bookmarkEnd w:id="130"/>
    <w:bookmarkStart w:id="132"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31">
        <w:r>
          <w:rPr>
            <w:rStyle w:val="Hyperlink"/>
          </w:rPr>
          <w:t xml:space="preserve">https://doi.org/10.1016/j.neuropsychologia.2018.12.016</w:t>
        </w:r>
      </w:hyperlink>
    </w:p>
    <w:bookmarkEnd w:id="132"/>
    <w:bookmarkEnd w:id="133"/>
    <w:p>
      <w:r>
        <w:br w:type="page"/>
      </w:r>
    </w:p>
    <w:bookmarkEnd w:id="13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32" Target="media/rId32.png" /><Relationship Type="http://schemas.openxmlformats.org/officeDocument/2006/relationships/hyperlink" Id="rId73"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0" Target="https://doi.org/10.1016/S0163-6383(97)90048-5" TargetMode="External" /><Relationship Type="http://schemas.openxmlformats.org/officeDocument/2006/relationships/hyperlink" Id="rId112" Target="https://doi.org/10.1016/S0163-6383(97)90063-1" TargetMode="External" /><Relationship Type="http://schemas.openxmlformats.org/officeDocument/2006/relationships/hyperlink" Id="rId116" Target="https://doi.org/10.1016/S0885-2014(97)90017-4" TargetMode="External" /><Relationship Type="http://schemas.openxmlformats.org/officeDocument/2006/relationships/hyperlink" Id="rId82" Target="https://doi.org/10.1016/bs.acdb.2022.04.003" TargetMode="External" /><Relationship Type="http://schemas.openxmlformats.org/officeDocument/2006/relationships/hyperlink" Id="rId114" Target="https://doi.org/10.1016/j.jbef.2017.12.004" TargetMode="External" /><Relationship Type="http://schemas.openxmlformats.org/officeDocument/2006/relationships/hyperlink" Id="rId127" Target="https://doi.org/10.1016/j.jhevol.2006.10.001" TargetMode="External" /><Relationship Type="http://schemas.openxmlformats.org/officeDocument/2006/relationships/hyperlink" Id="rId131" Target="https://doi.org/10.1016/j.neuropsychologia.2018.12.016" TargetMode="External" /><Relationship Type="http://schemas.openxmlformats.org/officeDocument/2006/relationships/hyperlink" Id="rId108" Target="https://doi.org/10.1037//0012-1649.34.3.525" TargetMode="External" /><Relationship Type="http://schemas.openxmlformats.org/officeDocument/2006/relationships/hyperlink" Id="rId86" Target="https://doi.org/10.1037/0012-1649.38.6.958" TargetMode="External" /><Relationship Type="http://schemas.openxmlformats.org/officeDocument/2006/relationships/hyperlink" Id="rId104" Target="https://doi.org/10.1037/0012-1649.40.2.177" TargetMode="External" /><Relationship Type="http://schemas.openxmlformats.org/officeDocument/2006/relationships/hyperlink" Id="rId102" Target="https://doi.org/10.1037/0033-2909.133.4.694" TargetMode="External" /><Relationship Type="http://schemas.openxmlformats.org/officeDocument/2006/relationships/hyperlink" Id="rId106" Target="https://doi.org/10.1037/0735-7036.112.2.119" TargetMode="External" /><Relationship Type="http://schemas.openxmlformats.org/officeDocument/2006/relationships/hyperlink" Id="rId123" Target="https://doi.org/10.1038/253265a0" TargetMode="External" /><Relationship Type="http://schemas.openxmlformats.org/officeDocument/2006/relationships/hyperlink" Id="rId121" Target="https://doi.org/10.1111/desc.12593" TargetMode="External" /><Relationship Type="http://schemas.openxmlformats.org/officeDocument/2006/relationships/hyperlink" Id="rId110" Target="https://doi.org/10.1111/j.1467-7687.2004.00315.x" TargetMode="External" /><Relationship Type="http://schemas.openxmlformats.org/officeDocument/2006/relationships/hyperlink" Id="rId84" Target="https://doi.org/10.1111/j.1467-7687.2005.00440.x" TargetMode="External" /><Relationship Type="http://schemas.openxmlformats.org/officeDocument/2006/relationships/hyperlink" Id="rId129" Target="https://doi.org/10.1111/j.1467-8624.2004.00691.x" TargetMode="External" /><Relationship Type="http://schemas.openxmlformats.org/officeDocument/2006/relationships/hyperlink" Id="rId92" Target="https://doi.org/10.1111/j.2044-835X.1991.tb00862.x" TargetMode="External" /><Relationship Type="http://schemas.openxmlformats.org/officeDocument/2006/relationships/hyperlink" Id="rId98" Target="https://doi.org/10.1146/annurev.psych.52.1.337" TargetMode="External" /><Relationship Type="http://schemas.openxmlformats.org/officeDocument/2006/relationships/hyperlink" Id="rId125" Target="https://doi.org/10.1162/opmi_a_00049" TargetMode="External" /><Relationship Type="http://schemas.openxmlformats.org/officeDocument/2006/relationships/hyperlink" Id="rId96" Target="https://doi.org/10.1163/156856806779194026" TargetMode="External" /><Relationship Type="http://schemas.openxmlformats.org/officeDocument/2006/relationships/hyperlink" Id="rId88" Target="https://doi.org/10.18637/jss.v080.i01" TargetMode="External" /><Relationship Type="http://schemas.openxmlformats.org/officeDocument/2006/relationships/hyperlink" Id="rId118" Target="https://doi.org/10.31234/osf.io/vghw8" TargetMode="External" /><Relationship Type="http://schemas.openxmlformats.org/officeDocument/2006/relationships/hyperlink" Id="rId90" Target="https://doi.org/10.32614/RJ-2018-017" TargetMode="External" /><Relationship Type="http://schemas.openxmlformats.org/officeDocument/2006/relationships/hyperlink" Id="rId74"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56" Target="https://osf.io/xsqkt" TargetMode="External" /><Relationship Type="http://schemas.openxmlformats.org/officeDocument/2006/relationships/hyperlink" Id="rId75" Target="https://osf.io/zjhsc/" TargetMode="External" /><Relationship Type="http://schemas.openxmlformats.org/officeDocument/2006/relationships/hyperlink" Id="rId94" Target="https://www.ncbi.nlm.nih.gov/pubmed/9835078"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73"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0" Target="https://doi.org/10.1016/S0163-6383(97)90048-5" TargetMode="External" /><Relationship Type="http://schemas.openxmlformats.org/officeDocument/2006/relationships/hyperlink" Id="rId112" Target="https://doi.org/10.1016/S0163-6383(97)90063-1" TargetMode="External" /><Relationship Type="http://schemas.openxmlformats.org/officeDocument/2006/relationships/hyperlink" Id="rId116" Target="https://doi.org/10.1016/S0885-2014(97)90017-4" TargetMode="External" /><Relationship Type="http://schemas.openxmlformats.org/officeDocument/2006/relationships/hyperlink" Id="rId82" Target="https://doi.org/10.1016/bs.acdb.2022.04.003" TargetMode="External" /><Relationship Type="http://schemas.openxmlformats.org/officeDocument/2006/relationships/hyperlink" Id="rId114" Target="https://doi.org/10.1016/j.jbef.2017.12.004" TargetMode="External" /><Relationship Type="http://schemas.openxmlformats.org/officeDocument/2006/relationships/hyperlink" Id="rId127" Target="https://doi.org/10.1016/j.jhevol.2006.10.001" TargetMode="External" /><Relationship Type="http://schemas.openxmlformats.org/officeDocument/2006/relationships/hyperlink" Id="rId131" Target="https://doi.org/10.1016/j.neuropsychologia.2018.12.016" TargetMode="External" /><Relationship Type="http://schemas.openxmlformats.org/officeDocument/2006/relationships/hyperlink" Id="rId108" Target="https://doi.org/10.1037//0012-1649.34.3.525" TargetMode="External" /><Relationship Type="http://schemas.openxmlformats.org/officeDocument/2006/relationships/hyperlink" Id="rId86" Target="https://doi.org/10.1037/0012-1649.38.6.958" TargetMode="External" /><Relationship Type="http://schemas.openxmlformats.org/officeDocument/2006/relationships/hyperlink" Id="rId104" Target="https://doi.org/10.1037/0012-1649.40.2.177" TargetMode="External" /><Relationship Type="http://schemas.openxmlformats.org/officeDocument/2006/relationships/hyperlink" Id="rId102" Target="https://doi.org/10.1037/0033-2909.133.4.694" TargetMode="External" /><Relationship Type="http://schemas.openxmlformats.org/officeDocument/2006/relationships/hyperlink" Id="rId106" Target="https://doi.org/10.1037/0735-7036.112.2.119" TargetMode="External" /><Relationship Type="http://schemas.openxmlformats.org/officeDocument/2006/relationships/hyperlink" Id="rId123" Target="https://doi.org/10.1038/253265a0" TargetMode="External" /><Relationship Type="http://schemas.openxmlformats.org/officeDocument/2006/relationships/hyperlink" Id="rId121" Target="https://doi.org/10.1111/desc.12593" TargetMode="External" /><Relationship Type="http://schemas.openxmlformats.org/officeDocument/2006/relationships/hyperlink" Id="rId110" Target="https://doi.org/10.1111/j.1467-7687.2004.00315.x" TargetMode="External" /><Relationship Type="http://schemas.openxmlformats.org/officeDocument/2006/relationships/hyperlink" Id="rId84" Target="https://doi.org/10.1111/j.1467-7687.2005.00440.x" TargetMode="External" /><Relationship Type="http://schemas.openxmlformats.org/officeDocument/2006/relationships/hyperlink" Id="rId129" Target="https://doi.org/10.1111/j.1467-8624.2004.00691.x" TargetMode="External" /><Relationship Type="http://schemas.openxmlformats.org/officeDocument/2006/relationships/hyperlink" Id="rId92" Target="https://doi.org/10.1111/j.2044-835X.1991.tb00862.x" TargetMode="External" /><Relationship Type="http://schemas.openxmlformats.org/officeDocument/2006/relationships/hyperlink" Id="rId98" Target="https://doi.org/10.1146/annurev.psych.52.1.337" TargetMode="External" /><Relationship Type="http://schemas.openxmlformats.org/officeDocument/2006/relationships/hyperlink" Id="rId125" Target="https://doi.org/10.1162/opmi_a_00049" TargetMode="External" /><Relationship Type="http://schemas.openxmlformats.org/officeDocument/2006/relationships/hyperlink" Id="rId96" Target="https://doi.org/10.1163/156856806779194026" TargetMode="External" /><Relationship Type="http://schemas.openxmlformats.org/officeDocument/2006/relationships/hyperlink" Id="rId88" Target="https://doi.org/10.18637/jss.v080.i01" TargetMode="External" /><Relationship Type="http://schemas.openxmlformats.org/officeDocument/2006/relationships/hyperlink" Id="rId118" Target="https://doi.org/10.31234/osf.io/vghw8" TargetMode="External" /><Relationship Type="http://schemas.openxmlformats.org/officeDocument/2006/relationships/hyperlink" Id="rId90" Target="https://doi.org/10.32614/RJ-2018-017" TargetMode="External" /><Relationship Type="http://schemas.openxmlformats.org/officeDocument/2006/relationships/hyperlink" Id="rId74"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56" Target="https://osf.io/xsqkt" TargetMode="External" /><Relationship Type="http://schemas.openxmlformats.org/officeDocument/2006/relationships/hyperlink" Id="rId75" Target="https://osf.io/zjhsc/" TargetMode="External" /><Relationship Type="http://schemas.openxmlformats.org/officeDocument/2006/relationships/hyperlink" Id="rId94" Target="https://www.ncbi.nlm.nih.gov/pubmed/9835078"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2023-06-09T15:37:25Z</dcterms:created>
  <dcterms:modified xsi:type="dcterms:W3CDTF">2023-06-09T15:37:25Z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xxx</vt:lpwstr>
  </property>
</Properties>
</file>