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Terraform</w:t>
      </w:r>
      <w:r>
        <w:t xml:space="preserve"> </w:t>
      </w:r>
      <w:r>
        <w:t xml:space="preserve">Standardization</w:t>
      </w:r>
      <w:r>
        <w:t xml:space="preserve"> </w:t>
      </w:r>
      <w:r>
        <w:t xml:space="preserve">for</w:t>
      </w:r>
      <w:r>
        <w:t xml:space="preserve"> </w:t>
      </w:r>
      <w:r>
        <w:t xml:space="preserve">OPS</w:t>
      </w:r>
      <w:r>
        <w:t xml:space="preserve"> </w:t>
      </w:r>
      <w:r>
        <w:t xml:space="preserve">and</w:t>
      </w:r>
      <w:r>
        <w:t xml:space="preserve"> </w:t>
      </w:r>
      <w:r>
        <w:t xml:space="preserve">other</w:t>
      </w:r>
      <w:r>
        <w:t xml:space="preserve"> </w:t>
      </w:r>
      <w:r>
        <w:t xml:space="preserve">Teams</w:t>
      </w:r>
      <w:r>
        <w:t xml:space="preserve"> </w:t>
      </w:r>
      <w:r>
        <w:t xml:space="preserve">—</w:t>
      </w:r>
      <w:r>
        <w:t xml:space="preserve"> </w:t>
      </w:r>
      <w:r>
        <w:t xml:space="preserve">Azure</w:t>
      </w:r>
    </w:p>
    <w:p>
      <w:pPr>
        <w:pStyle w:val="FirstParagraph"/>
      </w:pPr>
      <w:r>
        <w:rPr>
          <w:bCs/>
          <w:b/>
        </w:rPr>
        <w:t xml:space="preserve">Proposal for TSC review</w:t>
      </w:r>
      <w:r>
        <w:t xml:space="preserve"> </w:t>
      </w:r>
      <w:r>
        <w:t xml:space="preserve">· Working group:</w:t>
      </w:r>
      <w:r>
        <w:t xml:space="preserve"> </w:t>
      </w:r>
      <w:r>
        <w:rPr>
          <w:iCs/>
          <w:i/>
        </w:rPr>
        <w:t xml:space="preserve">Infrastructure / DevOps Engineering</w:t>
      </w:r>
      <w:r>
        <w:t xml:space="preserve"> </w:t>
      </w:r>
      <w:r>
        <w:t xml:space="preserve">· Status: PROPOSED</w:t>
      </w:r>
    </w:p>
    <w:p>
      <w:pPr>
        <w:pStyle w:val="BodyText"/>
      </w:pPr>
      <w:r>
        <w:rPr>
          <w:bCs/>
          <w:b/>
        </w:rPr>
        <w:t xml:space="preserve">Origin:</w:t>
      </w:r>
      <w:r>
        <w:t xml:space="preserve"> </w:t>
      </w:r>
      <w:r>
        <w:t xml:space="preserve">Existing Debt and Pain Points →</w:t>
      </w:r>
      <w:r>
        <w:t xml:space="preserve"> </w:t>
      </w:r>
      <w:r>
        <w:rPr>
          <w:iCs/>
          <w:i/>
        </w:rPr>
        <w:t xml:space="preserve">“</w:t>
      </w:r>
      <w:r>
        <w:rPr>
          <w:iCs/>
          <w:i/>
        </w:rPr>
        <w:t xml:space="preserve">Terraform IaC Standardization</w:t>
      </w:r>
      <w:r>
        <w:rPr>
          <w:iCs/>
          <w:i/>
        </w:rPr>
        <w:t xml:space="preserve">”</w:t>
      </w:r>
    </w:p>
    <w:p>
      <w:pPr>
        <w:pStyle w:val="BodyText"/>
      </w:pPr>
      <w:r>
        <w:rPr>
          <w:bCs/>
          <w:b/>
        </w:rPr>
        <w:t xml:space="preserve">Proposed outputs:</w:t>
      </w:r>
      <w:r>
        <w:t xml:space="preserve"> </w:t>
      </w:r>
      <w:r>
        <w:t xml:space="preserve">one standard for IaS (IaS-XXXX, to be assigned) and associated decision records</w:t>
      </w:r>
    </w:p>
    <w:p>
      <w:pPr>
        <w:pStyle w:val="BodyText"/>
      </w:pPr>
      <w:r>
        <w:rPr>
          <w:bCs/>
          <w:b/>
        </w:rPr>
        <w:t xml:space="preserve">Related documents:</w:t>
      </w:r>
      <w:r>
        <w:t xml:space="preserve"> </w:t>
      </w:r>
      <w:r>
        <w:t xml:space="preserve">Azure Naming Convention (v1.0) · Terraform Standardization for OPS and other Teams (AWS, v1.08) · Claude Code Local Setup Guide (Appendix C)</w:t>
      </w:r>
    </w:p>
    <w:tbl>
      <w:tblPr>
        <w:tblStyle w:val="Table"/>
        <w:tblW w:type="pct" w:w="5000"/>
        <w:tblLook w:firstRow="1" w:lastRow="0" w:firstColumn="0" w:lastColumn="0" w:noHBand="0" w:noVBand="0" w:val="0020"/>
        <w:jc w:val="start"/>
        <w:tblBorders>
          <w:top w:val="single" w:sz="4" w:color="A6B4C8"/>
          <w:left w:val="single" w:sz="4" w:color="A6B4C8"/>
          <w:bottom w:val="single" w:sz="4" w:color="A6B4C8"/>
          <w:right w:val="single" w:sz="4" w:color="A6B4C8"/>
          <w:insideH w:val="single" w:sz="4" w:color="A6B4C8"/>
          <w:insideV w:val="single" w:sz="4" w:color="A6B4C8"/>
        </w:tblBorders>
      </w:tblPr>
      <w:tblGrid>
        <w:gridCol w:w="3960"/>
        <w:gridCol w:w="3960"/>
      </w:tblGrid>
      <w:tr>
        <w:trPr>
          <w:tblHeader w:val="true"/>
        </w:trPr>
        <w:tc>
          <w:tcPr>
            <w:shd w:val="clear" w:color="auto" w:fill="1F3A5F"/>
          </w:tcPr>
          <w:p>
            <w:pPr>
              <w:pStyle w:val="Compact"/>
              <w:spacing w:after="40"/>
              <w:jc w:val="left"/>
            </w:pPr>
            <w:r>
              <w:rPr>
                <w:b/>
                <w:color w:val="FFFFFF"/>
                <w:sz w:val="19"/>
              </w:rPr>
              <w:t xml:space="preserve">Field</w:t>
            </w:r>
          </w:p>
        </w:tc>
        <w:tc>
          <w:tcPr>
            <w:shd w:val="clear" w:color="auto" w:fill="1F3A5F"/>
          </w:tcPr>
          <w:p>
            <w:pPr>
              <w:pStyle w:val="Compact"/>
              <w:spacing w:after="40"/>
              <w:jc w:val="left"/>
            </w:pPr>
            <w:r>
              <w:rPr>
                <w:b/>
                <w:color w:val="FFFFFF"/>
                <w:sz w:val="19"/>
              </w:rPr>
              <w:t xml:space="preserve">Value</w:t>
            </w:r>
          </w:p>
        </w:tc>
      </w:tr>
      <w:tr>
        <w:tc>
          <w:tcPr/>
          <w:p>
            <w:pPr>
              <w:pStyle w:val="Compact"/>
              <w:spacing w:after="40"/>
              <w:jc w:val="left"/>
            </w:pPr>
            <w:r>
              <w:rPr>
                <w:sz w:val="19"/>
              </w:rPr>
              <w:t xml:space="preserve">Document Owner</w:t>
            </w:r>
          </w:p>
        </w:tc>
        <w:tc>
          <w:tcPr/>
          <w:p>
            <w:pPr>
              <w:pStyle w:val="Compact"/>
              <w:spacing w:after="40"/>
              <w:jc w:val="left"/>
            </w:pPr>
            <w:r>
              <w:rPr>
                <w:sz w:val="19"/>
              </w:rPr>
              <w:t xml:space="preserve">Infrastructure / Ops Engineering</w:t>
            </w:r>
          </w:p>
        </w:tc>
      </w:tr>
      <w:tr>
        <w:tc>
          <w:tcPr/>
          <w:p>
            <w:pPr>
              <w:pStyle w:val="Compact"/>
              <w:spacing w:after="40"/>
              <w:jc w:val="left"/>
            </w:pPr>
            <w:r>
              <w:rPr>
                <w:sz w:val="19"/>
              </w:rPr>
              <w:t xml:space="preserve">Applies To</w:t>
            </w:r>
          </w:p>
        </w:tc>
        <w:tc>
          <w:tcPr/>
          <w:p>
            <w:pPr>
              <w:pStyle w:val="Compact"/>
              <w:spacing w:after="40"/>
              <w:jc w:val="left"/>
            </w:pPr>
            <w:r>
              <w:rPr>
                <w:sz w:val="19"/>
              </w:rPr>
              <w:t xml:space="preserve">All Developers and Operations staff authoring or reviewing Terraform for Azure</w:t>
            </w:r>
          </w:p>
        </w:tc>
      </w:tr>
      <w:tr>
        <w:tc>
          <w:tcPr/>
          <w:p>
            <w:pPr>
              <w:pStyle w:val="Compact"/>
              <w:spacing w:after="40"/>
              <w:jc w:val="left"/>
            </w:pPr>
            <w:r>
              <w:rPr>
                <w:sz w:val="19"/>
              </w:rPr>
              <w:t xml:space="preserve">Version</w:t>
            </w:r>
          </w:p>
        </w:tc>
        <w:tc>
          <w:tcPr/>
          <w:p>
            <w:pPr>
              <w:pStyle w:val="Compact"/>
              <w:spacing w:after="40"/>
              <w:jc w:val="left"/>
            </w:pPr>
            <w:r>
              <w:rPr>
                <w:sz w:val="19"/>
              </w:rPr>
              <w:t xml:space="preserve">1.0 (Azure) — derived from AWS v1.08</w:t>
            </w:r>
          </w:p>
        </w:tc>
      </w:tr>
      <w:tr>
        <w:tc>
          <w:tcPr/>
          <w:p>
            <w:pPr>
              <w:pStyle w:val="Compact"/>
              <w:spacing w:after="40"/>
              <w:jc w:val="left"/>
            </w:pPr>
            <w:r>
              <w:rPr>
                <w:sz w:val="19"/>
              </w:rPr>
              <w:t xml:space="preserve">Effective Date</w:t>
            </w:r>
          </w:p>
        </w:tc>
        <w:tc>
          <w:tcPr/>
          <w:p>
            <w:pPr>
              <w:pStyle w:val="Compact"/>
              <w:spacing w:after="40"/>
              <w:jc w:val="left"/>
            </w:pPr>
            <w:r>
              <w:rPr>
                <w:sz w:val="19"/>
              </w:rPr>
              <w:t xml:space="preserve">Upon management sign-off</w:t>
            </w:r>
          </w:p>
        </w:tc>
      </w:tr>
      <w:tr>
        <w:tc>
          <w:tcPr/>
          <w:p>
            <w:pPr>
              <w:pStyle w:val="Compact"/>
              <w:spacing w:after="40"/>
              <w:jc w:val="left"/>
            </w:pPr>
            <w:r>
              <w:rPr>
                <w:sz w:val="19"/>
              </w:rPr>
              <w:t xml:space="preserve">Review Cycle</w:t>
            </w:r>
          </w:p>
        </w:tc>
        <w:tc>
          <w:tcPr/>
          <w:p>
            <w:pPr>
              <w:pStyle w:val="Compact"/>
              <w:spacing w:after="40"/>
              <w:jc w:val="left"/>
            </w:pPr>
            <w:r>
              <w:rPr>
                <w:sz w:val="19"/>
              </w:rPr>
              <w:t xml:space="preserve">Annually, or upon major Terraform / Azure platform or azurerm provider change</w:t>
            </w:r>
          </w:p>
        </w:tc>
      </w:tr>
    </w:tbl>
    <w:bookmarkStart w:id="20" w:name="purpose"/>
    <w:p>
      <w:pPr>
        <w:pStyle w:val="Heading1"/>
      </w:pPr>
      <w:r>
        <w:t xml:space="preserve">1. Purpose</w:t>
      </w:r>
    </w:p>
    <w:p>
      <w:pPr>
        <w:pStyle w:val="FirstParagraph"/>
      </w:pPr>
      <w:r>
        <w:t xml:space="preserve">This policy sets mandatory standards for how OptionMetrics writes, organizes, reviews and operates Terraform across all Azure subscriptions. It keeps infrastructure consistent, auditable and safe to change, regardless of who wrote it or when.</w:t>
      </w:r>
    </w:p>
    <w:p>
      <w:pPr>
        <w:pStyle w:val="BodyText"/>
      </w:pPr>
      <w:r>
        <w:t xml:space="preserve">It builds directly on the Azure Naming Convention and turns that convention into concrete Terraform requirements. It also covers state management, CI/CD, secrets and module authoring for the azurerm provider.</w:t>
      </w:r>
    </w:p>
    <w:bookmarkEnd w:id="20"/>
    <w:bookmarkStart w:id="21" w:name="scope"/>
    <w:p>
      <w:pPr>
        <w:pStyle w:val="Heading1"/>
      </w:pPr>
      <w:r>
        <w:t xml:space="preserve">2. Scope</w:t>
      </w:r>
    </w:p>
    <w:p>
      <w:pPr>
        <w:pStyle w:val="FirstParagraph"/>
      </w:pPr>
      <w:r>
        <w:t xml:space="preserve">This policy applies to:</w:t>
      </w:r>
    </w:p>
    <w:p>
      <w:pPr>
        <w:numPr>
          <w:ilvl w:val="0"/>
          <w:numId w:val="1001"/>
        </w:numPr>
        <w:pStyle w:val="Compact"/>
      </w:pPr>
      <w:r>
        <w:t xml:space="preserve">All Terraform configurations that create, modify or manage Azure resources for OptionMetrics, regardless of team or project.</w:t>
      </w:r>
    </w:p>
    <w:p>
      <w:pPr>
        <w:numPr>
          <w:ilvl w:val="0"/>
          <w:numId w:val="1001"/>
        </w:numPr>
        <w:pStyle w:val="Compact"/>
      </w:pPr>
      <w:r>
        <w:t xml:space="preserve">All environments: dev, test, prod and shared. This covers both the current single shared subscription and the target per-environment subscriptions (bw-dev, bw-test, bw-prod, bw-shared).</w:t>
      </w:r>
    </w:p>
    <w:p>
      <w:pPr>
        <w:numPr>
          <w:ilvl w:val="0"/>
          <w:numId w:val="1001"/>
        </w:numPr>
        <w:pStyle w:val="Compact"/>
      </w:pPr>
      <w:r>
        <w:t xml:space="preserve">Both regions: East US (primary) and West US 2 (DR).</w:t>
      </w:r>
    </w:p>
    <w:p>
      <w:pPr>
        <w:numPr>
          <w:ilvl w:val="0"/>
          <w:numId w:val="1001"/>
        </w:numPr>
        <w:pStyle w:val="Compact"/>
      </w:pPr>
      <w:r>
        <w:t xml:space="preserve">All engineers — Development and IT Operations — who write, review or approve Terraform, and all automated pipelines that apply it.</w:t>
      </w:r>
    </w:p>
    <w:p>
      <w:pPr>
        <w:pStyle w:val="FirstParagraph"/>
      </w:pPr>
      <w:r>
        <w:t xml:space="preserve">This standard does</w:t>
      </w:r>
      <w:r>
        <w:t xml:space="preserve"> </w:t>
      </w:r>
      <w:r>
        <w:rPr>
          <w:bCs/>
          <w:b/>
        </w:rPr>
        <w:t xml:space="preserve">not</w:t>
      </w:r>
      <w:r>
        <w:t xml:space="preserve"> </w:t>
      </w:r>
      <w:r>
        <w:t xml:space="preserve">cover application-level configuration management, resources created by hand in the Azure portal (discouraged — see Section 11), Bicep templates (covered by the Azure Naming Convention), or third-party SaaS configuration outside Azure.</w:t>
      </w:r>
    </w:p>
    <w:bookmarkEnd w:id="21"/>
    <w:bookmarkStart w:id="22" w:name="roles-responsibilities"/>
    <w:p>
      <w:pPr>
        <w:pStyle w:val="Heading1"/>
      </w:pPr>
      <w:r>
        <w:t xml:space="preserve">3. Roles &amp; Responsibilities</w:t>
      </w:r>
    </w:p>
    <w:tbl>
      <w:tblPr>
        <w:tblStyle w:val="Table"/>
        <w:tblW w:type="pct" w:w="5000"/>
        <w:tblLook w:firstRow="1" w:lastRow="0" w:firstColumn="0" w:lastColumn="0" w:noHBand="0" w:noVBand="0" w:val="0020"/>
        <w:jc w:val="start"/>
        <w:tblBorders>
          <w:top w:val="single" w:sz="4" w:color="A6B4C8"/>
          <w:left w:val="single" w:sz="4" w:color="A6B4C8"/>
          <w:bottom w:val="single" w:sz="4" w:color="A6B4C8"/>
          <w:right w:val="single" w:sz="4" w:color="A6B4C8"/>
          <w:insideH w:val="single" w:sz="4" w:color="A6B4C8"/>
          <w:insideV w:val="single" w:sz="4" w:color="A6B4C8"/>
        </w:tblBorders>
      </w:tblPr>
      <w:tblGrid>
        <w:gridCol w:w="3960"/>
        <w:gridCol w:w="3960"/>
      </w:tblGrid>
      <w:tr>
        <w:trPr>
          <w:tblHeader w:val="true"/>
        </w:trPr>
        <w:tc>
          <w:tcPr>
            <w:shd w:val="clear" w:color="auto" w:fill="1F3A5F"/>
          </w:tcPr>
          <w:p>
            <w:pPr>
              <w:pStyle w:val="Compact"/>
              <w:spacing w:after="40"/>
              <w:jc w:val="left"/>
            </w:pPr>
            <w:r>
              <w:rPr>
                <w:b/>
                <w:color w:val="FFFFFF"/>
                <w:sz w:val="19"/>
              </w:rPr>
              <w:t xml:space="preserve">Role</w:t>
            </w:r>
          </w:p>
        </w:tc>
        <w:tc>
          <w:tcPr>
            <w:shd w:val="clear" w:color="auto" w:fill="1F3A5F"/>
          </w:tcPr>
          <w:p>
            <w:pPr>
              <w:pStyle w:val="Compact"/>
              <w:spacing w:after="40"/>
              <w:jc w:val="left"/>
            </w:pPr>
            <w:r>
              <w:rPr>
                <w:b/>
                <w:color w:val="FFFFFF"/>
                <w:sz w:val="19"/>
              </w:rPr>
              <w:t xml:space="preserve">Responsibility</w:t>
            </w:r>
          </w:p>
        </w:tc>
      </w:tr>
      <w:tr>
        <w:tc>
          <w:tcPr/>
          <w:p>
            <w:pPr>
              <w:pStyle w:val="Compact"/>
              <w:spacing w:after="40"/>
              <w:jc w:val="left"/>
            </w:pPr>
            <w:r>
              <w:rPr>
                <w:sz w:val="19"/>
              </w:rPr>
              <w:t xml:space="preserve">Developers / Operations</w:t>
            </w:r>
          </w:p>
        </w:tc>
        <w:tc>
          <w:tcPr/>
          <w:p>
            <w:pPr>
              <w:pStyle w:val="Compact"/>
              <w:spacing w:after="40"/>
              <w:jc w:val="left"/>
            </w:pPr>
            <w:r>
              <w:rPr>
                <w:sz w:val="19"/>
              </w:rPr>
              <w:t xml:space="preserve">Author Terraform following this policy; run fmt/validate/lint locally before opening a PR; keep modules documented.</w:t>
            </w:r>
          </w:p>
        </w:tc>
      </w:tr>
      <w:tr>
        <w:tc>
          <w:tcPr/>
          <w:p>
            <w:pPr>
              <w:pStyle w:val="Compact"/>
              <w:spacing w:after="40"/>
              <w:jc w:val="left"/>
            </w:pPr>
            <w:r>
              <w:rPr>
                <w:sz w:val="19"/>
              </w:rPr>
              <w:t xml:space="preserve">Operations / SRE</w:t>
            </w:r>
          </w:p>
        </w:tc>
        <w:tc>
          <w:tcPr/>
          <w:p>
            <w:pPr>
              <w:pStyle w:val="Compact"/>
              <w:spacing w:after="40"/>
              <w:jc w:val="left"/>
            </w:pPr>
            <w:r>
              <w:rPr>
                <w:sz w:val="19"/>
              </w:rPr>
              <w:t xml:space="preserve">Own remote state storage, CI/CD pipelines, Entra ID workload identities, Azure RBAC assignments, Azure Policy assignments and production apply approvals.</w:t>
            </w:r>
          </w:p>
        </w:tc>
      </w:tr>
      <w:tr>
        <w:tc>
          <w:tcPr/>
          <w:p>
            <w:pPr>
              <w:pStyle w:val="Compact"/>
              <w:spacing w:after="40"/>
              <w:jc w:val="left"/>
            </w:pPr>
            <w:r>
              <w:rPr>
                <w:sz w:val="19"/>
              </w:rPr>
              <w:t xml:space="preserve">Reviewers (OPS Team)</w:t>
            </w:r>
          </w:p>
        </w:tc>
        <w:tc>
          <w:tcPr/>
          <w:p>
            <w:pPr>
              <w:pStyle w:val="Compact"/>
              <w:spacing w:after="40"/>
              <w:jc w:val="left"/>
            </w:pPr>
            <w:r>
              <w:rPr>
                <w:sz w:val="19"/>
              </w:rPr>
              <w:t xml:space="preserve">Verify naming, tagging and security requirements before approving a PR; block merges that violate this policy.</w:t>
            </w:r>
          </w:p>
        </w:tc>
      </w:tr>
      <w:tr>
        <w:tc>
          <w:tcPr/>
          <w:p>
            <w:pPr>
              <w:pStyle w:val="Compact"/>
              <w:spacing w:after="40"/>
              <w:jc w:val="left"/>
            </w:pPr>
            <w:r>
              <w:rPr>
                <w:sz w:val="19"/>
              </w:rPr>
              <w:t xml:space="preserve">Head of IT Operations</w:t>
            </w:r>
          </w:p>
        </w:tc>
        <w:tc>
          <w:tcPr/>
          <w:p>
            <w:pPr>
              <w:pStyle w:val="Compact"/>
              <w:spacing w:after="40"/>
              <w:jc w:val="left"/>
            </w:pPr>
            <w:r>
              <w:rPr>
                <w:sz w:val="19"/>
              </w:rPr>
              <w:t xml:space="preserve">Owns this policy, approves exceptions and signs off on annual review.</w:t>
            </w:r>
          </w:p>
        </w:tc>
      </w:tr>
    </w:tbl>
    <w:bookmarkEnd w:id="22"/>
    <w:bookmarkStart w:id="26" w:name="resource-naming-conventions"/>
    <w:p>
      <w:pPr>
        <w:pStyle w:val="Heading1"/>
      </w:pPr>
      <w:r>
        <w:t xml:space="preserve">4. Resource Naming Conventions</w:t>
      </w:r>
    </w:p>
    <w:p>
      <w:pPr>
        <w:pStyle w:val="FirstParagraph"/>
      </w:pPr>
      <w:r>
        <w:t xml:space="preserve">All Terraform-managed Azure resources follow the Azure Naming Convention. This section restates the rules Terraform authors need; the naming convention document remains authoritative if the two disagree.</w:t>
      </w:r>
    </w:p>
    <w:bookmarkStart w:id="23" w:name="token-grammar"/>
    <w:p>
      <w:pPr>
        <w:pStyle w:val="Heading2"/>
      </w:pPr>
      <w:r>
        <w:t xml:space="preserve">4.1 Token Grammar</w:t>
      </w:r>
    </w:p>
    <w:p>
      <w:pPr>
        <w:pStyle w:val="FirstParagraph"/>
      </w:pPr>
      <w:r>
        <w:t xml:space="preserve">Every name follows the same left-to-right order:</w:t>
      </w:r>
      <w:r>
        <w:t xml:space="preserve"> </w:t>
      </w:r>
      <w:r>
        <w:rPr>
          <w:rStyle w:val="VerbatimChar"/>
        </w:rPr>
        <w:t xml:space="preserve">bw-&lt;env&gt;-&lt;reg&gt;-&lt;proj&gt;-&lt;resource&gt;-[qualifier]-&lt;NN&gt;</w:t>
      </w:r>
      <w:r>
        <w:t xml:space="preserve">, for example</w:t>
      </w:r>
      <w:r>
        <w:t xml:space="preserve"> </w:t>
      </w:r>
      <w:r>
        <w:rPr>
          <w:rStyle w:val="VerbatimChar"/>
        </w:rPr>
        <w:t xml:space="preserve">bw-prod-eus-gkpr-aks-01</w:t>
      </w:r>
      <w:r>
        <w:t xml:space="preserve">.</w:t>
      </w:r>
    </w:p>
    <w:tbl>
      <w:tblPr>
        <w:tblStyle w:val="Table"/>
        <w:tblW w:type="pct" w:w="5000"/>
        <w:tblLook w:firstRow="1" w:lastRow="0" w:firstColumn="0" w:lastColumn="0" w:noHBand="0" w:noVBand="0" w:val="0020"/>
        <w:jc w:val="start"/>
        <w:tblBorders>
          <w:top w:val="single" w:sz="4" w:color="A6B4C8"/>
          <w:left w:val="single" w:sz="4" w:color="A6B4C8"/>
          <w:bottom w:val="single" w:sz="4" w:color="A6B4C8"/>
          <w:right w:val="single" w:sz="4" w:color="A6B4C8"/>
          <w:insideH w:val="single" w:sz="4" w:color="A6B4C8"/>
          <w:insideV w:val="single" w:sz="4" w:color="A6B4C8"/>
        </w:tblBorders>
      </w:tblPr>
      <w:tblGrid>
        <w:gridCol w:w="2640"/>
        <w:gridCol w:w="2640"/>
        <w:gridCol w:w="2640"/>
      </w:tblGrid>
      <w:tr>
        <w:trPr>
          <w:tblHeader w:val="true"/>
        </w:trPr>
        <w:tc>
          <w:tcPr>
            <w:shd w:val="clear" w:color="auto" w:fill="1F3A5F"/>
          </w:tcPr>
          <w:p>
            <w:pPr>
              <w:pStyle w:val="Compact"/>
              <w:spacing w:after="40"/>
              <w:jc w:val="left"/>
            </w:pPr>
            <w:r>
              <w:rPr>
                <w:b/>
                <w:color w:val="FFFFFF"/>
                <w:sz w:val="19"/>
              </w:rPr>
              <w:t xml:space="preserve">Token</w:t>
            </w:r>
          </w:p>
        </w:tc>
        <w:tc>
          <w:tcPr>
            <w:shd w:val="clear" w:color="auto" w:fill="1F3A5F"/>
          </w:tcPr>
          <w:p>
            <w:pPr>
              <w:pStyle w:val="Compact"/>
              <w:spacing w:after="40"/>
              <w:jc w:val="left"/>
            </w:pPr>
            <w:r>
              <w:rPr>
                <w:b/>
                <w:color w:val="FFFFFF"/>
                <w:sz w:val="19"/>
              </w:rPr>
              <w:t xml:space="preserve">Allowed values</w:t>
            </w:r>
          </w:p>
        </w:tc>
        <w:tc>
          <w:tcPr>
            <w:shd w:val="clear" w:color="auto" w:fill="1F3A5F"/>
          </w:tcPr>
          <w:p>
            <w:pPr>
              <w:pStyle w:val="Compact"/>
              <w:spacing w:after="40"/>
              <w:jc w:val="left"/>
            </w:pPr>
            <w:r>
              <w:rPr>
                <w:b/>
                <w:color w:val="FFFFFF"/>
                <w:sz w:val="19"/>
              </w:rPr>
              <w:t xml:space="preserve">Notes</w:t>
            </w:r>
          </w:p>
        </w:tc>
      </w:tr>
      <w:tr>
        <w:tc>
          <w:tcPr/>
          <w:p>
            <w:pPr>
              <w:pStyle w:val="Compact"/>
              <w:spacing w:after="40"/>
              <w:jc w:val="left"/>
            </w:pPr>
            <w:r>
              <w:rPr>
                <w:sz w:val="19"/>
              </w:rPr>
              <w:t xml:space="preserve">org</w:t>
            </w:r>
          </w:p>
        </w:tc>
        <w:tc>
          <w:tcPr/>
          <w:p>
            <w:pPr>
              <w:pStyle w:val="Compact"/>
              <w:spacing w:after="40"/>
              <w:jc w:val="left"/>
            </w:pPr>
            <w:r>
              <w:rPr>
                <w:sz w:val="19"/>
              </w:rPr>
              <w:t xml:space="preserve">bw</w:t>
            </w:r>
          </w:p>
        </w:tc>
        <w:tc>
          <w:tcPr/>
          <w:p>
            <w:pPr>
              <w:pStyle w:val="Compact"/>
              <w:spacing w:after="40"/>
              <w:jc w:val="left"/>
            </w:pPr>
            <w:r>
              <w:rPr>
                <w:sz w:val="19"/>
              </w:rPr>
              <w:t xml:space="preserve">Fixed prefix</w:t>
            </w:r>
          </w:p>
        </w:tc>
      </w:tr>
      <w:tr>
        <w:tc>
          <w:tcPr/>
          <w:p>
            <w:pPr>
              <w:pStyle w:val="Compact"/>
              <w:spacing w:after="40"/>
              <w:jc w:val="left"/>
            </w:pPr>
            <w:r>
              <w:rPr>
                <w:sz w:val="19"/>
              </w:rPr>
              <w:t xml:space="preserve">env</w:t>
            </w:r>
          </w:p>
        </w:tc>
        <w:tc>
          <w:tcPr/>
          <w:p>
            <w:pPr>
              <w:pStyle w:val="Compact"/>
              <w:spacing w:after="40"/>
              <w:jc w:val="left"/>
            </w:pPr>
            <w:r>
              <w:rPr>
                <w:sz w:val="19"/>
              </w:rPr>
              <w:t xml:space="preserve">dev, test, prod, shared</w:t>
            </w:r>
          </w:p>
        </w:tc>
        <w:tc>
          <w:tcPr/>
          <w:p>
            <w:pPr>
              <w:pStyle w:val="Compact"/>
              <w:spacing w:after="40"/>
              <w:jc w:val="left"/>
            </w:pPr>
            <w:r>
              <w:rPr>
                <w:sz w:val="19"/>
              </w:rPr>
              <w:t xml:space="preserve">Kept even after the move to per-environment subscriptions</w:t>
            </w:r>
          </w:p>
        </w:tc>
      </w:tr>
      <w:tr>
        <w:tc>
          <w:tcPr/>
          <w:p>
            <w:pPr>
              <w:pStyle w:val="Compact"/>
              <w:spacing w:after="40"/>
              <w:jc w:val="left"/>
            </w:pPr>
            <w:r>
              <w:rPr>
                <w:sz w:val="19"/>
              </w:rPr>
              <w:t xml:space="preserve">reg</w:t>
            </w:r>
          </w:p>
        </w:tc>
        <w:tc>
          <w:tcPr/>
          <w:p>
            <w:pPr>
              <w:pStyle w:val="Compact"/>
              <w:spacing w:after="40"/>
              <w:jc w:val="left"/>
            </w:pPr>
            <w:r>
              <w:rPr>
                <w:sz w:val="19"/>
              </w:rPr>
              <w:t xml:space="preserve">eus (East US), wus2 (West US 2)</w:t>
            </w:r>
          </w:p>
        </w:tc>
        <w:tc>
          <w:tcPr/>
          <w:p>
            <w:pPr>
              <w:pStyle w:val="Compact"/>
              <w:spacing w:after="40"/>
              <w:jc w:val="left"/>
            </w:pPr>
            <w:r>
              <w:rPr>
                <w:sz w:val="19"/>
              </w:rPr>
              <w:t xml:space="preserve">Required in every name — DR-ready from day one</w:t>
            </w:r>
          </w:p>
        </w:tc>
      </w:tr>
      <w:tr>
        <w:tc>
          <w:tcPr/>
          <w:p>
            <w:pPr>
              <w:pStyle w:val="Compact"/>
              <w:spacing w:after="40"/>
              <w:jc w:val="left"/>
            </w:pPr>
            <w:r>
              <w:rPr>
                <w:sz w:val="19"/>
              </w:rPr>
              <w:t xml:space="preserve">proj</w:t>
            </w:r>
          </w:p>
        </w:tc>
        <w:tc>
          <w:tcPr/>
          <w:p>
            <w:pPr>
              <w:pStyle w:val="Compact"/>
              <w:spacing w:after="40"/>
              <w:jc w:val="left"/>
            </w:pPr>
            <w:r>
              <w:rPr>
                <w:sz w:val="19"/>
              </w:rPr>
              <w:t xml:space="preserve">cusip, gkpr, ivsync, oid2, ivy, net, infra (+ data platform code)</w:t>
            </w:r>
          </w:p>
        </w:tc>
        <w:tc>
          <w:tcPr/>
          <w:p>
            <w:pPr>
              <w:pStyle w:val="Compact"/>
              <w:spacing w:after="40"/>
              <w:jc w:val="left"/>
            </w:pPr>
            <w:r>
              <w:rPr>
                <w:sz w:val="19"/>
              </w:rPr>
              <w:t xml:space="preserve">3–6 lowercase letters, no hyphens; register new codes by PR</w:t>
            </w:r>
          </w:p>
        </w:tc>
      </w:tr>
      <w:tr>
        <w:tc>
          <w:tcPr/>
          <w:p>
            <w:pPr>
              <w:pStyle w:val="Compact"/>
              <w:spacing w:after="40"/>
              <w:jc w:val="left"/>
            </w:pPr>
            <w:r>
              <w:rPr>
                <w:sz w:val="19"/>
              </w:rPr>
              <w:t xml:space="preserve">resource</w:t>
            </w:r>
          </w:p>
        </w:tc>
        <w:tc>
          <w:tcPr/>
          <w:p>
            <w:pPr>
              <w:pStyle w:val="Compact"/>
              <w:spacing w:after="40"/>
              <w:jc w:val="left"/>
            </w:pPr>
            <w:r>
              <w:rPr>
                <w:sz w:val="19"/>
              </w:rPr>
              <w:t xml:space="preserve">vnet, snet, nsg, aks, func, psql, st, kv, law, etc.</w:t>
            </w:r>
          </w:p>
        </w:tc>
        <w:tc>
          <w:tcPr/>
          <w:p>
            <w:pPr>
              <w:pStyle w:val="Compact"/>
              <w:spacing w:after="40"/>
              <w:jc w:val="left"/>
            </w:pPr>
            <w:r>
              <w:rPr>
                <w:sz w:val="19"/>
              </w:rPr>
              <w:t xml:space="preserve">See Azure Naming Convention, Section 6</w:t>
            </w:r>
          </w:p>
        </w:tc>
      </w:tr>
      <w:tr>
        <w:tc>
          <w:tcPr/>
          <w:p>
            <w:pPr>
              <w:pStyle w:val="Compact"/>
              <w:spacing w:after="40"/>
              <w:jc w:val="left"/>
            </w:pPr>
            <w:r>
              <w:rPr>
                <w:sz w:val="19"/>
              </w:rPr>
              <w:t xml:space="preserve">qualifier</w:t>
            </w:r>
          </w:p>
        </w:tc>
        <w:tc>
          <w:tcPr/>
          <w:p>
            <w:pPr>
              <w:pStyle w:val="Compact"/>
              <w:spacing w:after="40"/>
              <w:jc w:val="left"/>
            </w:pPr>
            <w:r>
              <w:rPr>
                <w:sz w:val="19"/>
              </w:rPr>
              <w:t xml:space="preserve">optional</w:t>
            </w:r>
          </w:p>
        </w:tc>
        <w:tc>
          <w:tcPr/>
          <w:p>
            <w:pPr>
              <w:pStyle w:val="Compact"/>
              <w:spacing w:after="40"/>
              <w:jc w:val="left"/>
            </w:pPr>
            <w:r>
              <w:rPr>
                <w:sz w:val="19"/>
              </w:rPr>
              <w:t xml:space="preserve">Only when needed to disambiguate</w:t>
            </w:r>
          </w:p>
        </w:tc>
      </w:tr>
      <w:tr>
        <w:tc>
          <w:tcPr/>
          <w:p>
            <w:pPr>
              <w:pStyle w:val="Compact"/>
              <w:spacing w:after="40"/>
              <w:jc w:val="left"/>
            </w:pPr>
            <w:r>
              <w:rPr>
                <w:sz w:val="19"/>
              </w:rPr>
              <w:t xml:space="preserve">NN</w:t>
            </w:r>
          </w:p>
        </w:tc>
        <w:tc>
          <w:tcPr/>
          <w:p>
            <w:pPr>
              <w:pStyle w:val="Compact"/>
              <w:spacing w:after="40"/>
              <w:jc w:val="left"/>
            </w:pPr>
            <w:r>
              <w:rPr>
                <w:sz w:val="19"/>
              </w:rPr>
              <w:t xml:space="preserve">01, 02 …</w:t>
            </w:r>
          </w:p>
        </w:tc>
        <w:tc>
          <w:tcPr/>
          <w:p>
            <w:pPr>
              <w:pStyle w:val="Compact"/>
              <w:spacing w:after="40"/>
              <w:jc w:val="left"/>
            </w:pPr>
            <w:r>
              <w:rPr>
                <w:sz w:val="19"/>
              </w:rPr>
              <w:t xml:space="preserve">Always two digits, even for a single instance</w:t>
            </w:r>
          </w:p>
        </w:tc>
      </w:tr>
    </w:tbl>
    <w:bookmarkEnd w:id="23"/>
    <w:bookmarkStart w:id="24" w:name="global-rules"/>
    <w:p>
      <w:pPr>
        <w:pStyle w:val="Heading2"/>
      </w:pPr>
      <w:r>
        <w:t xml:space="preserve">4.2 Global Rules</w:t>
      </w:r>
    </w:p>
    <w:p>
      <w:pPr>
        <w:numPr>
          <w:ilvl w:val="0"/>
          <w:numId w:val="1002"/>
        </w:numPr>
        <w:pStyle w:val="Compact"/>
      </w:pPr>
      <w:r>
        <w:t xml:space="preserve">All names are lowercase, hyphen-separated, except where Azure requires otherwise (4.3).</w:t>
      </w:r>
    </w:p>
    <w:p>
      <w:pPr>
        <w:numPr>
          <w:ilvl w:val="0"/>
          <w:numId w:val="1002"/>
        </w:numPr>
        <w:pStyle w:val="Compact"/>
      </w:pPr>
      <w:r>
        <w:t xml:space="preserve">Never repeat the resource type in the qualifier (no</w:t>
      </w:r>
      <w:r>
        <w:t xml:space="preserve"> </w:t>
      </w:r>
      <w:r>
        <w:rPr>
          <w:rStyle w:val="VerbatimChar"/>
        </w:rPr>
        <w:t xml:space="preserve">-cluster</w:t>
      </w:r>
      <w:r>
        <w:t xml:space="preserve">,</w:t>
      </w:r>
      <w:r>
        <w:t xml:space="preserve"> </w:t>
      </w:r>
      <w:r>
        <w:rPr>
          <w:rStyle w:val="VerbatimChar"/>
        </w:rPr>
        <w:t xml:space="preserve">-server</w:t>
      </w:r>
      <w:r>
        <w:t xml:space="preserve">,</w:t>
      </w:r>
      <w:r>
        <w:t xml:space="preserve"> </w:t>
      </w:r>
      <w:r>
        <w:rPr>
          <w:rStyle w:val="VerbatimChar"/>
        </w:rPr>
        <w:t xml:space="preserve">-queue</w:t>
      </w:r>
      <w:r>
        <w:t xml:space="preserve">,</w:t>
      </w:r>
      <w:r>
        <w:t xml:space="preserve"> </w:t>
      </w:r>
      <w:r>
        <w:rPr>
          <w:rStyle w:val="VerbatimChar"/>
        </w:rPr>
        <w:t xml:space="preserve">-cache</w:t>
      </w:r>
      <w:r>
        <w:t xml:space="preserve">); the resource token already says it.</w:t>
      </w:r>
    </w:p>
    <w:p>
      <w:pPr>
        <w:numPr>
          <w:ilvl w:val="0"/>
          <w:numId w:val="1002"/>
        </w:numPr>
        <w:pStyle w:val="Compact"/>
      </w:pPr>
      <w:r>
        <w:t xml:space="preserve">Multi-word functions are a single unbroken word (e.g. </w:t>
      </w:r>
      <w:r>
        <w:rPr>
          <w:rStyle w:val="VerbatimChar"/>
        </w:rPr>
        <w:t xml:space="preserve">tickeater</w:t>
      </w:r>
      <w:r>
        <w:t xml:space="preserve">,</w:t>
      </w:r>
      <w:r>
        <w:t xml:space="preserve"> </w:t>
      </w:r>
      <w:r>
        <w:rPr>
          <w:rStyle w:val="VerbatimChar"/>
        </w:rPr>
        <w:t xml:space="preserve">cachewriter</w:t>
      </w:r>
      <w:r>
        <w:t xml:space="preserve">) unless there is a documented readability case.</w:t>
      </w:r>
    </w:p>
    <w:p>
      <w:pPr>
        <w:numPr>
          <w:ilvl w:val="0"/>
          <w:numId w:val="1002"/>
        </w:numPr>
        <w:pStyle w:val="Compact"/>
      </w:pPr>
      <w:r>
        <w:t xml:space="preserve">Resources not tied to one project use</w:t>
      </w:r>
      <w:r>
        <w:t xml:space="preserve"> </w:t>
      </w:r>
      <w:r>
        <w:rPr>
          <w:rStyle w:val="VerbatimChar"/>
        </w:rPr>
        <w:t xml:space="preserve">infra</w:t>
      </w:r>
      <w:r>
        <w:t xml:space="preserve"> </w:t>
      </w:r>
      <w:r>
        <w:t xml:space="preserve">(platform) or</w:t>
      </w:r>
      <w:r>
        <w:t xml:space="preserve"> </w:t>
      </w:r>
      <w:r>
        <w:rPr>
          <w:rStyle w:val="VerbatimChar"/>
        </w:rPr>
        <w:t xml:space="preserve">net</w:t>
      </w:r>
      <w:r>
        <w:t xml:space="preserve"> </w:t>
      </w:r>
      <w:r>
        <w:t xml:space="preserve">(networking).</w:t>
      </w:r>
    </w:p>
    <w:p>
      <w:pPr>
        <w:numPr>
          <w:ilvl w:val="0"/>
          <w:numId w:val="1002"/>
        </w:numPr>
        <w:pStyle w:val="Compact"/>
      </w:pPr>
      <w:r>
        <w:t xml:space="preserve">Temporary resources use the</w:t>
      </w:r>
      <w:r>
        <w:t xml:space="preserve"> </w:t>
      </w:r>
      <w:r>
        <w:rPr>
          <w:rStyle w:val="VerbatimChar"/>
        </w:rPr>
        <w:t xml:space="preserve">dev</w:t>
      </w:r>
      <w:r>
        <w:t xml:space="preserve"> </w:t>
      </w:r>
      <w:r>
        <w:t xml:space="preserve">environment and the</w:t>
      </w:r>
      <w:r>
        <w:t xml:space="preserve"> </w:t>
      </w:r>
      <w:r>
        <w:rPr>
          <w:rStyle w:val="VerbatimChar"/>
        </w:rPr>
        <w:t xml:space="preserve">temp</w:t>
      </w:r>
      <w:r>
        <w:t xml:space="preserve"> </w:t>
      </w:r>
      <w:r>
        <w:t xml:space="preserve">qualifier (never</w:t>
      </w:r>
      <w:r>
        <w:t xml:space="preserve"> </w:t>
      </w:r>
      <w:r>
        <w:rPr>
          <w:rStyle w:val="VerbatimChar"/>
        </w:rPr>
        <w:t xml:space="preserve">junk</w:t>
      </w:r>
      <w:r>
        <w:t xml:space="preserve">).</w:t>
      </w:r>
    </w:p>
    <w:p>
      <w:pPr>
        <w:numPr>
          <w:ilvl w:val="0"/>
          <w:numId w:val="1002"/>
        </w:numPr>
        <w:pStyle w:val="Compact"/>
      </w:pPr>
      <w:r>
        <w:t xml:space="preserve">Keep names under 40 characters where possible and always within the Azure limit for the resource type.</w:t>
      </w:r>
    </w:p>
    <w:bookmarkEnd w:id="24"/>
    <w:bookmarkStart w:id="25" w:name="resource-types-with-special-rules"/>
    <w:p>
      <w:pPr>
        <w:pStyle w:val="Heading2"/>
      </w:pPr>
      <w:r>
        <w:t xml:space="preserve">4.3 Resource Types with Special Rules</w:t>
      </w:r>
    </w:p>
    <w:tbl>
      <w:tblPr>
        <w:tblStyle w:val="Table"/>
        <w:tblW w:type="pct" w:w="5000"/>
        <w:tblLook w:firstRow="1" w:lastRow="0" w:firstColumn="0" w:lastColumn="0" w:noHBand="0" w:noVBand="0" w:val="0020"/>
        <w:jc w:val="start"/>
        <w:tblBorders>
          <w:top w:val="single" w:sz="4" w:color="A6B4C8"/>
          <w:left w:val="single" w:sz="4" w:color="A6B4C8"/>
          <w:bottom w:val="single" w:sz="4" w:color="A6B4C8"/>
          <w:right w:val="single" w:sz="4" w:color="A6B4C8"/>
          <w:insideH w:val="single" w:sz="4" w:color="A6B4C8"/>
          <w:insideV w:val="single" w:sz="4" w:color="A6B4C8"/>
        </w:tblBorders>
      </w:tblPr>
      <w:tblGrid>
        <w:gridCol w:w="2640"/>
        <w:gridCol w:w="2640"/>
        <w:gridCol w:w="2640"/>
      </w:tblGrid>
      <w:tr>
        <w:trPr>
          <w:tblHeader w:val="true"/>
        </w:trPr>
        <w:tc>
          <w:tcPr>
            <w:shd w:val="clear" w:color="auto" w:fill="1F3A5F"/>
          </w:tcPr>
          <w:p>
            <w:pPr>
              <w:pStyle w:val="Compact"/>
              <w:spacing w:after="40"/>
              <w:jc w:val="left"/>
            </w:pPr>
            <w:r>
              <w:rPr>
                <w:b/>
                <w:color w:val="FFFFFF"/>
                <w:sz w:val="19"/>
              </w:rPr>
              <w:t xml:space="preserve">Resource</w:t>
            </w:r>
          </w:p>
        </w:tc>
        <w:tc>
          <w:tcPr>
            <w:shd w:val="clear" w:color="auto" w:fill="1F3A5F"/>
          </w:tcPr>
          <w:p>
            <w:pPr>
              <w:pStyle w:val="Compact"/>
              <w:spacing w:after="40"/>
              <w:jc w:val="left"/>
            </w:pPr>
            <w:r>
              <w:rPr>
                <w:b/>
                <w:color w:val="FFFFFF"/>
                <w:sz w:val="19"/>
              </w:rPr>
              <w:t xml:space="preserve">Pattern</w:t>
            </w:r>
          </w:p>
        </w:tc>
        <w:tc>
          <w:tcPr>
            <w:shd w:val="clear" w:color="auto" w:fill="1F3A5F"/>
          </w:tcPr>
          <w:p>
            <w:pPr>
              <w:pStyle w:val="Compact"/>
              <w:spacing w:after="40"/>
              <w:jc w:val="left"/>
            </w:pPr>
            <w:r>
              <w:rPr>
                <w:b/>
                <w:color w:val="FFFFFF"/>
                <w:sz w:val="19"/>
              </w:rPr>
              <w:t xml:space="preserve">Why</w:t>
            </w:r>
          </w:p>
        </w:tc>
      </w:tr>
      <w:tr>
        <w:tc>
          <w:tcPr/>
          <w:p>
            <w:pPr>
              <w:pStyle w:val="Compact"/>
              <w:spacing w:after="40"/>
              <w:jc w:val="left"/>
            </w:pPr>
            <w:r>
              <w:rPr>
                <w:sz w:val="19"/>
              </w:rPr>
              <w:t xml:space="preserve">Storage account</w:t>
            </w:r>
          </w:p>
        </w:tc>
        <w:tc>
          <w:tcPr/>
          <w:p>
            <w:pPr>
              <w:pStyle w:val="Compact"/>
              <w:spacing w:after="40"/>
              <w:jc w:val="left"/>
            </w:pPr>
            <w:r>
              <w:rPr>
                <w:rStyle w:val="VerbatimChar"/>
                <w:sz w:val="19"/>
              </w:rPr>
              <w:t xml:space="preserve">bw&lt;env&gt;&lt;reg&gt;&lt;proj&gt;st&lt;qualifier&gt;&lt;NN&gt;</w:t>
            </w:r>
          </w:p>
        </w:tc>
        <w:tc>
          <w:tcPr/>
          <w:p>
            <w:pPr>
              <w:pStyle w:val="Compact"/>
              <w:spacing w:after="40"/>
              <w:jc w:val="left"/>
            </w:pPr>
            <w:r>
              <w:rPr>
                <w:sz w:val="19"/>
              </w:rPr>
              <w:t xml:space="preserve">Alphanumeric only, 24 chars max, globally unique</w:t>
            </w:r>
          </w:p>
        </w:tc>
      </w:tr>
      <w:tr>
        <w:tc>
          <w:tcPr/>
          <w:p>
            <w:pPr>
              <w:pStyle w:val="Compact"/>
              <w:spacing w:after="40"/>
              <w:jc w:val="left"/>
            </w:pPr>
            <w:r>
              <w:rPr>
                <w:sz w:val="19"/>
              </w:rPr>
              <w:t xml:space="preserve">Container registry</w:t>
            </w:r>
          </w:p>
        </w:tc>
        <w:tc>
          <w:tcPr/>
          <w:p>
            <w:pPr>
              <w:pStyle w:val="Compact"/>
              <w:spacing w:after="40"/>
              <w:jc w:val="left"/>
            </w:pPr>
            <w:r>
              <w:rPr>
                <w:rStyle w:val="VerbatimChar"/>
                <w:sz w:val="19"/>
              </w:rPr>
              <w:t xml:space="preserve">bw&lt;reg&gt;&lt;proj&gt;cr&lt;NN&gt;</w:t>
            </w:r>
            <w:r>
              <w:rPr>
                <w:sz w:val="19"/>
              </w:rPr>
              <w:t xml:space="preserve"> </w:t>
            </w:r>
            <w:r>
              <w:rPr>
                <w:sz w:val="19"/>
              </w:rPr>
              <w:t xml:space="preserve">(env omitted for shared images)</w:t>
            </w:r>
          </w:p>
        </w:tc>
        <w:tc>
          <w:tcPr/>
          <w:p>
            <w:pPr>
              <w:pStyle w:val="Compact"/>
              <w:spacing w:after="40"/>
              <w:jc w:val="left"/>
            </w:pPr>
            <w:r>
              <w:rPr>
                <w:sz w:val="19"/>
              </w:rPr>
              <w:t xml:space="preserve">Alphanumeric only, globally unique</w:t>
            </w:r>
          </w:p>
        </w:tc>
      </w:tr>
      <w:tr>
        <w:tc>
          <w:tcPr/>
          <w:p>
            <w:pPr>
              <w:pStyle w:val="Compact"/>
              <w:spacing w:after="40"/>
              <w:jc w:val="left"/>
            </w:pPr>
            <w:r>
              <w:rPr>
                <w:sz w:val="19"/>
              </w:rPr>
              <w:t xml:space="preserve">Key Vault</w:t>
            </w:r>
          </w:p>
        </w:tc>
        <w:tc>
          <w:tcPr/>
          <w:p>
            <w:pPr>
              <w:pStyle w:val="Compact"/>
              <w:spacing w:after="40"/>
              <w:jc w:val="left"/>
            </w:pPr>
            <w:r>
              <w:rPr>
                <w:rStyle w:val="VerbatimChar"/>
                <w:sz w:val="19"/>
              </w:rPr>
              <w:t xml:space="preserve">kv-bw-&lt;env&gt;-&lt;reg&gt;-&lt;proj&gt;</w:t>
            </w:r>
          </w:p>
        </w:tc>
        <w:tc>
          <w:tcPr/>
          <w:p>
            <w:pPr>
              <w:pStyle w:val="Compact"/>
              <w:spacing w:after="40"/>
              <w:jc w:val="left"/>
            </w:pPr>
            <w:r>
              <w:rPr>
                <w:sz w:val="19"/>
              </w:rPr>
              <w:t xml:space="preserve">24 chars max, globally unique</w:t>
            </w:r>
          </w:p>
        </w:tc>
      </w:tr>
      <w:tr>
        <w:tc>
          <w:tcPr/>
          <w:p>
            <w:pPr>
              <w:pStyle w:val="Compact"/>
              <w:spacing w:after="40"/>
              <w:jc w:val="left"/>
            </w:pPr>
            <w:r>
              <w:rPr>
                <w:sz w:val="19"/>
              </w:rPr>
              <w:t xml:space="preserve">Windows VM</w:t>
            </w:r>
          </w:p>
        </w:tc>
        <w:tc>
          <w:tcPr/>
          <w:p>
            <w:pPr>
              <w:pStyle w:val="Compact"/>
              <w:spacing w:after="40"/>
              <w:jc w:val="left"/>
            </w:pPr>
            <w:r>
              <w:rPr>
                <w:sz w:val="19"/>
              </w:rPr>
              <w:t xml:space="preserve">Short form required — define per project</w:t>
            </w:r>
          </w:p>
        </w:tc>
        <w:tc>
          <w:tcPr/>
          <w:p>
            <w:pPr>
              <w:pStyle w:val="Compact"/>
              <w:spacing w:after="40"/>
              <w:jc w:val="left"/>
            </w:pPr>
            <w:r>
              <w:rPr>
                <w:sz w:val="19"/>
              </w:rPr>
              <w:t xml:space="preserve">15-char computer name limit</w:t>
            </w:r>
          </w:p>
        </w:tc>
      </w:tr>
      <w:tr>
        <w:tc>
          <w:tcPr/>
          <w:p>
            <w:pPr>
              <w:pStyle w:val="Compact"/>
              <w:spacing w:after="40"/>
              <w:jc w:val="left"/>
            </w:pPr>
            <w:r>
              <w:rPr>
                <w:sz w:val="19"/>
              </w:rPr>
              <w:t xml:space="preserve">App Configuration key</w:t>
            </w:r>
          </w:p>
        </w:tc>
        <w:tc>
          <w:tcPr/>
          <w:p>
            <w:pPr>
              <w:pStyle w:val="Compact"/>
              <w:spacing w:after="40"/>
              <w:jc w:val="left"/>
            </w:pPr>
            <w:r>
              <w:rPr>
                <w:rStyle w:val="VerbatimChar"/>
                <w:sz w:val="19"/>
              </w:rPr>
              <w:t xml:space="preserve">/bw/&lt;env&gt;/&lt;reg&gt;/&lt;proj&gt;/&lt;key&gt;</w:t>
            </w:r>
          </w:p>
        </w:tc>
        <w:tc>
          <w:tcPr/>
          <w:p>
            <w:pPr>
              <w:pStyle w:val="Compact"/>
              <w:spacing w:after="40"/>
              <w:jc w:val="left"/>
            </w:pPr>
            <w:r>
              <w:rPr>
                <w:sz w:val="19"/>
              </w:rPr>
              <w:t xml:space="preserve">Path style</w:t>
            </w:r>
          </w:p>
        </w:tc>
      </w:tr>
      <w:tr>
        <w:tc>
          <w:tcPr/>
          <w:p>
            <w:pPr>
              <w:pStyle w:val="Compact"/>
              <w:spacing w:after="40"/>
              <w:jc w:val="left"/>
            </w:pPr>
            <w:r>
              <w:rPr>
                <w:sz w:val="19"/>
              </w:rPr>
              <w:t xml:space="preserve">Resource group</w:t>
            </w:r>
          </w:p>
        </w:tc>
        <w:tc>
          <w:tcPr/>
          <w:p>
            <w:pPr>
              <w:pStyle w:val="Compact"/>
              <w:spacing w:after="40"/>
              <w:jc w:val="left"/>
            </w:pPr>
            <w:r>
              <w:rPr>
                <w:rStyle w:val="VerbatimChar"/>
                <w:sz w:val="19"/>
              </w:rPr>
              <w:t xml:space="preserve">bw-&lt;env&gt;-&lt;reg&gt;-&lt;proj&gt;-rg-&lt;NN&gt;</w:t>
            </w:r>
          </w:p>
        </w:tc>
        <w:tc>
          <w:tcPr/>
          <w:p>
            <w:pPr>
              <w:pStyle w:val="Compact"/>
              <w:spacing w:after="40"/>
              <w:jc w:val="left"/>
            </w:pPr>
            <w:r>
              <w:rPr>
                <w:sz w:val="19"/>
              </w:rPr>
              <w:t xml:space="preserve">Not yet in the naming convention — to be registered</w:t>
            </w:r>
          </w:p>
        </w:tc>
      </w:tr>
    </w:tbl>
    <w:p>
      <w:pPr>
        <w:pStyle w:val="BodyText"/>
      </w:pPr>
      <w:r>
        <w:rPr>
          <w:bCs/>
          <w:b/>
        </w:rPr>
        <w:t xml:space="preserve">Open question:</w:t>
      </w:r>
      <w:r>
        <w:t xml:space="preserve"> </w:t>
      </w:r>
      <w:r>
        <w:t xml:space="preserve">the Azure Naming Convention does not yet define a resource-group token or a Windows VM short form. Both should be added there before this policy is signed off.</w:t>
      </w:r>
    </w:p>
    <w:bookmarkEnd w:id="25"/>
    <w:bookmarkEnd w:id="26"/>
    <w:bookmarkStart w:id="27" w:name="tagging-conventions"/>
    <w:p>
      <w:pPr>
        <w:pStyle w:val="Heading1"/>
      </w:pPr>
      <w:r>
        <w:t xml:space="preserve">5. Tagging Conventions</w:t>
      </w:r>
    </w:p>
    <w:p>
      <w:pPr>
        <w:pStyle w:val="FirstParagraph"/>
      </w:pPr>
      <w:r>
        <w:t xml:space="preserve">Every taggable Azure resource, resource group and subscription must carry the tags below. Terraform applies them to every taggable resource, and Azure Policy enforces them at the subscription level (Section 6.4).</w:t>
      </w:r>
    </w:p>
    <w:tbl>
      <w:tblPr>
        <w:tblStyle w:val="Table"/>
        <w:tblW w:type="pct" w:w="5000"/>
        <w:tblLook w:firstRow="1" w:lastRow="0" w:firstColumn="0" w:lastColumn="0" w:noHBand="0" w:noVBand="0" w:val="0020"/>
        <w:jc w:val="start"/>
        <w:tblBorders>
          <w:top w:val="single" w:sz="4" w:color="A6B4C8"/>
          <w:left w:val="single" w:sz="4" w:color="A6B4C8"/>
          <w:bottom w:val="single" w:sz="4" w:color="A6B4C8"/>
          <w:right w:val="single" w:sz="4" w:color="A6B4C8"/>
          <w:insideH w:val="single" w:sz="4" w:color="A6B4C8"/>
          <w:insideV w:val="single" w:sz="4" w:color="A6B4C8"/>
        </w:tblBorders>
      </w:tblPr>
      <w:tblGrid>
        <w:gridCol w:w="3960"/>
        <w:gridCol w:w="3960"/>
      </w:tblGrid>
      <w:tr>
        <w:trPr>
          <w:tblHeader w:val="true"/>
        </w:trPr>
        <w:tc>
          <w:tcPr>
            <w:shd w:val="clear" w:color="auto" w:fill="1F3A5F"/>
          </w:tcPr>
          <w:p>
            <w:pPr>
              <w:pStyle w:val="Compact"/>
              <w:spacing w:after="40"/>
              <w:jc w:val="left"/>
            </w:pPr>
            <w:r>
              <w:rPr>
                <w:b/>
                <w:color w:val="FFFFFF"/>
                <w:sz w:val="19"/>
              </w:rPr>
              <w:t xml:space="preserve">Tag</w:t>
            </w:r>
          </w:p>
        </w:tc>
        <w:tc>
          <w:tcPr>
            <w:shd w:val="clear" w:color="auto" w:fill="1F3A5F"/>
          </w:tcPr>
          <w:p>
            <w:pPr>
              <w:pStyle w:val="Compact"/>
              <w:spacing w:after="40"/>
              <w:jc w:val="left"/>
            </w:pPr>
            <w:r>
              <w:rPr>
                <w:b/>
                <w:color w:val="FFFFFF"/>
                <w:sz w:val="19"/>
              </w:rPr>
              <w:t xml:space="preserve">Description</w:t>
            </w:r>
          </w:p>
        </w:tc>
      </w:tr>
      <w:tr>
        <w:tc>
          <w:tcPr/>
          <w:p>
            <w:pPr>
              <w:pStyle w:val="Compact"/>
              <w:spacing w:after="40"/>
              <w:jc w:val="left"/>
            </w:pPr>
            <w:r>
              <w:rPr>
                <w:sz w:val="19"/>
              </w:rPr>
              <w:t xml:space="preserve">Environment</w:t>
            </w:r>
          </w:p>
        </w:tc>
        <w:tc>
          <w:tcPr/>
          <w:p>
            <w:pPr>
              <w:pStyle w:val="Compact"/>
              <w:spacing w:after="40"/>
              <w:jc w:val="left"/>
            </w:pPr>
            <w:r>
              <w:rPr>
                <w:sz w:val="19"/>
              </w:rPr>
              <w:t xml:space="preserve">One of dev, test, prod, shared.</w:t>
            </w:r>
          </w:p>
        </w:tc>
      </w:tr>
      <w:tr>
        <w:tc>
          <w:tcPr/>
          <w:p>
            <w:pPr>
              <w:pStyle w:val="Compact"/>
              <w:spacing w:after="40"/>
              <w:jc w:val="left"/>
            </w:pPr>
            <w:r>
              <w:rPr>
                <w:sz w:val="19"/>
              </w:rPr>
              <w:t xml:space="preserve">Region</w:t>
            </w:r>
          </w:p>
        </w:tc>
        <w:tc>
          <w:tcPr/>
          <w:p>
            <w:pPr>
              <w:pStyle w:val="Compact"/>
              <w:spacing w:after="40"/>
              <w:jc w:val="left"/>
            </w:pPr>
            <w:r>
              <w:rPr>
                <w:sz w:val="19"/>
              </w:rPr>
              <w:t xml:space="preserve">eus or wus2 — matches the region token in the name.</w:t>
            </w:r>
          </w:p>
        </w:tc>
      </w:tr>
      <w:tr>
        <w:tc>
          <w:tcPr/>
          <w:p>
            <w:pPr>
              <w:pStyle w:val="Compact"/>
              <w:spacing w:after="40"/>
              <w:jc w:val="left"/>
            </w:pPr>
            <w:r>
              <w:rPr>
                <w:sz w:val="19"/>
              </w:rPr>
              <w:t xml:space="preserve">Project</w:t>
            </w:r>
          </w:p>
        </w:tc>
        <w:tc>
          <w:tcPr/>
          <w:p>
            <w:pPr>
              <w:pStyle w:val="Compact"/>
              <w:spacing w:after="40"/>
              <w:jc w:val="left"/>
            </w:pPr>
            <w:r>
              <w:rPr>
                <w:sz w:val="19"/>
              </w:rPr>
              <w:t xml:space="preserve">The project (e.g. </w:t>
            </w:r>
            <w:r>
              <w:rPr>
                <w:sz w:val="19"/>
              </w:rPr>
              <w:t xml:space="preserve">“</w:t>
            </w:r>
            <w:r>
              <w:rPr>
                <w:sz w:val="19"/>
              </w:rPr>
              <w:t xml:space="preserve">Tick 2.0</w:t>
            </w:r>
            <w:r>
              <w:rPr>
                <w:sz w:val="19"/>
              </w:rPr>
              <w:t xml:space="preserve">”</w:t>
            </w:r>
            <w:r>
              <w:rPr>
                <w:sz w:val="19"/>
              </w:rPr>
              <w:t xml:space="preserve">). Use Global if project-independent.</w:t>
            </w:r>
          </w:p>
        </w:tc>
      </w:tr>
      <w:tr>
        <w:tc>
          <w:tcPr/>
          <w:p>
            <w:pPr>
              <w:pStyle w:val="Compact"/>
              <w:spacing w:after="40"/>
              <w:jc w:val="left"/>
            </w:pPr>
            <w:r>
              <w:rPr>
                <w:sz w:val="19"/>
              </w:rPr>
              <w:t xml:space="preserve">Product</w:t>
            </w:r>
          </w:p>
        </w:tc>
        <w:tc>
          <w:tcPr/>
          <w:p>
            <w:pPr>
              <w:pStyle w:val="Compact"/>
              <w:spacing w:after="40"/>
              <w:jc w:val="left"/>
            </w:pPr>
            <w:r>
              <w:rPr>
                <w:sz w:val="19"/>
              </w:rPr>
              <w:t xml:space="preserve">The product (US, AS, EU, CA, etc.). Use Global if product-independent.</w:t>
            </w:r>
          </w:p>
        </w:tc>
      </w:tr>
      <w:tr>
        <w:tc>
          <w:tcPr/>
          <w:p>
            <w:pPr>
              <w:pStyle w:val="Compact"/>
              <w:spacing w:after="40"/>
              <w:jc w:val="left"/>
            </w:pPr>
            <w:r>
              <w:rPr>
                <w:sz w:val="19"/>
              </w:rPr>
              <w:t xml:space="preserve">ProductVersion</w:t>
            </w:r>
          </w:p>
        </w:tc>
        <w:tc>
          <w:tcPr/>
          <w:p>
            <w:pPr>
              <w:pStyle w:val="Compact"/>
              <w:spacing w:after="40"/>
              <w:jc w:val="left"/>
            </w:pPr>
            <w:r>
              <w:rPr>
                <w:sz w:val="19"/>
              </w:rPr>
              <w:t xml:space="preserve">The version of the product (1.0, 2.0, etc.).</w:t>
            </w:r>
          </w:p>
        </w:tc>
      </w:tr>
      <w:tr>
        <w:tc>
          <w:tcPr/>
          <w:p>
            <w:pPr>
              <w:pStyle w:val="Compact"/>
              <w:spacing w:after="40"/>
              <w:jc w:val="left"/>
            </w:pPr>
            <w:r>
              <w:rPr>
                <w:sz w:val="19"/>
              </w:rPr>
              <w:t xml:space="preserve">Owner</w:t>
            </w:r>
          </w:p>
        </w:tc>
        <w:tc>
          <w:tcPr/>
          <w:p>
            <w:pPr>
              <w:pStyle w:val="Compact"/>
              <w:spacing w:after="40"/>
              <w:jc w:val="left"/>
            </w:pPr>
            <w:r>
              <w:rPr>
                <w:sz w:val="19"/>
              </w:rPr>
              <w:t xml:space="preserve">Individual or team responsible for the resource (email address or team name).</w:t>
            </w:r>
          </w:p>
        </w:tc>
      </w:tr>
      <w:tr>
        <w:tc>
          <w:tcPr/>
          <w:p>
            <w:pPr>
              <w:pStyle w:val="Compact"/>
              <w:spacing w:after="40"/>
              <w:jc w:val="left"/>
            </w:pPr>
            <w:r>
              <w:rPr>
                <w:sz w:val="19"/>
              </w:rPr>
              <w:t xml:space="preserve">CostCenter</w:t>
            </w:r>
          </w:p>
        </w:tc>
        <w:tc>
          <w:tcPr/>
          <w:p>
            <w:pPr>
              <w:pStyle w:val="Compact"/>
              <w:spacing w:after="40"/>
              <w:jc w:val="left"/>
            </w:pPr>
            <w:r>
              <w:rPr>
                <w:sz w:val="19"/>
              </w:rPr>
              <w:t xml:space="preserve">Finance cost center code. No default — must be supplied per deployment as a required variable with a non-empty validation rule.</w:t>
            </w:r>
          </w:p>
        </w:tc>
      </w:tr>
      <w:tr>
        <w:tc>
          <w:tcPr/>
          <w:p>
            <w:pPr>
              <w:pStyle w:val="Compact"/>
              <w:spacing w:after="40"/>
              <w:jc w:val="left"/>
            </w:pPr>
            <w:r>
              <w:rPr>
                <w:sz w:val="19"/>
              </w:rPr>
              <w:t xml:space="preserve">ManagedBy</w:t>
            </w:r>
          </w:p>
        </w:tc>
        <w:tc>
          <w:tcPr/>
          <w:p>
            <w:pPr>
              <w:pStyle w:val="Compact"/>
              <w:spacing w:after="40"/>
              <w:jc w:val="left"/>
            </w:pPr>
            <w:r>
              <w:rPr>
                <w:sz w:val="19"/>
              </w:rPr>
              <w:t xml:space="preserve">Always Terraform for IaC-managed resources.</w:t>
            </w:r>
          </w:p>
        </w:tc>
      </w:tr>
      <w:tr>
        <w:tc>
          <w:tcPr/>
          <w:p>
            <w:pPr>
              <w:pStyle w:val="Compact"/>
              <w:spacing w:after="40"/>
              <w:jc w:val="left"/>
            </w:pPr>
            <w:r>
              <w:rPr>
                <w:sz w:val="19"/>
              </w:rPr>
              <w:t xml:space="preserve">CreatedDate</w:t>
            </w:r>
          </w:p>
        </w:tc>
        <w:tc>
          <w:tcPr/>
          <w:p>
            <w:pPr>
              <w:pStyle w:val="Compact"/>
              <w:spacing w:after="40"/>
              <w:jc w:val="left"/>
            </w:pPr>
            <w:r>
              <w:rPr>
                <w:sz w:val="19"/>
              </w:rPr>
              <w:t xml:space="preserve">RFC3339 timestamp of first apply, captured with a</w:t>
            </w:r>
            <w:r>
              <w:rPr>
                <w:sz w:val="19"/>
              </w:rPr>
              <w:t xml:space="preserve"> </w:t>
            </w:r>
            <w:r>
              <w:rPr>
                <w:rStyle w:val="VerbatimChar"/>
                <w:sz w:val="19"/>
              </w:rPr>
              <w:t xml:space="preserve">time_static</w:t>
            </w:r>
            <w:r>
              <w:rPr>
                <w:sz w:val="19"/>
              </w:rPr>
              <w:t xml:space="preserve"> </w:t>
            </w:r>
            <w:r>
              <w:rPr>
                <w:sz w:val="19"/>
              </w:rPr>
              <w:t xml:space="preserve">resource (never</w:t>
            </w:r>
            <w:r>
              <w:rPr>
                <w:sz w:val="19"/>
              </w:rPr>
              <w:t xml:space="preserve"> </w:t>
            </w:r>
            <w:r>
              <w:rPr>
                <w:rStyle w:val="VerbatimChar"/>
                <w:sz w:val="19"/>
              </w:rPr>
              <w:t xml:space="preserve">timestamp()</w:t>
            </w:r>
            <w:r>
              <w:rPr>
                <w:sz w:val="19"/>
              </w:rPr>
              <w:t xml:space="preserve">) so it does not drift.</w:t>
            </w:r>
          </w:p>
        </w:tc>
      </w:tr>
      <w:tr>
        <w:tc>
          <w:tcPr/>
          <w:p>
            <w:pPr>
              <w:pStyle w:val="Compact"/>
              <w:spacing w:after="40"/>
              <w:jc w:val="left"/>
            </w:pPr>
            <w:r>
              <w:rPr>
                <w:sz w:val="19"/>
              </w:rPr>
              <w:t xml:space="preserve">CreatedBy</w:t>
            </w:r>
          </w:p>
        </w:tc>
        <w:tc>
          <w:tcPr/>
          <w:p>
            <w:pPr>
              <w:pStyle w:val="Compact"/>
              <w:spacing w:after="40"/>
              <w:jc w:val="left"/>
            </w:pPr>
            <w:r>
              <w:rPr>
                <w:sz w:val="19"/>
              </w:rPr>
              <w:t xml:space="preserve">Object ID of the Entra ID identity that ran the first apply (</w:t>
            </w:r>
            <w:r>
              <w:rPr>
                <w:rStyle w:val="VerbatimChar"/>
                <w:sz w:val="19"/>
              </w:rPr>
              <w:t xml:space="preserve">data.azurerm_client_config.current.object_id</w:t>
            </w:r>
            <w:r>
              <w:rPr>
                <w:sz w:val="19"/>
              </w:rPr>
              <w:t xml:space="preserve">). Locked with</w:t>
            </w:r>
            <w:r>
              <w:rPr>
                <w:sz w:val="19"/>
              </w:rPr>
              <w:t xml:space="preserve"> </w:t>
            </w:r>
            <w:r>
              <w:rPr>
                <w:rStyle w:val="VerbatimChar"/>
                <w:sz w:val="19"/>
              </w:rPr>
              <w:t xml:space="preserve">lifecycle { ignore_changes = [tags["CreatedBy"]] }</w:t>
            </w:r>
            <w:r>
              <w:rPr>
                <w:sz w:val="19"/>
              </w:rPr>
              <w:t xml:space="preserve">.</w:t>
            </w:r>
          </w:p>
        </w:tc>
      </w:tr>
      <w:tr>
        <w:tc>
          <w:tcPr/>
          <w:p>
            <w:pPr>
              <w:pStyle w:val="Compact"/>
              <w:spacing w:after="40"/>
              <w:jc w:val="left"/>
            </w:pPr>
            <w:r>
              <w:rPr>
                <w:sz w:val="19"/>
              </w:rPr>
              <w:t xml:space="preserve">Version</w:t>
            </w:r>
          </w:p>
        </w:tc>
        <w:tc>
          <w:tcPr/>
          <w:p>
            <w:pPr>
              <w:pStyle w:val="Compact"/>
              <w:spacing w:after="40"/>
              <w:jc w:val="left"/>
            </w:pPr>
            <w:r>
              <w:rPr>
                <w:sz w:val="19"/>
              </w:rPr>
              <w:t xml:space="preserve">Format 1.&lt;MMDDYY&gt;.&lt;HHMM&gt; (24-hour), e.g. 1.091926.1946. Recomputed on every apply — deliberately not locked — so it shows Terraform touched the resource.</w:t>
            </w:r>
          </w:p>
        </w:tc>
      </w:tr>
    </w:tbl>
    <w:p>
      <w:pPr>
        <w:pStyle w:val="BodyText"/>
      </w:pPr>
      <w:r>
        <w:rPr>
          <w:bCs/>
          <w:b/>
        </w:rPr>
        <w:t xml:space="preserve">Azure tag rules to know:</w:t>
      </w:r>
    </w:p>
    <w:p>
      <w:pPr>
        <w:numPr>
          <w:ilvl w:val="0"/>
          <w:numId w:val="1003"/>
        </w:numPr>
        <w:pStyle w:val="Compact"/>
      </w:pPr>
      <w:r>
        <w:t xml:space="preserve">Maximum 50 tags per resource, resource group or subscription.</w:t>
      </w:r>
    </w:p>
    <w:p>
      <w:pPr>
        <w:numPr>
          <w:ilvl w:val="0"/>
          <w:numId w:val="1003"/>
        </w:numPr>
        <w:pStyle w:val="Compact"/>
      </w:pPr>
      <w:r>
        <w:t xml:space="preserve">Tag names up to 512 characters (128 for storage accounts); values up to 256 characters.</w:t>
      </w:r>
    </w:p>
    <w:p>
      <w:pPr>
        <w:numPr>
          <w:ilvl w:val="0"/>
          <w:numId w:val="1003"/>
        </w:numPr>
        <w:pStyle w:val="Compact"/>
      </w:pPr>
      <w:r>
        <w:t xml:space="preserve">Tag names are case-insensitive, values are case-sensitive. Use the exact casing above.</w:t>
      </w:r>
    </w:p>
    <w:p>
      <w:pPr>
        <w:numPr>
          <w:ilvl w:val="0"/>
          <w:numId w:val="1003"/>
        </w:numPr>
        <w:pStyle w:val="Compact"/>
      </w:pPr>
      <w:r>
        <w:t xml:space="preserve">Tag names cannot contain</w:t>
      </w:r>
      <w:r>
        <w:t xml:space="preserve"> </w:t>
      </w:r>
      <w:r>
        <w:rPr>
          <w:rStyle w:val="VerbatimChar"/>
        </w:rPr>
        <w:t xml:space="preserve">&lt; &gt; % &amp; \ ? /</w:t>
      </w:r>
      <w:r>
        <w:t xml:space="preserve">.</w:t>
      </w:r>
    </w:p>
    <w:p>
      <w:pPr>
        <w:numPr>
          <w:ilvl w:val="0"/>
          <w:numId w:val="1003"/>
        </w:numPr>
        <w:pStyle w:val="Compact"/>
      </w:pPr>
      <w:r>
        <w:t xml:space="preserve">Tags are</w:t>
      </w:r>
      <w:r>
        <w:t xml:space="preserve"> </w:t>
      </w:r>
      <w:r>
        <w:rPr>
          <w:bCs/>
          <w:b/>
        </w:rPr>
        <w:t xml:space="preserve">not</w:t>
      </w:r>
      <w:r>
        <w:t xml:space="preserve"> </w:t>
      </w:r>
      <w:r>
        <w:t xml:space="preserve">inherited from the resource group or subscription unless Azure Policy is configured to do so.</w:t>
      </w:r>
    </w:p>
    <w:p>
      <w:pPr>
        <w:numPr>
          <w:ilvl w:val="0"/>
          <w:numId w:val="1003"/>
        </w:numPr>
        <w:pStyle w:val="Compact"/>
      </w:pPr>
      <w:r>
        <w:t xml:space="preserve">Azure Cost Management reports by tag only from the date the tag was applied — tag at creation, not afterwards.</w:t>
      </w:r>
    </w:p>
    <w:p>
      <w:pPr>
        <w:numPr>
          <w:ilvl w:val="0"/>
          <w:numId w:val="1003"/>
        </w:numPr>
        <w:pStyle w:val="Compact"/>
      </w:pPr>
      <w:r>
        <w:t xml:space="preserve">A small number of resource types do not support tags; list any in use as exceptions in the module README.</w:t>
      </w:r>
    </w:p>
    <w:bookmarkEnd w:id="27"/>
    <w:bookmarkStart w:id="32" w:name="implementing-naming-tagging-in-terraform"/>
    <w:p>
      <w:pPr>
        <w:pStyle w:val="Heading1"/>
      </w:pPr>
      <w:r>
        <w:t xml:space="preserve">6. Implementing Naming &amp; Tagging in Terraform</w:t>
      </w:r>
    </w:p>
    <w:p>
      <w:pPr>
        <w:pStyle w:val="FirstParagraph"/>
      </w:pPr>
      <w:r>
        <w:t xml:space="preserve">Names and tags are built once in a shared naming module and never typed by hand. The key difference from AWS: the azurerm provider has</w:t>
      </w:r>
      <w:r>
        <w:t xml:space="preserve"> </w:t>
      </w:r>
      <w:r>
        <w:rPr>
          <w:bCs/>
          <w:b/>
        </w:rPr>
        <w:t xml:space="preserve">no</w:t>
      </w:r>
      <w:r>
        <w:rPr>
          <w:bCs/>
          <w:b/>
        </w:rPr>
        <w:t xml:space="preserve"> </w:t>
      </w:r>
      <w:r>
        <w:rPr>
          <w:rStyle w:val="VerbatimChar"/>
          <w:bCs/>
          <w:b/>
        </w:rPr>
        <w:t xml:space="preserve">default_tags</w:t>
      </w:r>
      <w:r>
        <w:rPr>
          <w:bCs/>
          <w:b/>
        </w:rPr>
        <w:t xml:space="preserve"> </w:t>
      </w:r>
      <w:r>
        <w:rPr>
          <w:bCs/>
          <w:b/>
        </w:rPr>
        <w:t xml:space="preserve">block</w:t>
      </w:r>
      <w:r>
        <w:t xml:space="preserve">, so tags must be merged into every resource explicitly and backed by Azure Policy.</w:t>
      </w:r>
    </w:p>
    <w:bookmarkStart w:id="28" w:name="standard-input-variables"/>
    <w:p>
      <w:pPr>
        <w:pStyle w:val="Heading2"/>
      </w:pPr>
      <w:r>
        <w:t xml:space="preserve">6.1 Standard Input Variables</w:t>
      </w:r>
    </w:p>
    <w:p>
      <w:pPr>
        <w:pStyle w:val="FirstParagraph"/>
      </w:pPr>
      <w:r>
        <w:t xml:space="preserve">Every root module declares these variables with validation:</w:t>
      </w:r>
    </w:p>
    <w:p>
      <w:pPr>
        <w:pStyle w:val="SourceCode"/>
        <w:shd w:val="clear" w:color="auto" w:fill="F3F5F8"/>
      </w:pPr>
      <w:r>
        <w:rPr>
          <w:rStyle w:val="VerbatimChar"/>
        </w:rPr>
        <w:t xml:space="preserve">variable "env" {</w:t>
      </w:r>
      <w:r>
        <w:br/>
      </w:r>
      <w:r>
        <w:rPr>
          <w:rStyle w:val="VerbatimChar"/>
        </w:rPr>
        <w:t xml:space="preserve">  type        = string</w:t>
      </w:r>
      <w:r>
        <w:br/>
      </w:r>
      <w:r>
        <w:rPr>
          <w:rStyle w:val="VerbatimChar"/>
        </w:rPr>
        <w:t xml:space="preserve">  description = "Deployment environment"</w:t>
      </w:r>
      <w:r>
        <w:br/>
      </w:r>
      <w:r>
        <w:rPr>
          <w:rStyle w:val="VerbatimChar"/>
        </w:rPr>
        <w:t xml:space="preserve">  validation {</w:t>
      </w:r>
      <w:r>
        <w:br/>
      </w:r>
      <w:r>
        <w:rPr>
          <w:rStyle w:val="VerbatimChar"/>
        </w:rPr>
        <w:t xml:space="preserve">    condition     = contains(["dev", "test", "prod", "shared"], var.env)</w:t>
      </w:r>
      <w:r>
        <w:br/>
      </w:r>
      <w:r>
        <w:rPr>
          <w:rStyle w:val="VerbatimChar"/>
        </w:rPr>
        <w:t xml:space="preserve">    error_message = "env must be one of: dev, test, prod, shared."</w:t>
      </w:r>
      <w:r>
        <w:br/>
      </w:r>
      <w:r>
        <w:rPr>
          <w:rStyle w:val="VerbatimChar"/>
        </w:rPr>
        <w:t xml:space="preserve">  }</w:t>
      </w:r>
      <w:r>
        <w:br/>
      </w:r>
      <w:r>
        <w:rPr>
          <w:rStyle w:val="VerbatimChar"/>
        </w:rPr>
        <w:t xml:space="preserve">}</w:t>
      </w:r>
      <w:r>
        <w:br/>
      </w:r>
      <w:r>
        <w:br/>
      </w:r>
      <w:r>
        <w:rPr>
          <w:rStyle w:val="VerbatimChar"/>
        </w:rPr>
        <w:t xml:space="preserve">variable "region_token" {</w:t>
      </w:r>
      <w:r>
        <w:br/>
      </w:r>
      <w:r>
        <w:rPr>
          <w:rStyle w:val="VerbatimChar"/>
        </w:rPr>
        <w:t xml:space="preserve">  type    = string</w:t>
      </w:r>
      <w:r>
        <w:br/>
      </w:r>
      <w:r>
        <w:rPr>
          <w:rStyle w:val="VerbatimChar"/>
        </w:rPr>
        <w:t xml:space="preserve">  default = "eus"</w:t>
      </w:r>
      <w:r>
        <w:br/>
      </w:r>
      <w:r>
        <w:rPr>
          <w:rStyle w:val="VerbatimChar"/>
        </w:rPr>
        <w:t xml:space="preserve">  validation {</w:t>
      </w:r>
      <w:r>
        <w:br/>
      </w:r>
      <w:r>
        <w:rPr>
          <w:rStyle w:val="VerbatimChar"/>
        </w:rPr>
        <w:t xml:space="preserve">    condition     = contains(["eus", "wus2"], var.region_token)</w:t>
      </w:r>
      <w:r>
        <w:br/>
      </w:r>
      <w:r>
        <w:rPr>
          <w:rStyle w:val="VerbatimChar"/>
        </w:rPr>
        <w:t xml:space="preserve">    error_message = "region_token must be eus or wus2."</w:t>
      </w:r>
      <w:r>
        <w:br/>
      </w:r>
      <w:r>
        <w:rPr>
          <w:rStyle w:val="VerbatimChar"/>
        </w:rPr>
        <w:t xml:space="preserve">  }</w:t>
      </w:r>
      <w:r>
        <w:br/>
      </w:r>
      <w:r>
        <w:rPr>
          <w:rStyle w:val="VerbatimChar"/>
        </w:rPr>
        <w:t xml:space="preserve">}</w:t>
      </w:r>
      <w:r>
        <w:br/>
      </w:r>
      <w:r>
        <w:br/>
      </w:r>
      <w:r>
        <w:rPr>
          <w:rStyle w:val="VerbatimChar"/>
        </w:rPr>
        <w:t xml:space="preserve">variable "proj" {</w:t>
      </w:r>
      <w:r>
        <w:br/>
      </w:r>
      <w:r>
        <w:rPr>
          <w:rStyle w:val="VerbatimChar"/>
        </w:rPr>
        <w:t xml:space="preserve">  type = string</w:t>
      </w:r>
      <w:r>
        <w:br/>
      </w:r>
      <w:r>
        <w:rPr>
          <w:rStyle w:val="VerbatimChar"/>
        </w:rPr>
        <w:t xml:space="preserve">  validation {</w:t>
      </w:r>
      <w:r>
        <w:br/>
      </w:r>
      <w:r>
        <w:rPr>
          <w:rStyle w:val="VerbatimChar"/>
        </w:rPr>
        <w:t xml:space="preserve">    condition     = can(regex("^[a-z0-9]{3,6}$", var.proj))</w:t>
      </w:r>
      <w:r>
        <w:br/>
      </w:r>
      <w:r>
        <w:rPr>
          <w:rStyle w:val="VerbatimChar"/>
        </w:rPr>
        <w:t xml:space="preserve">    error_message = "proj must be 3-6 lowercase characters, no hyphens."</w:t>
      </w:r>
      <w:r>
        <w:br/>
      </w:r>
      <w:r>
        <w:rPr>
          <w:rStyle w:val="VerbatimChar"/>
        </w:rPr>
        <w:t xml:space="preserve">  }</w:t>
      </w:r>
      <w:r>
        <w:br/>
      </w:r>
      <w:r>
        <w:rPr>
          <w:rStyle w:val="VerbatimChar"/>
        </w:rPr>
        <w:t xml:space="preserve">}</w:t>
      </w:r>
      <w:r>
        <w:br/>
      </w:r>
      <w:r>
        <w:br/>
      </w:r>
      <w:r>
        <w:rPr>
          <w:rStyle w:val="VerbatimChar"/>
        </w:rPr>
        <w:t xml:space="preserve">variable "cost_center" {</w:t>
      </w:r>
      <w:r>
        <w:br/>
      </w:r>
      <w:r>
        <w:rPr>
          <w:rStyle w:val="VerbatimChar"/>
        </w:rPr>
        <w:t xml:space="preserve">  type = string</w:t>
      </w:r>
      <w:r>
        <w:br/>
      </w:r>
      <w:r>
        <w:rPr>
          <w:rStyle w:val="VerbatimChar"/>
        </w:rPr>
        <w:t xml:space="preserve">  validation {</w:t>
      </w:r>
      <w:r>
        <w:br/>
      </w:r>
      <w:r>
        <w:rPr>
          <w:rStyle w:val="VerbatimChar"/>
        </w:rPr>
        <w:t xml:space="preserve">    condition     = length(trimspace(var.cost_center)) &gt; 0</w:t>
      </w:r>
      <w:r>
        <w:br/>
      </w:r>
      <w:r>
        <w:rPr>
          <w:rStyle w:val="VerbatimChar"/>
        </w:rPr>
        <w:t xml:space="preserve">    error_message = "cost_center is required."</w:t>
      </w:r>
      <w:r>
        <w:br/>
      </w:r>
      <w:r>
        <w:rPr>
          <w:rStyle w:val="VerbatimChar"/>
        </w:rPr>
        <w:t xml:space="preserve">  }</w:t>
      </w:r>
      <w:r>
        <w:br/>
      </w:r>
      <w:r>
        <w:rPr>
          <w:rStyle w:val="VerbatimChar"/>
        </w:rPr>
        <w:t xml:space="preserve">}</w:t>
      </w:r>
    </w:p>
    <w:bookmarkEnd w:id="28"/>
    <w:bookmarkStart w:id="29" w:name="computed-naming-and-tag-locals"/>
    <w:p>
      <w:pPr>
        <w:pStyle w:val="Heading2"/>
      </w:pPr>
      <w:r>
        <w:t xml:space="preserve">6.2 Computed Naming and Tag Locals</w:t>
      </w:r>
    </w:p>
    <w:p>
      <w:pPr>
        <w:pStyle w:val="SourceCode"/>
        <w:shd w:val="clear" w:color="auto" w:fill="F3F5F8"/>
      </w:pPr>
      <w:r>
        <w:rPr>
          <w:rStyle w:val="VerbatimChar"/>
        </w:rPr>
        <w:t xml:space="preserve">data "azurerm_client_config" "current" {}</w:t>
      </w:r>
      <w:r>
        <w:br/>
      </w:r>
      <w:r>
        <w:br/>
      </w:r>
      <w:r>
        <w:rPr>
          <w:rStyle w:val="VerbatimChar"/>
        </w:rPr>
        <w:t xml:space="preserve">resource "time_static" "created" {}</w:t>
      </w:r>
      <w:r>
        <w:br/>
      </w:r>
      <w:r>
        <w:br/>
      </w:r>
      <w:r>
        <w:rPr>
          <w:rStyle w:val="VerbatimChar"/>
        </w:rPr>
        <w:t xml:space="preserve">locals {</w:t>
      </w:r>
      <w:r>
        <w:br/>
      </w:r>
      <w:r>
        <w:rPr>
          <w:rStyle w:val="VerbatimChar"/>
        </w:rPr>
        <w:t xml:space="preserve">  prefix       = "bw-${var.env}-${var.region_token}-${var.proj}"</w:t>
      </w:r>
      <w:r>
        <w:br/>
      </w:r>
      <w:r>
        <w:rPr>
          <w:rStyle w:val="VerbatimChar"/>
        </w:rPr>
        <w:t xml:space="preserve">  prefix_alnum = "bw${var.env}${var.region_token}${var.proj}"   # storage / ACR</w:t>
      </w:r>
      <w:r>
        <w:br/>
      </w:r>
      <w:r>
        <w:br/>
      </w:r>
      <w:r>
        <w:rPr>
          <w:rStyle w:val="VerbatimChar"/>
        </w:rPr>
        <w:t xml:space="preserve">  common_tags = {</w:t>
      </w:r>
      <w:r>
        <w:br/>
      </w:r>
      <w:r>
        <w:rPr>
          <w:rStyle w:val="VerbatimChar"/>
        </w:rPr>
        <w:t xml:space="preserve">    Environment    = var.env</w:t>
      </w:r>
      <w:r>
        <w:br/>
      </w:r>
      <w:r>
        <w:rPr>
          <w:rStyle w:val="VerbatimChar"/>
        </w:rPr>
        <w:t xml:space="preserve">    Region         = var.region_token</w:t>
      </w:r>
      <w:r>
        <w:br/>
      </w:r>
      <w:r>
        <w:rPr>
          <w:rStyle w:val="VerbatimChar"/>
        </w:rPr>
        <w:t xml:space="preserve">    Project        = var.project</w:t>
      </w:r>
      <w:r>
        <w:br/>
      </w:r>
      <w:r>
        <w:rPr>
          <w:rStyle w:val="VerbatimChar"/>
        </w:rPr>
        <w:t xml:space="preserve">    Product        = var.product</w:t>
      </w:r>
      <w:r>
        <w:br/>
      </w:r>
      <w:r>
        <w:rPr>
          <w:rStyle w:val="VerbatimChar"/>
        </w:rPr>
        <w:t xml:space="preserve">    ProductVersion = var.product_version</w:t>
      </w:r>
      <w:r>
        <w:br/>
      </w:r>
      <w:r>
        <w:rPr>
          <w:rStyle w:val="VerbatimChar"/>
        </w:rPr>
        <w:t xml:space="preserve">    Owner          = var.owner</w:t>
      </w:r>
      <w:r>
        <w:br/>
      </w:r>
      <w:r>
        <w:rPr>
          <w:rStyle w:val="VerbatimChar"/>
        </w:rPr>
        <w:t xml:space="preserve">    CostCenter     = var.cost_center</w:t>
      </w:r>
      <w:r>
        <w:br/>
      </w:r>
      <w:r>
        <w:rPr>
          <w:rStyle w:val="VerbatimChar"/>
        </w:rPr>
        <w:t xml:space="preserve">    ManagedBy      = "Terraform"</w:t>
      </w:r>
      <w:r>
        <w:br/>
      </w:r>
      <w:r>
        <w:rPr>
          <w:rStyle w:val="VerbatimChar"/>
        </w:rPr>
        <w:t xml:space="preserve">    CreatedDate    = time_static.created.rfc3339</w:t>
      </w:r>
      <w:r>
        <w:br/>
      </w:r>
      <w:r>
        <w:rPr>
          <w:rStyle w:val="VerbatimChar"/>
        </w:rPr>
        <w:t xml:space="preserve">    CreatedBy      = data.azurerm_client_config.current.object_id</w:t>
      </w:r>
      <w:r>
        <w:br/>
      </w:r>
      <w:r>
        <w:rPr>
          <w:rStyle w:val="VerbatimChar"/>
        </w:rPr>
        <w:t xml:space="preserve">    Version        = "1.${formatdate("MMDDYY.hhmm", timestamp())}"</w:t>
      </w:r>
      <w:r>
        <w:br/>
      </w:r>
      <w:r>
        <w:rPr>
          <w:rStyle w:val="VerbatimChar"/>
        </w:rPr>
        <w:t xml:space="preserve">  }</w:t>
      </w:r>
      <w:r>
        <w:br/>
      </w:r>
      <w:r>
        <w:rPr>
          <w:rStyle w:val="VerbatimChar"/>
        </w:rPr>
        <w:t xml:space="preserve">}</w:t>
      </w:r>
    </w:p>
    <w:bookmarkEnd w:id="29"/>
    <w:bookmarkStart w:id="30" w:name="applying-tags-to-resources"/>
    <w:p>
      <w:pPr>
        <w:pStyle w:val="Heading2"/>
      </w:pPr>
      <w:r>
        <w:t xml:space="preserve">6.3 Applying Tags to Resources</w:t>
      </w:r>
    </w:p>
    <w:p>
      <w:pPr>
        <w:pStyle w:val="FirstParagraph"/>
      </w:pPr>
      <w:r>
        <w:t xml:space="preserve">Every taggable resource sets</w:t>
      </w:r>
      <w:r>
        <w:t xml:space="preserve"> </w:t>
      </w:r>
      <w:r>
        <w:rPr>
          <w:rStyle w:val="VerbatimChar"/>
        </w:rPr>
        <w:t xml:space="preserve">tags = local.common_tags</w:t>
      </w:r>
      <w:r>
        <w:t xml:space="preserve">, or</w:t>
      </w:r>
      <w:r>
        <w:t xml:space="preserve"> </w:t>
      </w:r>
      <w:r>
        <w:rPr>
          <w:rStyle w:val="VerbatimChar"/>
        </w:rPr>
        <w:t xml:space="preserve">merge(local.common_tags, { ... })</w:t>
      </w:r>
      <w:r>
        <w:t xml:space="preserve"> </w:t>
      </w:r>
      <w:r>
        <w:t xml:space="preserve">for resource-specific additions:</w:t>
      </w:r>
    </w:p>
    <w:p>
      <w:pPr>
        <w:pStyle w:val="SourceCode"/>
        <w:shd w:val="clear" w:color="auto" w:fill="F3F5F8"/>
      </w:pPr>
      <w:r>
        <w:rPr>
          <w:rStyle w:val="VerbatimChar"/>
        </w:rPr>
        <w:t xml:space="preserve">resource "azurerm_resource_group" "main" {</w:t>
      </w:r>
      <w:r>
        <w:br/>
      </w:r>
      <w:r>
        <w:rPr>
          <w:rStyle w:val="VerbatimChar"/>
        </w:rPr>
        <w:t xml:space="preserve">  name     = "${local.prefix}-rg-01"</w:t>
      </w:r>
      <w:r>
        <w:br/>
      </w:r>
      <w:r>
        <w:rPr>
          <w:rStyle w:val="VerbatimChar"/>
        </w:rPr>
        <w:t xml:space="preserve">  location = var.location</w:t>
      </w:r>
      <w:r>
        <w:br/>
      </w:r>
      <w:r>
        <w:rPr>
          <w:rStyle w:val="VerbatimChar"/>
        </w:rPr>
        <w:t xml:space="preserve">  tags     = local.common_tags</w:t>
      </w:r>
      <w:r>
        <w:br/>
      </w:r>
      <w:r>
        <w:br/>
      </w:r>
      <w:r>
        <w:rPr>
          <w:rStyle w:val="VerbatimChar"/>
        </w:rPr>
        <w:t xml:space="preserve">  lifecycle {</w:t>
      </w:r>
      <w:r>
        <w:br/>
      </w:r>
      <w:r>
        <w:rPr>
          <w:rStyle w:val="VerbatimChar"/>
        </w:rPr>
        <w:t xml:space="preserve">    ignore_changes = [tags["CreatedBy"], tags["CreatedDate"]]</w:t>
      </w:r>
      <w:r>
        <w:br/>
      </w:r>
      <w:r>
        <w:rPr>
          <w:rStyle w:val="VerbatimChar"/>
        </w:rPr>
        <w:t xml:space="preserve">  }</w:t>
      </w:r>
      <w:r>
        <w:br/>
      </w:r>
      <w:r>
        <w:rPr>
          <w:rStyle w:val="VerbatimChar"/>
        </w:rPr>
        <w:t xml:space="preserve">}</w:t>
      </w:r>
    </w:p>
    <w:bookmarkEnd w:id="30"/>
    <w:bookmarkStart w:id="31" w:name="enforcement-with-azure-policy"/>
    <w:p>
      <w:pPr>
        <w:pStyle w:val="Heading2"/>
      </w:pPr>
      <w:r>
        <w:t xml:space="preserve">6.4 Enforcement with Azure Policy</w:t>
      </w:r>
    </w:p>
    <w:p>
      <w:pPr>
        <w:pStyle w:val="FirstParagraph"/>
      </w:pPr>
      <w:r>
        <w:t xml:space="preserve">Because Terraform cannot guarantee every resource is tagged, Operations assigns these built-in policies at each subscription:</w:t>
      </w:r>
    </w:p>
    <w:p>
      <w:pPr>
        <w:numPr>
          <w:ilvl w:val="0"/>
          <w:numId w:val="1004"/>
        </w:numPr>
        <w:pStyle w:val="Compact"/>
      </w:pPr>
      <w:r>
        <w:rPr>
          <w:bCs/>
          <w:b/>
        </w:rPr>
        <w:t xml:space="preserve">Require a tag on resource groups</w:t>
      </w:r>
      <w:r>
        <w:t xml:space="preserve"> </w:t>
      </w:r>
      <w:r>
        <w:t xml:space="preserve">— for Environment, Owner, CostCenter and ManagedBy (deny effect).</w:t>
      </w:r>
    </w:p>
    <w:p>
      <w:pPr>
        <w:numPr>
          <w:ilvl w:val="0"/>
          <w:numId w:val="1004"/>
        </w:numPr>
        <w:pStyle w:val="Compact"/>
      </w:pPr>
      <w:r>
        <w:rPr>
          <w:bCs/>
          <w:b/>
        </w:rPr>
        <w:t xml:space="preserve">Inherit a tag from the resource group if missing</w:t>
      </w:r>
      <w:r>
        <w:t xml:space="preserve"> </w:t>
      </w:r>
      <w:r>
        <w:t xml:space="preserve">— for Environment, Project, Owner and CostCenter (modify effect, with remediation for existing resources).</w:t>
      </w:r>
    </w:p>
    <w:p>
      <w:pPr>
        <w:numPr>
          <w:ilvl w:val="0"/>
          <w:numId w:val="1004"/>
        </w:numPr>
        <w:pStyle w:val="Compact"/>
      </w:pPr>
      <w:r>
        <w:rPr>
          <w:bCs/>
          <w:b/>
        </w:rPr>
        <w:t xml:space="preserve">Allowed locations</w:t>
      </w:r>
      <w:r>
        <w:t xml:space="preserve"> </w:t>
      </w:r>
      <w:r>
        <w:t xml:space="preserve">— East US and West US 2 only.</w:t>
      </w:r>
    </w:p>
    <w:p>
      <w:pPr>
        <w:pStyle w:val="FirstParagraph"/>
      </w:pPr>
      <w:r>
        <w:rPr>
          <w:bCs/>
          <w:b/>
        </w:rPr>
        <w:t xml:space="preserve">NOTE:</w:t>
      </w:r>
      <w:r>
        <w:t xml:space="preserve"> </w:t>
      </w:r>
      <w:r>
        <w:t xml:space="preserve">Reviewers must confirm required tags appear in the plan output for any resource type new to the codebase. tflint (Section 10) should flag any</w:t>
      </w:r>
      <w:r>
        <w:t xml:space="preserve"> </w:t>
      </w:r>
      <w:r>
        <w:rPr>
          <w:rStyle w:val="VerbatimChar"/>
        </w:rPr>
        <w:t xml:space="preserve">azurerm_*</w:t>
      </w:r>
      <w:r>
        <w:t xml:space="preserve"> </w:t>
      </w:r>
      <w:r>
        <w:t xml:space="preserve">resource missing a</w:t>
      </w:r>
      <w:r>
        <w:t xml:space="preserve"> </w:t>
      </w:r>
      <w:r>
        <w:rPr>
          <w:rStyle w:val="VerbatimChar"/>
        </w:rPr>
        <w:t xml:space="preserve">tags</w:t>
      </w:r>
      <w:r>
        <w:t xml:space="preserve"> </w:t>
      </w:r>
      <w:r>
        <w:t xml:space="preserve">argument.</w:t>
      </w:r>
    </w:p>
    <w:bookmarkEnd w:id="31"/>
    <w:bookmarkEnd w:id="32"/>
    <w:bookmarkStart w:id="33" w:name="repository-directory-structure"/>
    <w:p>
      <w:pPr>
        <w:pStyle w:val="Heading1"/>
      </w:pPr>
      <w:r>
        <w:t xml:space="preserve">7. Repository &amp; Directory Structure</w:t>
      </w:r>
    </w:p>
    <w:p>
      <w:pPr>
        <w:pStyle w:val="SourceCode"/>
        <w:shd w:val="clear" w:color="auto" w:fill="F3F5F8"/>
      </w:pPr>
      <w:r>
        <w:rPr>
          <w:rStyle w:val="VerbatimChar"/>
        </w:rPr>
        <w:t xml:space="preserve">repo-root/</w:t>
      </w:r>
      <w:r>
        <w:br/>
      </w:r>
      <w:r>
        <w:rPr>
          <w:rStyle w:val="VerbatimChar"/>
        </w:rPr>
        <w:t xml:space="preserve">  environments/</w:t>
      </w:r>
      <w:r>
        <w:br/>
      </w:r>
      <w:r>
        <w:rPr>
          <w:rStyle w:val="VerbatimChar"/>
        </w:rPr>
        <w:t xml:space="preserve">    dev/</w:t>
      </w:r>
      <w:r>
        <w:br/>
      </w:r>
      <w:r>
        <w:rPr>
          <w:rStyle w:val="VerbatimChar"/>
        </w:rPr>
        <w:t xml:space="preserve">      eus/    main.tf  variables.tf  outputs.tf  versions.tf  backend.tf  terraform.tfvars</w:t>
      </w:r>
      <w:r>
        <w:br/>
      </w:r>
      <w:r>
        <w:rPr>
          <w:rStyle w:val="VerbatimChar"/>
        </w:rPr>
        <w:t xml:space="preserve">      wus2/   ...</w:t>
      </w:r>
      <w:r>
        <w:br/>
      </w:r>
      <w:r>
        <w:rPr>
          <w:rStyle w:val="VerbatimChar"/>
        </w:rPr>
        <w:t xml:space="preserve">    test/     eus/  wus2/</w:t>
      </w:r>
      <w:r>
        <w:br/>
      </w:r>
      <w:r>
        <w:rPr>
          <w:rStyle w:val="VerbatimChar"/>
        </w:rPr>
        <w:t xml:space="preserve">    prod/     eus/  wus2/</w:t>
      </w:r>
      <w:r>
        <w:br/>
      </w:r>
      <w:r>
        <w:rPr>
          <w:rStyle w:val="VerbatimChar"/>
        </w:rPr>
        <w:t xml:space="preserve">    shared/   eus/</w:t>
      </w:r>
      <w:r>
        <w:br/>
      </w:r>
      <w:r>
        <w:rPr>
          <w:rStyle w:val="VerbatimChar"/>
        </w:rPr>
        <w:t xml:space="preserve">  modules/</w:t>
      </w:r>
      <w:r>
        <w:br/>
      </w:r>
      <w:r>
        <w:rPr>
          <w:rStyle w:val="VerbatimChar"/>
        </w:rPr>
        <w:t xml:space="preserve">    naming/          main.tf  variables.tf  outputs.tf  versions.tf  README.md</w:t>
      </w:r>
      <w:r>
        <w:br/>
      </w:r>
      <w:r>
        <w:rPr>
          <w:rStyle w:val="VerbatimChar"/>
        </w:rPr>
        <w:t xml:space="preserve">    &lt;module-name&gt;/   main.tf  variables.tf  outputs.tf  versions.tf  README.md</w:t>
      </w:r>
    </w:p>
    <w:p>
      <w:pPr>
        <w:numPr>
          <w:ilvl w:val="0"/>
          <w:numId w:val="1005"/>
        </w:numPr>
        <w:pStyle w:val="Compact"/>
      </w:pPr>
      <w:r>
        <w:t xml:space="preserve">One directory per environment and region — no two ever share a state file or .tfvars.</w:t>
      </w:r>
    </w:p>
    <w:p>
      <w:pPr>
        <w:numPr>
          <w:ilvl w:val="0"/>
          <w:numId w:val="1005"/>
        </w:numPr>
        <w:pStyle w:val="Compact"/>
      </w:pPr>
      <w:r>
        <w:t xml:space="preserve">DR deployments live in the</w:t>
      </w:r>
      <w:r>
        <w:t xml:space="preserve"> </w:t>
      </w:r>
      <w:r>
        <w:rPr>
          <w:rStyle w:val="VerbatimChar"/>
        </w:rPr>
        <w:t xml:space="preserve">wus2</w:t>
      </w:r>
      <w:r>
        <w:t xml:space="preserve"> </w:t>
      </w:r>
      <w:r>
        <w:t xml:space="preserve">folder beside the primary; only</w:t>
      </w:r>
      <w:r>
        <w:t xml:space="preserve"> </w:t>
      </w:r>
      <w:r>
        <w:rPr>
          <w:rStyle w:val="VerbatimChar"/>
        </w:rPr>
        <w:t xml:space="preserve">region_token</w:t>
      </w:r>
      <w:r>
        <w:t xml:space="preserve"> </w:t>
      </w:r>
      <w:r>
        <w:t xml:space="preserve">and</w:t>
      </w:r>
      <w:r>
        <w:t xml:space="preserve"> </w:t>
      </w:r>
      <w:r>
        <w:rPr>
          <w:rStyle w:val="VerbatimChar"/>
        </w:rPr>
        <w:t xml:space="preserve">location</w:t>
      </w:r>
      <w:r>
        <w:t xml:space="preserve"> </w:t>
      </w:r>
      <w:r>
        <w:t xml:space="preserve">differ.</w:t>
      </w:r>
    </w:p>
    <w:p>
      <w:pPr>
        <w:numPr>
          <w:ilvl w:val="0"/>
          <w:numId w:val="1005"/>
        </w:numPr>
        <w:pStyle w:val="Compact"/>
      </w:pPr>
      <w:r>
        <w:t xml:space="preserve">Reusable logic lives under</w:t>
      </w:r>
      <w:r>
        <w:t xml:space="preserve"> </w:t>
      </w:r>
      <w:r>
        <w:rPr>
          <w:rStyle w:val="VerbatimChar"/>
        </w:rPr>
        <w:t xml:space="preserve">modules/</w:t>
      </w:r>
      <w:r>
        <w:t xml:space="preserve">, consumed by root modules, never duplicated.</w:t>
      </w:r>
    </w:p>
    <w:p>
      <w:pPr>
        <w:numPr>
          <w:ilvl w:val="0"/>
          <w:numId w:val="1005"/>
        </w:numPr>
        <w:pStyle w:val="Compact"/>
      </w:pPr>
      <w:r>
        <w:t xml:space="preserve">Every root module separates concerns into main.tf, variables.tf, outputs.tf, versions.tf and backend.tf.</w:t>
      </w:r>
    </w:p>
    <w:bookmarkEnd w:id="33"/>
    <w:bookmarkStart w:id="35" w:name="state-management"/>
    <w:p>
      <w:pPr>
        <w:pStyle w:val="Heading1"/>
      </w:pPr>
      <w:r>
        <w:t xml:space="preserve">8. State Management</w:t>
      </w:r>
    </w:p>
    <w:p>
      <w:pPr>
        <w:pStyle w:val="FirstParagraph"/>
      </w:pPr>
      <w:r>
        <w:t xml:space="preserve">State is stored in an Azure Storage blob container using the</w:t>
      </w:r>
      <w:r>
        <w:t xml:space="preserve"> </w:t>
      </w:r>
      <w:r>
        <w:rPr>
          <w:rStyle w:val="VerbatimChar"/>
        </w:rPr>
        <w:t xml:space="preserve">azurerm</w:t>
      </w:r>
      <w:r>
        <w:t xml:space="preserve"> </w:t>
      </w:r>
      <w:r>
        <w:t xml:space="preserve">backend. Locking is native: the backend takes a blob lease during every operation, so no extra lock table or lock file is needed (the Azure equivalent of the AWS move away from DynamoDB).</w:t>
      </w:r>
    </w:p>
    <w:p>
      <w:pPr>
        <w:numPr>
          <w:ilvl w:val="0"/>
          <w:numId w:val="1006"/>
        </w:numPr>
        <w:pStyle w:val="Compact"/>
      </w:pPr>
      <w:r>
        <w:t xml:space="preserve">All state is remote, in a storage account with blob versioning and soft delete enabled. Local state files are never committed.</w:t>
      </w:r>
    </w:p>
    <w:p>
      <w:pPr>
        <w:numPr>
          <w:ilvl w:val="0"/>
          <w:numId w:val="1006"/>
        </w:numPr>
        <w:pStyle w:val="Compact"/>
      </w:pPr>
      <w:r>
        <w:t xml:space="preserve">State lives in the same subscription as the resources it describes. During the migration period (single shared subscription), each environment uses its own container.</w:t>
      </w:r>
    </w:p>
    <w:p>
      <w:pPr>
        <w:numPr>
          <w:ilvl w:val="0"/>
          <w:numId w:val="1006"/>
        </w:numPr>
        <w:pStyle w:val="Compact"/>
      </w:pPr>
      <w:r>
        <w:t xml:space="preserve">State is partitioned per environment, region and project/function.</w:t>
      </w:r>
    </w:p>
    <w:p>
      <w:pPr>
        <w:numPr>
          <w:ilvl w:val="0"/>
          <w:numId w:val="1006"/>
        </w:numPr>
        <w:pStyle w:val="Compact"/>
      </w:pPr>
      <w:r>
        <w:t xml:space="preserve">The backend authenticates with Entra ID (</w:t>
      </w:r>
      <w:r>
        <w:rPr>
          <w:rStyle w:val="VerbatimChar"/>
        </w:rPr>
        <w:t xml:space="preserve">use_azuread_auth = true</w:t>
      </w:r>
      <w:r>
        <w:t xml:space="preserve">) and OIDC. Storage account access keys are not used, and shared-key access is disabled on the state account.</w:t>
      </w:r>
    </w:p>
    <w:p>
      <w:pPr>
        <w:numPr>
          <w:ilvl w:val="0"/>
          <w:numId w:val="1006"/>
        </w:numPr>
        <w:pStyle w:val="Compact"/>
      </w:pPr>
      <w:r>
        <w:t xml:space="preserve">Every root module sets</w:t>
      </w:r>
      <w:r>
        <w:t xml:space="preserve"> </w:t>
      </w:r>
      <w:r>
        <w:rPr>
          <w:rStyle w:val="VerbatimChar"/>
        </w:rPr>
        <w:t xml:space="preserve">required_version = "&gt;= 1.10.0"</w:t>
      </w:r>
      <w:r>
        <w:t xml:space="preserve"> </w:t>
      </w:r>
      <w:r>
        <w:t xml:space="preserve">and pins azurerm to</w:t>
      </w:r>
      <w:r>
        <w:t xml:space="preserve"> </w:t>
      </w:r>
      <w:r>
        <w:rPr>
          <w:rStyle w:val="VerbatimChar"/>
        </w:rPr>
        <w:t xml:space="preserve">~&gt; 4.0</w:t>
      </w:r>
      <w:r>
        <w:t xml:space="preserve">.</w:t>
      </w:r>
    </w:p>
    <w:p>
      <w:pPr>
        <w:numPr>
          <w:ilvl w:val="0"/>
          <w:numId w:val="1006"/>
        </w:numPr>
        <w:pStyle w:val="Compact"/>
      </w:pPr>
      <w:r>
        <w:t xml:space="preserve">Nobody edits state by hand. Fixes go through</w:t>
      </w:r>
      <w:r>
        <w:t xml:space="preserve"> </w:t>
      </w:r>
      <w:r>
        <w:rPr>
          <w:rStyle w:val="VerbatimChar"/>
        </w:rPr>
        <w:t xml:space="preserve">terraform state mv</w:t>
      </w:r>
      <w:r>
        <w:t xml:space="preserve"> </w:t>
      </w:r>
      <w:r>
        <w:t xml:space="preserve">/</w:t>
      </w:r>
      <w:r>
        <w:t xml:space="preserve"> </w:t>
      </w:r>
      <w:r>
        <w:rPr>
          <w:rStyle w:val="VerbatimChar"/>
        </w:rPr>
        <w:t xml:space="preserve">rm</w:t>
      </w:r>
      <w:r>
        <w:t xml:space="preserve"> </w:t>
      </w:r>
      <w:r>
        <w:t xml:space="preserve">/</w:t>
      </w:r>
      <w:r>
        <w:t xml:space="preserve"> </w:t>
      </w:r>
      <w:r>
        <w:rPr>
          <w:rStyle w:val="VerbatimChar"/>
        </w:rPr>
        <w:t xml:space="preserve">import</w:t>
      </w:r>
      <w:r>
        <w:t xml:space="preserve"> </w:t>
      </w:r>
      <w:r>
        <w:t xml:space="preserve">blocks, described in the PR.</w:t>
      </w:r>
    </w:p>
    <w:p>
      <w:pPr>
        <w:pStyle w:val="SourceCode"/>
        <w:shd w:val="clear" w:color="auto" w:fill="F3F5F8"/>
      </w:pPr>
      <w:r>
        <w:rPr>
          <w:rStyle w:val="VerbatimChar"/>
        </w:rPr>
        <w:t xml:space="preserve"># backend.tf</w:t>
      </w:r>
      <w:r>
        <w:br/>
      </w:r>
      <w:r>
        <w:rPr>
          <w:rStyle w:val="VerbatimChar"/>
        </w:rPr>
        <w:t xml:space="preserve">#</w:t>
      </w:r>
      <w:r>
        <w:br/>
      </w:r>
      <w:r>
        <w:rPr>
          <w:rStyle w:val="VerbatimChar"/>
        </w:rPr>
        <w:t xml:space="preserve">#   storage_account_name = bw&lt;env&gt;&lt;reg&gt;infrasttfst01   one per subscription + region</w:t>
      </w:r>
      <w:r>
        <w:br/>
      </w:r>
      <w:r>
        <w:rPr>
          <w:rStyle w:val="VerbatimChar"/>
        </w:rPr>
        <w:t xml:space="preserve">#   container_name       = tfstate-&lt;env&gt;</w:t>
      </w:r>
      <w:r>
        <w:br/>
      </w:r>
      <w:r>
        <w:rPr>
          <w:rStyle w:val="VerbatimChar"/>
        </w:rPr>
        <w:t xml:space="preserve">#   key                  = &lt;proj&gt;/&lt;function&gt;/terraform.tfstate</w:t>
      </w:r>
      <w:r>
        <w:br/>
      </w:r>
      <w:r>
        <w:rPr>
          <w:rStyle w:val="VerbatimChar"/>
        </w:rPr>
        <w:t xml:space="preserve">#</w:t>
      </w:r>
      <w:r>
        <w:br/>
      </w:r>
      <w:r>
        <w:rPr>
          <w:rStyle w:val="VerbatimChar"/>
        </w:rPr>
        <w:t xml:space="preserve">#   Locking uses a blob lease on the state file — nothing to configure or clean up.</w:t>
      </w:r>
      <w:r>
        <w:br/>
      </w:r>
      <w:r>
        <w:rPr>
          <w:rStyle w:val="VerbatimChar"/>
        </w:rPr>
        <w:t xml:space="preserve">#   Never share a container or key across environments or subscriptions.</w:t>
      </w:r>
      <w:r>
        <w:br/>
      </w:r>
      <w:r>
        <w:br/>
      </w:r>
      <w:r>
        <w:rPr>
          <w:rStyle w:val="VerbatimChar"/>
        </w:rPr>
        <w:t xml:space="preserve">terraform {</w:t>
      </w:r>
      <w:r>
        <w:br/>
      </w:r>
      <w:r>
        <w:rPr>
          <w:rStyle w:val="VerbatimChar"/>
        </w:rPr>
        <w:t xml:space="preserve">  required_version = "&gt;= 1.10.0"</w:t>
      </w:r>
      <w:r>
        <w:br/>
      </w:r>
      <w:r>
        <w:br/>
      </w:r>
      <w:r>
        <w:rPr>
          <w:rStyle w:val="VerbatimChar"/>
        </w:rPr>
        <w:t xml:space="preserve">  required_providers {</w:t>
      </w:r>
      <w:r>
        <w:br/>
      </w:r>
      <w:r>
        <w:rPr>
          <w:rStyle w:val="VerbatimChar"/>
        </w:rPr>
        <w:t xml:space="preserve">    azurerm = {</w:t>
      </w:r>
      <w:r>
        <w:br/>
      </w:r>
      <w:r>
        <w:rPr>
          <w:rStyle w:val="VerbatimChar"/>
        </w:rPr>
        <w:t xml:space="preserve">      source  = "hashicorp/azurerm"</w:t>
      </w:r>
      <w:r>
        <w:br/>
      </w:r>
      <w:r>
        <w:rPr>
          <w:rStyle w:val="VerbatimChar"/>
        </w:rPr>
        <w:t xml:space="preserve">      version = "~&gt; 4.0"</w:t>
      </w:r>
      <w:r>
        <w:br/>
      </w:r>
      <w:r>
        <w:rPr>
          <w:rStyle w:val="VerbatimChar"/>
        </w:rPr>
        <w:t xml:space="preserve">    }</w:t>
      </w:r>
      <w:r>
        <w:br/>
      </w:r>
      <w:r>
        <w:rPr>
          <w:rStyle w:val="VerbatimChar"/>
        </w:rPr>
        <w:t xml:space="preserve">  }</w:t>
      </w:r>
      <w:r>
        <w:br/>
      </w:r>
      <w:r>
        <w:br/>
      </w:r>
      <w:r>
        <w:rPr>
          <w:rStyle w:val="VerbatimChar"/>
        </w:rPr>
        <w:t xml:space="preserve">  backend "azurerm" {</w:t>
      </w:r>
      <w:r>
        <w:br/>
      </w:r>
      <w:r>
        <w:rPr>
          <w:rStyle w:val="VerbatimChar"/>
        </w:rPr>
        <w:t xml:space="preserve">    resource_group_name  = "bw-prod-eus-infra-rg-01"</w:t>
      </w:r>
      <w:r>
        <w:br/>
      </w:r>
      <w:r>
        <w:rPr>
          <w:rStyle w:val="VerbatimChar"/>
        </w:rPr>
        <w:t xml:space="preserve">    storage_account_name = "bwprodeusinfrasttfst01"       # 22 chars (max 24)</w:t>
      </w:r>
      <w:r>
        <w:br/>
      </w:r>
      <w:r>
        <w:rPr>
          <w:rStyle w:val="VerbatimChar"/>
        </w:rPr>
        <w:t xml:space="preserve">    container_name       = "tfstate-prod"</w:t>
      </w:r>
      <w:r>
        <w:br/>
      </w:r>
      <w:r>
        <w:rPr>
          <w:rStyle w:val="VerbatimChar"/>
        </w:rPr>
        <w:t xml:space="preserve">    key                  = "tick/cachewriter/terraform.tfstate"</w:t>
      </w:r>
      <w:r>
        <w:br/>
      </w:r>
      <w:r>
        <w:rPr>
          <w:rStyle w:val="VerbatimChar"/>
        </w:rPr>
        <w:t xml:space="preserve">    use_azuread_auth     = true</w:t>
      </w:r>
      <w:r>
        <w:br/>
      </w:r>
      <w:r>
        <w:rPr>
          <w:rStyle w:val="VerbatimChar"/>
        </w:rPr>
        <w:t xml:space="preserve">    use_oidc             = true</w:t>
      </w:r>
      <w:r>
        <w:br/>
      </w:r>
      <w:r>
        <w:rPr>
          <w:rStyle w:val="VerbatimChar"/>
        </w:rPr>
        <w:t xml:space="preserve">  }</w:t>
      </w:r>
      <w:r>
        <w:br/>
      </w:r>
      <w:r>
        <w:rPr>
          <w:rStyle w:val="VerbatimChar"/>
        </w:rPr>
        <w:t xml:space="preserve">}</w:t>
      </w:r>
    </w:p>
    <w:bookmarkStart w:id="34" w:name="state-storage-repository-naming"/>
    <w:p>
      <w:pPr>
        <w:pStyle w:val="Heading2"/>
      </w:pPr>
      <w:r>
        <w:t xml:space="preserve">8.1 State Storage &amp; Repository Naming</w:t>
      </w:r>
    </w:p>
    <w:tbl>
      <w:tblPr>
        <w:tblStyle w:val="Table"/>
        <w:tblW w:type="pct" w:w="5000"/>
        <w:tblLook w:firstRow="1" w:lastRow="0" w:firstColumn="0" w:lastColumn="0" w:noHBand="0" w:noVBand="0" w:val="0020"/>
        <w:jc w:val="start"/>
        <w:tblBorders>
          <w:top w:val="single" w:sz="4" w:color="A6B4C8"/>
          <w:left w:val="single" w:sz="4" w:color="A6B4C8"/>
          <w:bottom w:val="single" w:sz="4" w:color="A6B4C8"/>
          <w:right w:val="single" w:sz="4" w:color="A6B4C8"/>
          <w:insideH w:val="single" w:sz="4" w:color="A6B4C8"/>
          <w:insideV w:val="single" w:sz="4" w:color="A6B4C8"/>
        </w:tblBorders>
      </w:tblPr>
      <w:tblGrid>
        <w:gridCol w:w="2640"/>
        <w:gridCol w:w="2640"/>
        <w:gridCol w:w="2640"/>
      </w:tblGrid>
      <w:tr>
        <w:trPr>
          <w:tblHeader w:val="true"/>
        </w:trPr>
        <w:tc>
          <w:tcPr>
            <w:shd w:val="clear" w:color="auto" w:fill="1F3A5F"/>
          </w:tcPr>
          <w:p>
            <w:pPr>
              <w:pStyle w:val="Compact"/>
              <w:spacing w:after="40"/>
              <w:jc w:val="left"/>
            </w:pPr>
            <w:r>
              <w:rPr>
                <w:b/>
                <w:color w:val="FFFFFF"/>
                <w:sz w:val="19"/>
              </w:rPr>
              <w:t xml:space="preserve">Artifact</w:t>
            </w:r>
          </w:p>
        </w:tc>
        <w:tc>
          <w:tcPr>
            <w:shd w:val="clear" w:color="auto" w:fill="1F3A5F"/>
          </w:tcPr>
          <w:p>
            <w:pPr>
              <w:pStyle w:val="Compact"/>
              <w:spacing w:after="40"/>
              <w:jc w:val="left"/>
            </w:pPr>
            <w:r>
              <w:rPr>
                <w:b/>
                <w:color w:val="FFFFFF"/>
                <w:sz w:val="19"/>
              </w:rPr>
              <w:t xml:space="preserve">Pattern</w:t>
            </w:r>
          </w:p>
        </w:tc>
        <w:tc>
          <w:tcPr>
            <w:shd w:val="clear" w:color="auto" w:fill="1F3A5F"/>
          </w:tcPr>
          <w:p>
            <w:pPr>
              <w:pStyle w:val="Compact"/>
              <w:spacing w:after="40"/>
              <w:jc w:val="left"/>
            </w:pPr>
            <w:r>
              <w:rPr>
                <w:b/>
                <w:color w:val="FFFFFF"/>
                <w:sz w:val="19"/>
              </w:rPr>
              <w:t xml:space="preserve">Example</w:t>
            </w:r>
          </w:p>
        </w:tc>
      </w:tr>
      <w:tr>
        <w:tc>
          <w:tcPr/>
          <w:p>
            <w:pPr>
              <w:pStyle w:val="Compact"/>
              <w:spacing w:after="40"/>
              <w:jc w:val="left"/>
            </w:pPr>
            <w:r>
              <w:rPr>
                <w:sz w:val="19"/>
              </w:rPr>
              <w:t xml:space="preserve">State storage account</w:t>
            </w:r>
          </w:p>
        </w:tc>
        <w:tc>
          <w:tcPr/>
          <w:p>
            <w:pPr>
              <w:pStyle w:val="Compact"/>
              <w:spacing w:after="40"/>
              <w:jc w:val="left"/>
            </w:pPr>
            <w:r>
              <w:rPr>
                <w:rStyle w:val="VerbatimChar"/>
                <w:sz w:val="19"/>
              </w:rPr>
              <w:t xml:space="preserve">bw&lt;env&gt;&lt;reg&gt;infrasttfst&lt;NN&gt;</w:t>
            </w:r>
          </w:p>
        </w:tc>
        <w:tc>
          <w:tcPr/>
          <w:p>
            <w:pPr>
              <w:pStyle w:val="Compact"/>
              <w:spacing w:after="40"/>
              <w:jc w:val="left"/>
            </w:pPr>
            <w:r>
              <w:rPr>
                <w:sz w:val="19"/>
              </w:rPr>
              <w:t xml:space="preserve">bwprodeusinfrasttfst01</w:t>
            </w:r>
          </w:p>
        </w:tc>
      </w:tr>
      <w:tr>
        <w:tc>
          <w:tcPr/>
          <w:p>
            <w:pPr>
              <w:pStyle w:val="Compact"/>
              <w:spacing w:after="40"/>
              <w:jc w:val="left"/>
            </w:pPr>
            <w:r>
              <w:rPr>
                <w:sz w:val="19"/>
              </w:rPr>
              <w:t xml:space="preserve">State container</w:t>
            </w:r>
          </w:p>
        </w:tc>
        <w:tc>
          <w:tcPr/>
          <w:p>
            <w:pPr>
              <w:pStyle w:val="Compact"/>
              <w:spacing w:after="40"/>
              <w:jc w:val="left"/>
            </w:pPr>
            <w:r>
              <w:rPr>
                <w:rStyle w:val="VerbatimChar"/>
                <w:sz w:val="19"/>
              </w:rPr>
              <w:t xml:space="preserve">tfstate-&lt;env&gt;</w:t>
            </w:r>
          </w:p>
        </w:tc>
        <w:tc>
          <w:tcPr/>
          <w:p>
            <w:pPr>
              <w:pStyle w:val="Compact"/>
              <w:spacing w:after="40"/>
              <w:jc w:val="left"/>
            </w:pPr>
            <w:r>
              <w:rPr>
                <w:sz w:val="19"/>
              </w:rPr>
              <w:t xml:space="preserve">tfstate-prod</w:t>
            </w:r>
          </w:p>
        </w:tc>
      </w:tr>
      <w:tr>
        <w:tc>
          <w:tcPr/>
          <w:p>
            <w:pPr>
              <w:pStyle w:val="Compact"/>
              <w:spacing w:after="40"/>
              <w:jc w:val="left"/>
            </w:pPr>
            <w:r>
              <w:rPr>
                <w:sz w:val="19"/>
              </w:rPr>
              <w:t xml:space="preserve">State key</w:t>
            </w:r>
          </w:p>
        </w:tc>
        <w:tc>
          <w:tcPr/>
          <w:p>
            <w:pPr>
              <w:pStyle w:val="Compact"/>
              <w:spacing w:after="40"/>
              <w:jc w:val="left"/>
            </w:pPr>
            <w:r>
              <w:rPr>
                <w:rStyle w:val="VerbatimChar"/>
                <w:sz w:val="19"/>
              </w:rPr>
              <w:t xml:space="preserve">&lt;proj&gt;/&lt;function&gt;/terraform.tfstate</w:t>
            </w:r>
          </w:p>
        </w:tc>
        <w:tc>
          <w:tcPr/>
          <w:p>
            <w:pPr>
              <w:pStyle w:val="Compact"/>
              <w:spacing w:after="40"/>
              <w:jc w:val="left"/>
            </w:pPr>
            <w:r>
              <w:rPr>
                <w:sz w:val="19"/>
              </w:rPr>
              <w:t xml:space="preserve">tick/cachewriter/terraform.tfstate</w:t>
            </w:r>
          </w:p>
        </w:tc>
      </w:tr>
      <w:tr>
        <w:tc>
          <w:tcPr/>
          <w:p>
            <w:pPr>
              <w:pStyle w:val="Compact"/>
              <w:spacing w:after="40"/>
              <w:jc w:val="left"/>
            </w:pPr>
            <w:r>
              <w:rPr>
                <w:sz w:val="19"/>
              </w:rPr>
              <w:t xml:space="preserve">Terraform GitHub repo</w:t>
            </w:r>
          </w:p>
        </w:tc>
        <w:tc>
          <w:tcPr/>
          <w:p>
            <w:pPr>
              <w:pStyle w:val="Compact"/>
              <w:spacing w:after="40"/>
              <w:jc w:val="left"/>
            </w:pPr>
            <w:r>
              <w:rPr>
                <w:rStyle w:val="VerbatimChar"/>
                <w:sz w:val="19"/>
              </w:rPr>
              <w:t xml:space="preserve">&lt;product&gt;-terraform</w:t>
            </w:r>
          </w:p>
        </w:tc>
        <w:tc>
          <w:tcPr/>
          <w:p>
            <w:pPr>
              <w:pStyle w:val="Compact"/>
              <w:spacing w:after="40"/>
              <w:jc w:val="left"/>
            </w:pPr>
            <w:r>
              <w:rPr>
                <w:sz w:val="19"/>
              </w:rPr>
              <w:t xml:space="preserve">optionstrat-terraform</w:t>
            </w:r>
          </w:p>
        </w:tc>
      </w:tr>
      <w:tr>
        <w:tc>
          <w:tcPr/>
          <w:p>
            <w:pPr>
              <w:pStyle w:val="Compact"/>
              <w:spacing w:after="40"/>
              <w:jc w:val="left"/>
            </w:pPr>
            <w:r>
              <w:rPr>
                <w:sz w:val="19"/>
              </w:rPr>
              <w:t xml:space="preserve">Shared module repo</w:t>
            </w:r>
          </w:p>
        </w:tc>
        <w:tc>
          <w:tcPr/>
          <w:p>
            <w:pPr>
              <w:pStyle w:val="Compact"/>
              <w:spacing w:after="40"/>
              <w:jc w:val="left"/>
            </w:pPr>
            <w:r>
              <w:rPr>
                <w:rStyle w:val="VerbatimChar"/>
                <w:sz w:val="19"/>
              </w:rPr>
              <w:t xml:space="preserve">tf-modules</w:t>
            </w:r>
          </w:p>
        </w:tc>
        <w:tc>
          <w:tcPr/>
          <w:p>
            <w:pPr>
              <w:pStyle w:val="Compact"/>
              <w:spacing w:after="40"/>
              <w:jc w:val="left"/>
            </w:pPr>
            <w:r>
              <w:rPr>
                <w:sz w:val="19"/>
              </w:rPr>
              <w:t xml:space="preserve">tf-modules (single, Ops-owned)</w:t>
            </w:r>
          </w:p>
        </w:tc>
      </w:tr>
    </w:tbl>
    <w:p>
      <w:pPr>
        <w:pStyle w:val="BodyText"/>
      </w:pPr>
      <w:r>
        <w:rPr>
          <w:bCs/>
          <w:b/>
        </w:rPr>
        <w:t xml:space="preserve">NOTE:</w:t>
      </w:r>
      <w:r>
        <w:t xml:space="preserve"> </w:t>
      </w:r>
      <w:r>
        <w:t xml:space="preserve">with the</w:t>
      </w:r>
      <w:r>
        <w:t xml:space="preserve"> </w:t>
      </w:r>
      <w:r>
        <w:rPr>
          <w:rStyle w:val="VerbatimChar"/>
        </w:rPr>
        <w:t xml:space="preserve">shared</w:t>
      </w:r>
      <w:r>
        <w:t xml:space="preserve"> </w:t>
      </w:r>
      <w:r>
        <w:t xml:space="preserve">environment the storage account name reaches 24 characters (</w:t>
      </w:r>
      <w:r>
        <w:rPr>
          <w:rStyle w:val="VerbatimChar"/>
        </w:rPr>
        <w:t xml:space="preserve">bwsharedeusinfrasttfst01</w:t>
      </w:r>
      <w:r>
        <w:t xml:space="preserve">) — exactly the limit. Do not lengthen the qualifier.</w:t>
      </w:r>
    </w:p>
    <w:bookmarkEnd w:id="34"/>
    <w:bookmarkEnd w:id="35"/>
    <w:bookmarkStart w:id="36" w:name="module-standards"/>
    <w:p>
      <w:pPr>
        <w:pStyle w:val="Heading1"/>
      </w:pPr>
      <w:r>
        <w:t xml:space="preserve">9. Module Standards</w:t>
      </w:r>
    </w:p>
    <w:p>
      <w:pPr>
        <w:numPr>
          <w:ilvl w:val="0"/>
          <w:numId w:val="1007"/>
        </w:numPr>
        <w:pStyle w:val="Compact"/>
      </w:pPr>
      <w:r>
        <w:t xml:space="preserve">Every reusable module has a README.md generated with terraform-docs and kept current.</w:t>
      </w:r>
    </w:p>
    <w:p>
      <w:pPr>
        <w:numPr>
          <w:ilvl w:val="0"/>
          <w:numId w:val="1007"/>
        </w:numPr>
        <w:pStyle w:val="Compact"/>
      </w:pPr>
      <w:r>
        <w:t xml:space="preserve">Every variable and output has a description; variables accepting restricted values include a validation block.</w:t>
      </w:r>
    </w:p>
    <w:p>
      <w:pPr>
        <w:numPr>
          <w:ilvl w:val="0"/>
          <w:numId w:val="1007"/>
        </w:numPr>
        <w:pStyle w:val="Compact"/>
      </w:pPr>
      <w:r>
        <w:t xml:space="preserve">Modules pin a compatible azurerm version range (e.g. </w:t>
      </w:r>
      <w:r>
        <w:rPr>
          <w:rStyle w:val="VerbatimChar"/>
        </w:rPr>
        <w:t xml:space="preserve">~&gt; 4.0</w:t>
      </w:r>
      <w:r>
        <w:t xml:space="preserve">) in versions.tf and a minimum Terraform version.</w:t>
      </w:r>
    </w:p>
    <w:p>
      <w:pPr>
        <w:numPr>
          <w:ilvl w:val="0"/>
          <w:numId w:val="1007"/>
        </w:numPr>
        <w:pStyle w:val="Compact"/>
      </w:pPr>
      <w:r>
        <w:t xml:space="preserve">Modules accept</w:t>
      </w:r>
      <w:r>
        <w:t xml:space="preserve"> </w:t>
      </w:r>
      <w:r>
        <w:rPr>
          <w:rStyle w:val="VerbatimChar"/>
        </w:rPr>
        <w:t xml:space="preserve">tags</w:t>
      </w:r>
      <w:r>
        <w:t xml:space="preserve"> </w:t>
      </w:r>
      <w:r>
        <w:t xml:space="preserve">as an input and apply it to every taggable resource they create.</w:t>
      </w:r>
    </w:p>
    <w:p>
      <w:pPr>
        <w:numPr>
          <w:ilvl w:val="0"/>
          <w:numId w:val="1007"/>
        </w:numPr>
        <w:pStyle w:val="Compact"/>
      </w:pPr>
      <w:r>
        <w:t xml:space="preserve">Internal modules use semantic version git tags (v1.0.0…); root modules pin the exact version, never a floating ref like main.</w:t>
      </w:r>
    </w:p>
    <w:p>
      <w:pPr>
        <w:numPr>
          <w:ilvl w:val="0"/>
          <w:numId w:val="1007"/>
        </w:numPr>
        <w:pStyle w:val="Compact"/>
      </w:pPr>
      <w:r>
        <w:t xml:space="preserve">Prefer Azure Verified Modules as a starting point where one exists, wrapped in an internal module that applies our naming and tags.</w:t>
      </w:r>
    </w:p>
    <w:bookmarkEnd w:id="36"/>
    <w:bookmarkStart w:id="37" w:name="code-style-formatting"/>
    <w:p>
      <w:pPr>
        <w:pStyle w:val="Heading1"/>
      </w:pPr>
      <w:r>
        <w:t xml:space="preserve">10. Code Style &amp; Formatting</w:t>
      </w:r>
    </w:p>
    <w:p>
      <w:pPr>
        <w:numPr>
          <w:ilvl w:val="0"/>
          <w:numId w:val="1008"/>
        </w:numPr>
        <w:pStyle w:val="Compact"/>
      </w:pPr>
      <w:r>
        <w:rPr>
          <w:rStyle w:val="VerbatimChar"/>
        </w:rPr>
        <w:t xml:space="preserve">terraform fmt -recursive</w:t>
      </w:r>
      <w:r>
        <w:t xml:space="preserve"> </w:t>
      </w:r>
      <w:r>
        <w:t xml:space="preserve">runs before every commit; CI fails if formatting is not already applied.</w:t>
      </w:r>
    </w:p>
    <w:p>
      <w:pPr>
        <w:numPr>
          <w:ilvl w:val="0"/>
          <w:numId w:val="1008"/>
        </w:numPr>
        <w:pStyle w:val="Compact"/>
      </w:pPr>
      <w:r>
        <w:rPr>
          <w:rStyle w:val="VerbatimChar"/>
        </w:rPr>
        <w:t xml:space="preserve">terraform validate</w:t>
      </w:r>
      <w:r>
        <w:t xml:space="preserve"> </w:t>
      </w:r>
      <w:r>
        <w:t xml:space="preserve">runs in CI for every root module that changed.</w:t>
      </w:r>
    </w:p>
    <w:p>
      <w:pPr>
        <w:numPr>
          <w:ilvl w:val="0"/>
          <w:numId w:val="1008"/>
        </w:numPr>
        <w:pStyle w:val="Compact"/>
      </w:pPr>
      <w:r>
        <w:t xml:space="preserve">tflint runs in CI with the</w:t>
      </w:r>
      <w:r>
        <w:t xml:space="preserve"> </w:t>
      </w:r>
      <w:r>
        <w:rPr>
          <w:bCs/>
          <w:b/>
        </w:rPr>
        <w:t xml:space="preserve">azurerm ruleset</w:t>
      </w:r>
      <w:r>
        <w:t xml:space="preserve"> </w:t>
      </w:r>
      <w:r>
        <w:t xml:space="preserve">(tflint-ruleset-azurerm) to catch invalid SKUs, sizes and arguments before apply.</w:t>
      </w:r>
    </w:p>
    <w:p>
      <w:pPr>
        <w:numPr>
          <w:ilvl w:val="0"/>
          <w:numId w:val="1008"/>
        </w:numPr>
        <w:pStyle w:val="Compact"/>
      </w:pPr>
      <w:r>
        <w:t xml:space="preserve">A static security scanner (Trivy — formerly tfsec — or Checkov) runs in CI and blocks merges on high/critical findings.</w:t>
      </w:r>
    </w:p>
    <w:p>
      <w:pPr>
        <w:numPr>
          <w:ilvl w:val="0"/>
          <w:numId w:val="1008"/>
        </w:numPr>
        <w:pStyle w:val="Compact"/>
      </w:pPr>
      <w:r>
        <w:t xml:space="preserve">A naming check rejects any</w:t>
      </w:r>
      <w:r>
        <w:t xml:space="preserve"> </w:t>
      </w:r>
      <w:r>
        <w:rPr>
          <w:rStyle w:val="VerbatimChar"/>
        </w:rPr>
        <w:t xml:space="preserve">azurerm_*</w:t>
      </w:r>
      <w:r>
        <w:t xml:space="preserve"> </w:t>
      </w:r>
      <w:r>
        <w:t xml:space="preserve">resource whose name does not start with</w:t>
      </w:r>
      <w:r>
        <w:t xml:space="preserve"> </w:t>
      </w:r>
      <w:r>
        <w:rPr>
          <w:rStyle w:val="VerbatimChar"/>
        </w:rPr>
        <w:t xml:space="preserve">bw-</w:t>
      </w:r>
      <w:r>
        <w:t xml:space="preserve">,</w:t>
      </w:r>
      <w:r>
        <w:t xml:space="preserve"> </w:t>
      </w:r>
      <w:r>
        <w:rPr>
          <w:rStyle w:val="VerbatimChar"/>
        </w:rPr>
        <w:t xml:space="preserve">bw</w:t>
      </w:r>
      <w:r>
        <w:t xml:space="preserve"> </w:t>
      </w:r>
      <w:r>
        <w:t xml:space="preserve">(storage/ACR),</w:t>
      </w:r>
      <w:r>
        <w:t xml:space="preserve"> </w:t>
      </w:r>
      <w:r>
        <w:rPr>
          <w:rStyle w:val="VerbatimChar"/>
        </w:rPr>
        <w:t xml:space="preserve">kv-bw-</w:t>
      </w:r>
      <w:r>
        <w:t xml:space="preserve"> </w:t>
      </w:r>
      <w:r>
        <w:t xml:space="preserve">or</w:t>
      </w:r>
      <w:r>
        <w:t xml:space="preserve"> </w:t>
      </w:r>
      <w:r>
        <w:rPr>
          <w:rStyle w:val="VerbatimChar"/>
        </w:rPr>
        <w:t xml:space="preserve">/bw/</w:t>
      </w:r>
      <w:r>
        <w:t xml:space="preserve">.</w:t>
      </w:r>
    </w:p>
    <w:p>
      <w:pPr>
        <w:numPr>
          <w:ilvl w:val="0"/>
          <w:numId w:val="1008"/>
        </w:numPr>
        <w:pStyle w:val="Compact"/>
      </w:pPr>
      <w:r>
        <w:t xml:space="preserve">Identifiers use snake_case; human-facing names follow Section 4.</w:t>
      </w:r>
    </w:p>
    <w:bookmarkEnd w:id="37"/>
    <w:bookmarkStart w:id="38" w:name="version-control-workflow"/>
    <w:p>
      <w:pPr>
        <w:pStyle w:val="Heading1"/>
      </w:pPr>
      <w:r>
        <w:t xml:space="preserve">11. Version Control &amp; Workflow</w:t>
      </w:r>
    </w:p>
    <w:p>
      <w:pPr>
        <w:numPr>
          <w:ilvl w:val="0"/>
          <w:numId w:val="1009"/>
        </w:numPr>
        <w:pStyle w:val="Compact"/>
      </w:pPr>
      <w:r>
        <w:t xml:space="preserve">Terraform lives in version control alongside a CODEOWNERS file so sensitive module changes require Operations review.</w:t>
      </w:r>
    </w:p>
    <w:p>
      <w:pPr>
        <w:numPr>
          <w:ilvl w:val="0"/>
          <w:numId w:val="1009"/>
        </w:numPr>
        <w:pStyle w:val="Compact"/>
      </w:pPr>
      <w:r>
        <w:t xml:space="preserve">All changes go through a feature branch and pull request — no direct commits to the default branch.</w:t>
      </w:r>
    </w:p>
    <w:p>
      <w:pPr>
        <w:numPr>
          <w:ilvl w:val="0"/>
          <w:numId w:val="1009"/>
        </w:numPr>
        <w:pStyle w:val="Compact"/>
      </w:pPr>
      <w:r>
        <w:t xml:space="preserve">Every pull request requires review and approval before merge — see Section 13.2.</w:t>
      </w:r>
    </w:p>
    <w:p>
      <w:pPr>
        <w:numPr>
          <w:ilvl w:val="0"/>
          <w:numId w:val="1009"/>
        </w:numPr>
        <w:pStyle w:val="Compact"/>
      </w:pPr>
      <w:r>
        <w:t xml:space="preserve">The pipeline posts the</w:t>
      </w:r>
      <w:r>
        <w:t xml:space="preserve"> </w:t>
      </w:r>
      <w:r>
        <w:rPr>
          <w:rStyle w:val="VerbatimChar"/>
        </w:rPr>
        <w:t xml:space="preserve">terraform plan</w:t>
      </w:r>
      <w:r>
        <w:t xml:space="preserve"> </w:t>
      </w:r>
      <w:r>
        <w:t xml:space="preserve">output on the pull request so reviewers see the exact diff before approving.</w:t>
      </w:r>
    </w:p>
    <w:p>
      <w:pPr>
        <w:numPr>
          <w:ilvl w:val="0"/>
          <w:numId w:val="1009"/>
        </w:numPr>
        <w:pStyle w:val="Compact"/>
      </w:pPr>
      <w:r>
        <w:t xml:space="preserve">Dev applies may be run locally; test, prod and shared are pipeline-only, gated on PR approval.</w:t>
      </w:r>
    </w:p>
    <w:p>
      <w:pPr>
        <w:numPr>
          <w:ilvl w:val="0"/>
          <w:numId w:val="1009"/>
        </w:numPr>
        <w:pStyle w:val="Compact"/>
      </w:pPr>
      <w:r>
        <w:t xml:space="preserve">Manual changes in the Azure portal, CLI or PowerShell to Terraform-managed resources are prohibited; drift is reconciled by importing or reverting.</w:t>
      </w:r>
    </w:p>
    <w:bookmarkEnd w:id="38"/>
    <w:bookmarkStart w:id="44" w:name="managing-ongoing-terraform-changes"/>
    <w:p>
      <w:pPr>
        <w:pStyle w:val="Heading1"/>
      </w:pPr>
      <w:r>
        <w:t xml:space="preserve">12. Managing Ongoing Terraform Changes</w:t>
      </w:r>
    </w:p>
    <w:bookmarkStart w:id="39" w:name="routine-changes"/>
    <w:p>
      <w:pPr>
        <w:pStyle w:val="Heading2"/>
      </w:pPr>
      <w:r>
        <w:t xml:space="preserve">12.1 Routine Changes</w:t>
      </w:r>
    </w:p>
    <w:p>
      <w:pPr>
        <w:numPr>
          <w:ilvl w:val="0"/>
          <w:numId w:val="1010"/>
        </w:numPr>
        <w:pStyle w:val="Compact"/>
      </w:pPr>
      <w:r>
        <w:t xml:space="preserve">Cut a feature branch and edit the relevant .tf files.</w:t>
      </w:r>
    </w:p>
    <w:p>
      <w:pPr>
        <w:numPr>
          <w:ilvl w:val="0"/>
          <w:numId w:val="1010"/>
        </w:numPr>
        <w:pStyle w:val="Compact"/>
      </w:pPr>
      <w:r>
        <w:t xml:space="preserve">Run terraform fmt, validate and tflint locally before pushing.</w:t>
      </w:r>
    </w:p>
    <w:p>
      <w:pPr>
        <w:numPr>
          <w:ilvl w:val="0"/>
          <w:numId w:val="1010"/>
        </w:numPr>
        <w:pStyle w:val="Compact"/>
      </w:pPr>
      <w:r>
        <w:t xml:space="preserve">Open a pull request — CI runs checks and posts the plan output as a PR comment.</w:t>
      </w:r>
    </w:p>
    <w:p>
      <w:pPr>
        <w:numPr>
          <w:ilvl w:val="0"/>
          <w:numId w:val="1010"/>
        </w:numPr>
        <w:pStyle w:val="Compact"/>
      </w:pPr>
      <w:r>
        <w:t xml:space="preserve">A team member reviews the plan against the naming and tagging rules in Sections 4–6.</w:t>
      </w:r>
    </w:p>
    <w:p>
      <w:pPr>
        <w:numPr>
          <w:ilvl w:val="0"/>
          <w:numId w:val="1010"/>
        </w:numPr>
        <w:pStyle w:val="Compact"/>
      </w:pPr>
      <w:r>
        <w:t xml:space="preserve">Merge triggers an automatic apply to dev; test, prod and shared require the manual approval gate.</w:t>
      </w:r>
    </w:p>
    <w:bookmarkEnd w:id="39"/>
    <w:bookmarkStart w:id="40" w:name="module-provider-upgrades"/>
    <w:p>
      <w:pPr>
        <w:pStyle w:val="Heading2"/>
      </w:pPr>
      <w:r>
        <w:t xml:space="preserve">12.2 Module &amp; Provider Upgrades</w:t>
      </w:r>
    </w:p>
    <w:p>
      <w:pPr>
        <w:numPr>
          <w:ilvl w:val="0"/>
          <w:numId w:val="1011"/>
        </w:numPr>
        <w:pStyle w:val="Compact"/>
      </w:pPr>
      <w:r>
        <w:t xml:space="preserve">Pin the new version explicitly — never float on a branch ref such as main.</w:t>
      </w:r>
    </w:p>
    <w:p>
      <w:pPr>
        <w:numPr>
          <w:ilvl w:val="0"/>
          <w:numId w:val="1011"/>
        </w:numPr>
        <w:pStyle w:val="Compact"/>
      </w:pPr>
      <w:r>
        <w:t xml:space="preserve">Run a plan in dev first, then test, then prod (primary region before DR).</w:t>
      </w:r>
    </w:p>
    <w:p>
      <w:pPr>
        <w:numPr>
          <w:ilvl w:val="0"/>
          <w:numId w:val="1011"/>
        </w:numPr>
        <w:pStyle w:val="Compact"/>
      </w:pPr>
      <w:r>
        <w:t xml:space="preserve">Read the azurerm upgrade guide for major versions; major releases rename or remove resources and arguments.</w:t>
      </w:r>
    </w:p>
    <w:p>
      <w:pPr>
        <w:numPr>
          <w:ilvl w:val="0"/>
          <w:numId w:val="1011"/>
        </w:numPr>
        <w:pStyle w:val="Compact"/>
      </w:pPr>
      <w:r>
        <w:t xml:space="preserve">Treat a version bump like any other change: PR, reviewed plan, staged rollout.</w:t>
      </w:r>
    </w:p>
    <w:bookmarkEnd w:id="40"/>
    <w:bookmarkStart w:id="41" w:name="urgent-or-emergency-changes"/>
    <w:p>
      <w:pPr>
        <w:pStyle w:val="Heading2"/>
      </w:pPr>
      <w:r>
        <w:t xml:space="preserve">12.3 Urgent or Emergency Changes</w:t>
      </w:r>
    </w:p>
    <w:p>
      <w:pPr>
        <w:pStyle w:val="FirstParagraph"/>
      </w:pPr>
      <w:r>
        <w:t xml:space="preserve">There is no bypass of the pipeline for urgency. A hotfix still goes through a PR, a posted plan and review.</w:t>
      </w:r>
    </w:p>
    <w:bookmarkEnd w:id="41"/>
    <w:bookmarkStart w:id="42" w:name="detecting-reconciling-drift"/>
    <w:p>
      <w:pPr>
        <w:pStyle w:val="Heading2"/>
      </w:pPr>
      <w:r>
        <w:t xml:space="preserve">12.4 Detecting &amp; Reconciling Drift</w:t>
      </w:r>
    </w:p>
    <w:p>
      <w:pPr>
        <w:numPr>
          <w:ilvl w:val="0"/>
          <w:numId w:val="1012"/>
        </w:numPr>
        <w:pStyle w:val="Compact"/>
      </w:pPr>
      <w:r>
        <w:t xml:space="preserve">Drift is reconciled through a PR: either an</w:t>
      </w:r>
      <w:r>
        <w:t xml:space="preserve"> </w:t>
      </w:r>
      <w:r>
        <w:rPr>
          <w:rStyle w:val="VerbatimChar"/>
        </w:rPr>
        <w:t xml:space="preserve">import</w:t>
      </w:r>
      <w:r>
        <w:t xml:space="preserve"> </w:t>
      </w:r>
      <w:r>
        <w:t xml:space="preserve">block brings the change under management, or the resource is reverted via pipeline apply.</w:t>
      </w:r>
    </w:p>
    <w:p>
      <w:pPr>
        <w:numPr>
          <w:ilvl w:val="0"/>
          <w:numId w:val="1012"/>
        </w:numPr>
        <w:pStyle w:val="Compact"/>
      </w:pPr>
      <w:r>
        <w:t xml:space="preserve">The Azure Activity Log shows who made an out-of-band change and when; include it in the PR description.</w:t>
      </w:r>
    </w:p>
    <w:p>
      <w:pPr>
        <w:numPr>
          <w:ilvl w:val="0"/>
          <w:numId w:val="1012"/>
        </w:numPr>
        <w:pStyle w:val="Compact"/>
      </w:pPr>
      <w:r>
        <w:rPr>
          <w:bCs/>
          <w:b/>
        </w:rPr>
        <w:t xml:space="preserve">Recommended next step:</w:t>
      </w:r>
      <w:r>
        <w:t xml:space="preserve"> </w:t>
      </w:r>
      <w:r>
        <w:t xml:space="preserve">a scheduled, plan-only drift-detection pipeline (e.g. nightly,</w:t>
      </w:r>
      <w:r>
        <w:t xml:space="preserve"> </w:t>
      </w:r>
      <w:r>
        <w:rPr>
          <w:rStyle w:val="VerbatimChar"/>
        </w:rPr>
        <w:t xml:space="preserve">terraform plan -detailed-exitcode</w:t>
      </w:r>
      <w:r>
        <w:t xml:space="preserve">) posting divergence to Slack or Jira.</w:t>
      </w:r>
    </w:p>
    <w:bookmarkEnd w:id="42"/>
    <w:bookmarkStart w:id="43" w:name="change-history-audit-trail"/>
    <w:p>
      <w:pPr>
        <w:pStyle w:val="Heading2"/>
      </w:pPr>
      <w:r>
        <w:t xml:space="preserve">12.5 Change History &amp; Audit Trail</w:t>
      </w:r>
    </w:p>
    <w:p>
      <w:pPr>
        <w:pStyle w:val="FirstParagraph"/>
      </w:pPr>
      <w:r>
        <w:t xml:space="preserve">The PR history on the environment and module directories is the audit trail, backed by the Azure Activity Log. No separate change log needs to be maintained.</w:t>
      </w:r>
    </w:p>
    <w:bookmarkEnd w:id="43"/>
    <w:bookmarkEnd w:id="44"/>
    <w:bookmarkStart w:id="48" w:name="X0f93efe415973a8298343f6e014f4ad564aa761"/>
    <w:p>
      <w:pPr>
        <w:pStyle w:val="Heading1"/>
      </w:pPr>
      <w:r>
        <w:t xml:space="preserve">13. CI/CD Pipeline Requirements (GitHub Enterprise)</w:t>
      </w:r>
    </w:p>
    <w:bookmarkStart w:id="45" w:name="required-pipeline-stages"/>
    <w:p>
      <w:pPr>
        <w:pStyle w:val="Heading2"/>
      </w:pPr>
      <w:r>
        <w:t xml:space="preserve">13.1 Required Pipeline Stages</w:t>
      </w:r>
    </w:p>
    <w:p>
      <w:pPr>
        <w:numPr>
          <w:ilvl w:val="0"/>
          <w:numId w:val="1013"/>
        </w:numPr>
        <w:pStyle w:val="Compact"/>
      </w:pPr>
      <w:r>
        <w:t xml:space="preserve">Runs fmt check, validate, tflint and the security scanner as required status checks.</w:t>
      </w:r>
    </w:p>
    <w:p>
      <w:pPr>
        <w:numPr>
          <w:ilvl w:val="0"/>
          <w:numId w:val="1013"/>
        </w:numPr>
        <w:pStyle w:val="Compact"/>
      </w:pPr>
      <w:r>
        <w:t xml:space="preserve">Produces a</w:t>
      </w:r>
      <w:r>
        <w:t xml:space="preserve"> </w:t>
      </w:r>
      <w:r>
        <w:rPr>
          <w:rStyle w:val="VerbatimChar"/>
        </w:rPr>
        <w:t xml:space="preserve">terraform plan</w:t>
      </w:r>
      <w:r>
        <w:t xml:space="preserve"> </w:t>
      </w:r>
      <w:r>
        <w:t xml:space="preserve">for each changed environment and region and posts it as a PR comment.</w:t>
      </w:r>
    </w:p>
    <w:p>
      <w:pPr>
        <w:numPr>
          <w:ilvl w:val="0"/>
          <w:numId w:val="1013"/>
        </w:numPr>
        <w:pStyle w:val="Compact"/>
      </w:pPr>
      <w:r>
        <w:t xml:space="preserve">Blocks merge until the pull request has the required number of approving reviews.</w:t>
      </w:r>
    </w:p>
    <w:p>
      <w:pPr>
        <w:numPr>
          <w:ilvl w:val="0"/>
          <w:numId w:val="1013"/>
        </w:numPr>
        <w:pStyle w:val="Compact"/>
      </w:pPr>
      <w:r>
        <w:t xml:space="preserve">Requires a manual approval gate before any apply against test, prod or shared.</w:t>
      </w:r>
    </w:p>
    <w:p>
      <w:pPr>
        <w:numPr>
          <w:ilvl w:val="0"/>
          <w:numId w:val="1013"/>
        </w:numPr>
        <w:pStyle w:val="Compact"/>
      </w:pPr>
      <w:r>
        <w:t xml:space="preserve">Applies automatically to dev once merged; notifies the owning team on apply failure.</w:t>
      </w:r>
    </w:p>
    <w:bookmarkEnd w:id="45"/>
    <w:bookmarkStart w:id="46" w:name="pull-request-review-requirements"/>
    <w:p>
      <w:pPr>
        <w:pStyle w:val="Heading2"/>
      </w:pPr>
      <w:r>
        <w:t xml:space="preserve">13.2 Pull Request Review Requirements</w:t>
      </w:r>
    </w:p>
    <w:p>
      <w:pPr>
        <w:numPr>
          <w:ilvl w:val="0"/>
          <w:numId w:val="1014"/>
        </w:numPr>
        <w:pStyle w:val="Compact"/>
      </w:pPr>
      <w:r>
        <w:t xml:space="preserve">Every PR requires at least one approving review; networking, RBAC, Azure Policy and state bootstrap changes also require Operations review via CODEOWNERS.</w:t>
      </w:r>
    </w:p>
    <w:p>
      <w:pPr>
        <w:numPr>
          <w:ilvl w:val="0"/>
          <w:numId w:val="1014"/>
        </w:numPr>
        <w:pStyle w:val="Compact"/>
      </w:pPr>
      <w:r>
        <w:t xml:space="preserve">Branch protection enforces this for everyone, including repository admins — no bypass path.</w:t>
      </w:r>
    </w:p>
    <w:p>
      <w:pPr>
        <w:numPr>
          <w:ilvl w:val="0"/>
          <w:numId w:val="1014"/>
        </w:numPr>
        <w:pStyle w:val="Compact"/>
      </w:pPr>
      <w:r>
        <w:t xml:space="preserve">New commits after an approval automatically dismiss the stale review.</w:t>
      </w:r>
    </w:p>
    <w:p>
      <w:pPr>
        <w:numPr>
          <w:ilvl w:val="0"/>
          <w:numId w:val="1014"/>
        </w:numPr>
        <w:pStyle w:val="Compact"/>
      </w:pPr>
      <w:r>
        <w:t xml:space="preserve">Self-approval is disabled; the PR author cannot satisfy their own review requirement.</w:t>
      </w:r>
    </w:p>
    <w:bookmarkEnd w:id="46"/>
    <w:bookmarkStart w:id="47" w:name="github-enterprise-implementation"/>
    <w:p>
      <w:pPr>
        <w:pStyle w:val="Heading2"/>
      </w:pPr>
      <w:r>
        <w:t xml:space="preserve">13.3 GitHub Enterprise Implementation</w:t>
      </w:r>
    </w:p>
    <w:p>
      <w:pPr>
        <w:numPr>
          <w:ilvl w:val="0"/>
          <w:numId w:val="1015"/>
        </w:numPr>
        <w:pStyle w:val="Compact"/>
      </w:pPr>
      <w:r>
        <w:t xml:space="preserve">Pipelines are GitHub Actions workflows under</w:t>
      </w:r>
      <w:r>
        <w:t xml:space="preserve"> </w:t>
      </w:r>
      <w:r>
        <w:rPr>
          <w:rStyle w:val="VerbatimChar"/>
        </w:rPr>
        <w:t xml:space="preserve">.github/workflows/</w:t>
      </w:r>
      <w:r>
        <w:t xml:space="preserve">.</w:t>
      </w:r>
    </w:p>
    <w:p>
      <w:pPr>
        <w:numPr>
          <w:ilvl w:val="0"/>
          <w:numId w:val="1015"/>
        </w:numPr>
        <w:pStyle w:val="Compact"/>
      </w:pPr>
      <w:r>
        <w:t xml:space="preserve">Azure auth uses</w:t>
      </w:r>
      <w:r>
        <w:t xml:space="preserve"> </w:t>
      </w:r>
      <w:r>
        <w:rPr>
          <w:bCs/>
          <w:b/>
        </w:rPr>
        <w:t xml:space="preserve">OIDC workload identity federation</w:t>
      </w:r>
      <w:r>
        <w:t xml:space="preserve">: each environment has an Entra ID app registration or user-assigned managed identity with a federated credential scoped to that GitHub Environment. No client secrets are stored in GitHub.</w:t>
      </w:r>
    </w:p>
    <w:p>
      <w:pPr>
        <w:numPr>
          <w:ilvl w:val="0"/>
          <w:numId w:val="1015"/>
        </w:numPr>
        <w:pStyle w:val="Compact"/>
      </w:pPr>
      <w:r>
        <w:t xml:space="preserve">Runners are self-hosted inside the OptionMetrics Azure VNet, reaching the state storage account over a private endpoint.</w:t>
      </w:r>
    </w:p>
    <w:p>
      <w:pPr>
        <w:numPr>
          <w:ilvl w:val="0"/>
          <w:numId w:val="1015"/>
        </w:numPr>
        <w:pStyle w:val="Compact"/>
      </w:pPr>
      <w:r>
        <w:t xml:space="preserve">Each environment is a GitHub Environment; test, prod and shared require named approvers before the apply job proceeds.</w:t>
      </w:r>
    </w:p>
    <w:p>
      <w:pPr>
        <w:numPr>
          <w:ilvl w:val="0"/>
          <w:numId w:val="1015"/>
        </w:numPr>
        <w:pStyle w:val="Compact"/>
      </w:pPr>
      <w:r>
        <w:rPr>
          <w:rStyle w:val="VerbatimChar"/>
        </w:rPr>
        <w:t xml:space="preserve">AZURE_CLIENT_ID</w:t>
      </w:r>
      <w:r>
        <w:t xml:space="preserve">,</w:t>
      </w:r>
      <w:r>
        <w:t xml:space="preserve"> </w:t>
      </w:r>
      <w:r>
        <w:rPr>
          <w:rStyle w:val="VerbatimChar"/>
        </w:rPr>
        <w:t xml:space="preserve">AZURE_TENANT_ID</w:t>
      </w:r>
      <w:r>
        <w:t xml:space="preserve"> </w:t>
      </w:r>
      <w:r>
        <w:t xml:space="preserve">and</w:t>
      </w:r>
      <w:r>
        <w:t xml:space="preserve"> </w:t>
      </w:r>
      <w:r>
        <w:rPr>
          <w:rStyle w:val="VerbatimChar"/>
        </w:rPr>
        <w:t xml:space="preserve">AZURE_SUBSCRIPTION_ID</w:t>
      </w:r>
      <w:r>
        <w:t xml:space="preserve"> </w:t>
      </w:r>
      <w:r>
        <w:t xml:space="preserve">are stored as variables on the GitHub Environment, not the repository.</w:t>
      </w:r>
    </w:p>
    <w:p>
      <w:pPr>
        <w:pStyle w:val="SourceCode"/>
        <w:shd w:val="clear" w:color="auto" w:fill="F3F5F8"/>
      </w:pPr>
      <w:r>
        <w:rPr>
          <w:rStyle w:val="FunctionTok"/>
        </w:rPr>
        <w:t xml:space="preserve">name</w:t>
      </w:r>
      <w:r>
        <w:rPr>
          <w:rStyle w:val="KeywordTok"/>
        </w:rPr>
        <w:t xml:space="preserve">:</w:t>
      </w:r>
      <w:r>
        <w:rPr>
          <w:rStyle w:val="AttributeTok"/>
        </w:rPr>
        <w:t xml:space="preserve"> terraform</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permissions</w:t>
      </w:r>
      <w:r>
        <w:rPr>
          <w:rStyle w:val="KeywordTok"/>
        </w:rPr>
        <w:t xml:space="preserve">:</w:t>
      </w:r>
      <w:r>
        <w:br/>
      </w:r>
      <w:r>
        <w:rPr>
          <w:rStyle w:val="AttributeTok"/>
        </w:rPr>
        <w:t xml:space="preserve">  </w:t>
      </w:r>
      <w:r>
        <w:rPr>
          <w:rStyle w:val="FunctionTok"/>
        </w:rPr>
        <w:t xml:space="preserve">id-token</w:t>
      </w:r>
      <w:r>
        <w:rPr>
          <w:rStyle w:val="KeywordTok"/>
        </w:rPr>
        <w:t xml:space="preserve">:</w:t>
      </w:r>
      <w:r>
        <w:rPr>
          <w:rStyle w:val="AttributeTok"/>
        </w:rPr>
        <w:t xml:space="preserve"> write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plan</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w:t>
      </w:r>
      <w:r>
        <w:rPr>
          <w:rStyle w:val="KeywordTok"/>
        </w:rPr>
        <w:t xml:space="preserve">[</w:t>
      </w:r>
      <w:r>
        <w:rPr>
          <w:rStyle w:val="AttributeTok"/>
        </w:rPr>
        <w:t xml:space="preserve">self-hosted</w:t>
      </w:r>
      <w:r>
        <w:rPr>
          <w:rStyle w:val="KeywordTok"/>
        </w:rPr>
        <w:t xml:space="preserve">,</w:t>
      </w:r>
      <w:r>
        <w:rPr>
          <w:rStyle w:val="AttributeTok"/>
        </w:rPr>
        <w:t xml:space="preserve"> linux</w:t>
      </w:r>
      <w:r>
        <w:rPr>
          <w:rStyle w:val="KeywordTok"/>
        </w:rPr>
        <w:t xml:space="preserve">,</w:t>
      </w:r>
      <w:r>
        <w:rPr>
          <w:rStyle w:val="AttributeTok"/>
        </w:rPr>
        <w:t xml:space="preserve"> terraform</w:t>
      </w:r>
      <w:r>
        <w:rPr>
          <w:rStyle w:val="KeywordTok"/>
        </w:rPr>
        <w:t xml:space="preserve">]</w:t>
      </w:r>
      <w:r>
        <w:br/>
      </w:r>
      <w:r>
        <w:rPr>
          <w:rStyle w:val="AttributeTok"/>
        </w:rPr>
        <w:t xml:space="preserve">    </w:t>
      </w:r>
      <w:r>
        <w:rPr>
          <w:rStyle w:val="FunctionTok"/>
        </w:rPr>
        <w:t xml:space="preserve">environment</w:t>
      </w:r>
      <w:r>
        <w:rPr>
          <w:rStyle w:val="KeywordTok"/>
        </w:rPr>
        <w:t xml:space="preserve">:</w:t>
      </w:r>
      <w:r>
        <w:rPr>
          <w:rStyle w:val="AttributeTok"/>
        </w:rPr>
        <w:t xml:space="preserve"> prod-eus</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ARM_USE_OIDC</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ARM_CLIENT_ID</w:t>
      </w:r>
      <w:r>
        <w:rPr>
          <w:rStyle w:val="KeywordTok"/>
        </w:rPr>
        <w:t xml:space="preserve">:</w:t>
      </w:r>
      <w:r>
        <w:rPr>
          <w:rStyle w:val="AttributeTok"/>
        </w:rPr>
        <w:t xml:space="preserve"> ${{ vars.AZURE_CLIENT_ID }}</w:t>
      </w:r>
      <w:r>
        <w:br/>
      </w:r>
      <w:r>
        <w:rPr>
          <w:rStyle w:val="AttributeTok"/>
        </w:rPr>
        <w:t xml:space="preserve">      </w:t>
      </w:r>
      <w:r>
        <w:rPr>
          <w:rStyle w:val="FunctionTok"/>
        </w:rPr>
        <w:t xml:space="preserve">ARM_TENANT_ID</w:t>
      </w:r>
      <w:r>
        <w:rPr>
          <w:rStyle w:val="KeywordTok"/>
        </w:rPr>
        <w:t xml:space="preserve">:</w:t>
      </w:r>
      <w:r>
        <w:rPr>
          <w:rStyle w:val="AttributeTok"/>
        </w:rPr>
        <w:t xml:space="preserve"> ${{ vars.AZURE_TENANT_ID }}</w:t>
      </w:r>
      <w:r>
        <w:br/>
      </w:r>
      <w:r>
        <w:rPr>
          <w:rStyle w:val="AttributeTok"/>
        </w:rPr>
        <w:t xml:space="preserve">      </w:t>
      </w:r>
      <w:r>
        <w:rPr>
          <w:rStyle w:val="FunctionTok"/>
        </w:rPr>
        <w:t xml:space="preserve">ARM_SUBSCRIPTION_ID</w:t>
      </w:r>
      <w:r>
        <w:rPr>
          <w:rStyle w:val="KeywordTok"/>
        </w:rPr>
        <w:t xml:space="preserve">:</w:t>
      </w:r>
      <w:r>
        <w:rPr>
          <w:rStyle w:val="AttributeTok"/>
        </w:rPr>
        <w:t xml:space="preserve"> ${{ vars.AZURE_SUBSCRIPTION_ID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azure/login@v2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client-id</w:t>
      </w:r>
      <w:r>
        <w:rPr>
          <w:rStyle w:val="KeywordTok"/>
        </w:rPr>
        <w:t xml:space="preserve">:</w:t>
      </w:r>
      <w:r>
        <w:rPr>
          <w:rStyle w:val="AttributeTok"/>
        </w:rPr>
        <w:t xml:space="preserve"> ${{ vars.AZURE_CLIENT_ID }}</w:t>
      </w:r>
      <w:r>
        <w:br/>
      </w:r>
      <w:r>
        <w:rPr>
          <w:rStyle w:val="AttributeTok"/>
        </w:rPr>
        <w:t xml:space="preserve">          </w:t>
      </w:r>
      <w:r>
        <w:rPr>
          <w:rStyle w:val="FunctionTok"/>
        </w:rPr>
        <w:t xml:space="preserve">tenant-id</w:t>
      </w:r>
      <w:r>
        <w:rPr>
          <w:rStyle w:val="KeywordTok"/>
        </w:rPr>
        <w:t xml:space="preserve">:</w:t>
      </w:r>
      <w:r>
        <w:rPr>
          <w:rStyle w:val="AttributeTok"/>
        </w:rPr>
        <w:t xml:space="preserve"> ${{ vars.AZURE_TENANT_ID }}</w:t>
      </w:r>
      <w:r>
        <w:br/>
      </w:r>
      <w:r>
        <w:rPr>
          <w:rStyle w:val="AttributeTok"/>
        </w:rPr>
        <w:t xml:space="preserve">          </w:t>
      </w:r>
      <w:r>
        <w:rPr>
          <w:rStyle w:val="FunctionTok"/>
        </w:rPr>
        <w:t xml:space="preserve">subscription-id</w:t>
      </w:r>
      <w:r>
        <w:rPr>
          <w:rStyle w:val="KeywordTok"/>
        </w:rPr>
        <w:t xml:space="preserve">:</w:t>
      </w:r>
      <w:r>
        <w:rPr>
          <w:rStyle w:val="AttributeTok"/>
        </w:rPr>
        <w:t xml:space="preserve"> ${{ vars.AZURE_SUBSCRIPTION_ID }}</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terraform fmt -check -recursive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terraform init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terraform validate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tflint --init &amp;&amp; tflint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terraform plan -out=tfplan</w:t>
      </w:r>
    </w:p>
    <w:bookmarkEnd w:id="47"/>
    <w:bookmarkEnd w:id="48"/>
    <w:bookmarkStart w:id="49" w:name="secrets-sensitive-data"/>
    <w:p>
      <w:pPr>
        <w:pStyle w:val="Heading1"/>
      </w:pPr>
      <w:r>
        <w:t xml:space="preserve">14. Secrets &amp; Sensitive Data</w:t>
      </w:r>
    </w:p>
    <w:p>
      <w:pPr>
        <w:numPr>
          <w:ilvl w:val="0"/>
          <w:numId w:val="1016"/>
        </w:numPr>
        <w:pStyle w:val="Compact"/>
      </w:pPr>
      <w:r>
        <w:t xml:space="preserve">No credentials, API keys, client secrets or connection strings are ever committed in .tf or .tfvars.</w:t>
      </w:r>
    </w:p>
    <w:p>
      <w:pPr>
        <w:numPr>
          <w:ilvl w:val="0"/>
          <w:numId w:val="1016"/>
        </w:numPr>
        <w:pStyle w:val="Compact"/>
      </w:pPr>
      <w:r>
        <w:t xml:space="preserve">Secrets are stored in Azure Key Vault and referenced via data sources or ephemeral resources, never hardcoded.</w:t>
      </w:r>
    </w:p>
    <w:p>
      <w:pPr>
        <w:numPr>
          <w:ilvl w:val="0"/>
          <w:numId w:val="1016"/>
        </w:numPr>
        <w:pStyle w:val="Compact"/>
      </w:pPr>
      <w:r>
        <w:t xml:space="preserve">Values read through normal data sources are written to state. Where the azurerm provider supports ephemeral resources or write-only arguments, use them so the secret never reaches state; otherwise rely on the state protections in Section 15.</w:t>
      </w:r>
    </w:p>
    <w:p>
      <w:pPr>
        <w:numPr>
          <w:ilvl w:val="0"/>
          <w:numId w:val="1016"/>
        </w:numPr>
        <w:pStyle w:val="Compact"/>
      </w:pPr>
      <w:r>
        <w:t xml:space="preserve">Prefer managed identities over secrets entirely — e.g. an AKS workload identity or Function App identity granted Key Vault access through RBAC.</w:t>
      </w:r>
    </w:p>
    <w:p>
      <w:pPr>
        <w:numPr>
          <w:ilvl w:val="0"/>
          <w:numId w:val="1016"/>
        </w:numPr>
        <w:pStyle w:val="Compact"/>
      </w:pPr>
      <w:r>
        <w:t xml:space="preserve">Any variable or output that could expose a secret is marked</w:t>
      </w:r>
      <w:r>
        <w:t xml:space="preserve"> </w:t>
      </w:r>
      <w:r>
        <w:rPr>
          <w:rStyle w:val="VerbatimChar"/>
        </w:rPr>
        <w:t xml:space="preserve">sensitive = true</w:t>
      </w:r>
      <w:r>
        <w:t xml:space="preserve">.</w:t>
      </w:r>
    </w:p>
    <w:p>
      <w:pPr>
        <w:numPr>
          <w:ilvl w:val="0"/>
          <w:numId w:val="1016"/>
        </w:numPr>
        <w:pStyle w:val="Compact"/>
      </w:pPr>
      <w:r>
        <w:t xml:space="preserve">.gitignore excludes *.tfvars with environment secrets,</w:t>
      </w:r>
      <w:r>
        <w:t xml:space="preserve"> </w:t>
      </w:r>
      <w:r>
        <w:rPr>
          <w:rStyle w:val="VerbatimChar"/>
        </w:rPr>
        <w:t xml:space="preserve">.terraform/</w:t>
      </w:r>
      <w:r>
        <w:t xml:space="preserve"> </w:t>
      </w:r>
      <w:r>
        <w:t xml:space="preserve">and local</w:t>
      </w:r>
      <w:r>
        <w:t xml:space="preserve"> </w:t>
      </w:r>
      <w:r>
        <w:rPr>
          <w:rStyle w:val="VerbatimChar"/>
        </w:rPr>
        <w:t xml:space="preserve">*.tfstate</w:t>
      </w:r>
      <w:r>
        <w:t xml:space="preserve"> </w:t>
      </w:r>
      <w:r>
        <w:t xml:space="preserve">files.</w:t>
      </w:r>
    </w:p>
    <w:bookmarkEnd w:id="49"/>
    <w:bookmarkStart w:id="50" w:name="security-compliance"/>
    <w:p>
      <w:pPr>
        <w:pStyle w:val="Heading1"/>
      </w:pPr>
      <w:r>
        <w:t xml:space="preserve">15. Security &amp; Compliance</w:t>
      </w:r>
    </w:p>
    <w:p>
      <w:pPr>
        <w:numPr>
          <w:ilvl w:val="0"/>
          <w:numId w:val="1017"/>
        </w:numPr>
        <w:pStyle w:val="Compact"/>
      </w:pPr>
      <w:r>
        <w:t xml:space="preserve">Pipeline identities follow least privilege through Azure RBAC — a dev pipeline identity has no role assignment on prod or shared subscriptions.</w:t>
      </w:r>
    </w:p>
    <w:p>
      <w:pPr>
        <w:numPr>
          <w:ilvl w:val="0"/>
          <w:numId w:val="1017"/>
        </w:numPr>
        <w:pStyle w:val="Compact"/>
      </w:pPr>
      <w:r>
        <w:t xml:space="preserve">Pipeline identities get Contributor (or a narrower custom role) on their own subscription; only the bootstrap identity may create role assignments or Azure Policy assignments.</w:t>
      </w:r>
    </w:p>
    <w:p>
      <w:pPr>
        <w:numPr>
          <w:ilvl w:val="0"/>
          <w:numId w:val="1017"/>
        </w:numPr>
        <w:pStyle w:val="Compact"/>
      </w:pPr>
      <w:r>
        <w:t xml:space="preserve">The state storage account has versioning, soft delete and encryption at rest enabled, public network access disabled, shared-key access disabled, and a delete lock (</w:t>
      </w:r>
      <w:r>
        <w:rPr>
          <w:rStyle w:val="VerbatimChar"/>
        </w:rPr>
        <w:t xml:space="preserve">CanNotDelete</w:t>
      </w:r>
      <w:r>
        <w:t xml:space="preserve">).</w:t>
      </w:r>
    </w:p>
    <w:p>
      <w:pPr>
        <w:numPr>
          <w:ilvl w:val="0"/>
          <w:numId w:val="1017"/>
        </w:numPr>
        <w:pStyle w:val="Compact"/>
      </w:pPr>
      <w:r>
        <w:t xml:space="preserve">Only pipeline identities and named Operations staff hold Storage Blob Data Contributor on state containers.</w:t>
      </w:r>
    </w:p>
    <w:p>
      <w:pPr>
        <w:numPr>
          <w:ilvl w:val="0"/>
          <w:numId w:val="1017"/>
        </w:numPr>
        <w:pStyle w:val="Compact"/>
      </w:pPr>
      <w:r>
        <w:t xml:space="preserve">Key Vaults use the RBAC permission model with soft delete and purge protection enabled.</w:t>
      </w:r>
    </w:p>
    <w:p>
      <w:pPr>
        <w:numPr>
          <w:ilvl w:val="0"/>
          <w:numId w:val="1017"/>
        </w:numPr>
        <w:pStyle w:val="Compact"/>
      </w:pPr>
      <w:r>
        <w:t xml:space="preserve">Consistent tagging (Section 5) enables cost allocation and access reviews. Untagged resources are a policy violation, and Azure Policy compliance reports are reviewed monthly.</w:t>
      </w:r>
    </w:p>
    <w:bookmarkEnd w:id="50"/>
    <w:bookmarkStart w:id="51" w:name="change-management-exceptions"/>
    <w:p>
      <w:pPr>
        <w:pStyle w:val="Heading1"/>
      </w:pPr>
      <w:r>
        <w:t xml:space="preserve">16. Change Management &amp; Exceptions</w:t>
      </w:r>
    </w:p>
    <w:p>
      <w:pPr>
        <w:pStyle w:val="FirstParagraph"/>
      </w:pPr>
      <w:r>
        <w:t xml:space="preserve">This policy takes effect upon management sign-off and is reviewed at least annually, or when the azurerm provider has a major release.</w:t>
      </w:r>
    </w:p>
    <w:p>
      <w:pPr>
        <w:pStyle w:val="BodyText"/>
      </w:pPr>
      <w:r>
        <w:t xml:space="preserve">Any deviation requires written approval from the Infrastructure Lead or Head of IT Ops and is recorded as a decision record alongside this document.</w:t>
      </w:r>
    </w:p>
    <w:bookmarkEnd w:id="51"/>
    <w:bookmarkStart w:id="52" w:name="appendix-a-naming-quick-reference"/>
    <w:p>
      <w:pPr>
        <w:pStyle w:val="Heading1"/>
      </w:pPr>
      <w:r>
        <w:t xml:space="preserve">Appendix A — Naming Quick Reference</w:t>
      </w:r>
    </w:p>
    <w:tbl>
      <w:tblPr>
        <w:tblStyle w:val="Table"/>
        <w:tblW w:type="pct" w:w="5000"/>
        <w:tblLook w:firstRow="1" w:lastRow="0" w:firstColumn="0" w:lastColumn="0" w:noHBand="0" w:noVBand="0" w:val="0020"/>
        <w:jc w:val="start"/>
        <w:tblBorders>
          <w:top w:val="single" w:sz="4" w:color="A6B4C8"/>
          <w:left w:val="single" w:sz="4" w:color="A6B4C8"/>
          <w:bottom w:val="single" w:sz="4" w:color="A6B4C8"/>
          <w:right w:val="single" w:sz="4" w:color="A6B4C8"/>
          <w:insideH w:val="single" w:sz="4" w:color="A6B4C8"/>
          <w:insideV w:val="single" w:sz="4" w:color="A6B4C8"/>
        </w:tblBorders>
      </w:tblPr>
      <w:tblGrid>
        <w:gridCol w:w="2640"/>
        <w:gridCol w:w="2640"/>
        <w:gridCol w:w="2640"/>
      </w:tblGrid>
      <w:tr>
        <w:trPr>
          <w:tblHeader w:val="true"/>
        </w:trPr>
        <w:tc>
          <w:tcPr>
            <w:shd w:val="clear" w:color="auto" w:fill="1F3A5F"/>
          </w:tcPr>
          <w:p>
            <w:pPr>
              <w:pStyle w:val="Compact"/>
              <w:spacing w:after="40"/>
              <w:jc w:val="left"/>
            </w:pPr>
            <w:r>
              <w:rPr>
                <w:b/>
                <w:color w:val="FFFFFF"/>
                <w:sz w:val="19"/>
              </w:rPr>
              <w:t xml:space="preserve">Resource</w:t>
            </w:r>
          </w:p>
        </w:tc>
        <w:tc>
          <w:tcPr>
            <w:shd w:val="clear" w:color="auto" w:fill="1F3A5F"/>
          </w:tcPr>
          <w:p>
            <w:pPr>
              <w:pStyle w:val="Compact"/>
              <w:spacing w:after="40"/>
              <w:jc w:val="left"/>
            </w:pPr>
            <w:r>
              <w:rPr>
                <w:b/>
                <w:color w:val="FFFFFF"/>
                <w:sz w:val="19"/>
              </w:rPr>
              <w:t xml:space="preserve">Pattern</w:t>
            </w:r>
          </w:p>
        </w:tc>
        <w:tc>
          <w:tcPr>
            <w:shd w:val="clear" w:color="auto" w:fill="1F3A5F"/>
          </w:tcPr>
          <w:p>
            <w:pPr>
              <w:pStyle w:val="Compact"/>
              <w:spacing w:after="40"/>
              <w:jc w:val="left"/>
            </w:pPr>
            <w:r>
              <w:rPr>
                <w:b/>
                <w:color w:val="FFFFFF"/>
                <w:sz w:val="19"/>
              </w:rPr>
              <w:t xml:space="preserve">Example</w:t>
            </w:r>
          </w:p>
        </w:tc>
      </w:tr>
      <w:tr>
        <w:tc>
          <w:tcPr/>
          <w:p>
            <w:pPr>
              <w:pStyle w:val="Compact"/>
              <w:spacing w:after="40"/>
              <w:jc w:val="left"/>
            </w:pPr>
            <w:r>
              <w:rPr>
                <w:sz w:val="19"/>
              </w:rPr>
              <w:t xml:space="preserve">Resource group</w:t>
            </w:r>
          </w:p>
        </w:tc>
        <w:tc>
          <w:tcPr/>
          <w:p>
            <w:pPr>
              <w:pStyle w:val="Compact"/>
              <w:spacing w:after="40"/>
              <w:jc w:val="left"/>
            </w:pPr>
            <w:r>
              <w:rPr>
                <w:sz w:val="19"/>
              </w:rPr>
              <w:t xml:space="preserve">bw-env-reg-proj-rg-NN</w:t>
            </w:r>
          </w:p>
        </w:tc>
        <w:tc>
          <w:tcPr/>
          <w:p>
            <w:pPr>
              <w:pStyle w:val="Compact"/>
              <w:spacing w:after="40"/>
              <w:jc w:val="left"/>
            </w:pPr>
            <w:r>
              <w:rPr>
                <w:sz w:val="19"/>
              </w:rPr>
              <w:t xml:space="preserve">bw-prod-eus-gkpr-rg-01</w:t>
            </w:r>
          </w:p>
        </w:tc>
      </w:tr>
      <w:tr>
        <w:tc>
          <w:tcPr/>
          <w:p>
            <w:pPr>
              <w:pStyle w:val="Compact"/>
              <w:spacing w:after="40"/>
              <w:jc w:val="left"/>
            </w:pPr>
            <w:r>
              <w:rPr>
                <w:sz w:val="19"/>
              </w:rPr>
              <w:t xml:space="preserve">Virtual network</w:t>
            </w:r>
          </w:p>
        </w:tc>
        <w:tc>
          <w:tcPr/>
          <w:p>
            <w:pPr>
              <w:pStyle w:val="Compact"/>
              <w:spacing w:after="40"/>
              <w:jc w:val="left"/>
            </w:pPr>
            <w:r>
              <w:rPr>
                <w:sz w:val="19"/>
              </w:rPr>
              <w:t xml:space="preserve">bw-env-reg-net-vnet-NN</w:t>
            </w:r>
          </w:p>
        </w:tc>
        <w:tc>
          <w:tcPr/>
          <w:p>
            <w:pPr>
              <w:pStyle w:val="Compact"/>
              <w:spacing w:after="40"/>
              <w:jc w:val="left"/>
            </w:pPr>
            <w:r>
              <w:rPr>
                <w:sz w:val="19"/>
              </w:rPr>
              <w:t xml:space="preserve">bw-prod-eus-net-vnet-01</w:t>
            </w:r>
          </w:p>
        </w:tc>
      </w:tr>
      <w:tr>
        <w:tc>
          <w:tcPr/>
          <w:p>
            <w:pPr>
              <w:pStyle w:val="Compact"/>
              <w:spacing w:after="40"/>
              <w:jc w:val="left"/>
            </w:pPr>
            <w:r>
              <w:rPr>
                <w:sz w:val="19"/>
              </w:rPr>
              <w:t xml:space="preserve">Subnet</w:t>
            </w:r>
          </w:p>
        </w:tc>
        <w:tc>
          <w:tcPr/>
          <w:p>
            <w:pPr>
              <w:pStyle w:val="Compact"/>
              <w:spacing w:after="40"/>
              <w:jc w:val="left"/>
            </w:pPr>
            <w:r>
              <w:rPr>
                <w:sz w:val="19"/>
              </w:rPr>
              <w:t xml:space="preserve">bw-env-reg-net-snet-tier-az-NN</w:t>
            </w:r>
          </w:p>
        </w:tc>
        <w:tc>
          <w:tcPr/>
          <w:p>
            <w:pPr>
              <w:pStyle w:val="Compact"/>
              <w:spacing w:after="40"/>
              <w:jc w:val="left"/>
            </w:pPr>
            <w:r>
              <w:rPr>
                <w:sz w:val="19"/>
              </w:rPr>
              <w:t xml:space="preserve">bw-prod-eus-net-snet-priv-az1-01</w:t>
            </w:r>
          </w:p>
        </w:tc>
      </w:tr>
      <w:tr>
        <w:tc>
          <w:tcPr/>
          <w:p>
            <w:pPr>
              <w:pStyle w:val="Compact"/>
              <w:spacing w:after="40"/>
              <w:jc w:val="left"/>
            </w:pPr>
            <w:r>
              <w:rPr>
                <w:sz w:val="19"/>
              </w:rPr>
              <w:t xml:space="preserve">NSG</w:t>
            </w:r>
          </w:p>
        </w:tc>
        <w:tc>
          <w:tcPr/>
          <w:p>
            <w:pPr>
              <w:pStyle w:val="Compact"/>
              <w:spacing w:after="40"/>
              <w:jc w:val="left"/>
            </w:pPr>
            <w:r>
              <w:rPr>
                <w:sz w:val="19"/>
              </w:rPr>
              <w:t xml:space="preserve">bw-env-reg-proj-nsg-qualifier-NN</w:t>
            </w:r>
          </w:p>
        </w:tc>
        <w:tc>
          <w:tcPr/>
          <w:p>
            <w:pPr>
              <w:pStyle w:val="Compact"/>
              <w:spacing w:after="40"/>
              <w:jc w:val="left"/>
            </w:pPr>
            <w:r>
              <w:rPr>
                <w:sz w:val="19"/>
              </w:rPr>
              <w:t xml:space="preserve">bw-prod-eus-net-nsg-aks-01</w:t>
            </w:r>
          </w:p>
        </w:tc>
      </w:tr>
      <w:tr>
        <w:tc>
          <w:tcPr/>
          <w:p>
            <w:pPr>
              <w:pStyle w:val="Compact"/>
              <w:spacing w:after="40"/>
              <w:jc w:val="left"/>
            </w:pPr>
            <w:r>
              <w:rPr>
                <w:sz w:val="19"/>
              </w:rPr>
              <w:t xml:space="preserve">AKS cluster</w:t>
            </w:r>
          </w:p>
        </w:tc>
        <w:tc>
          <w:tcPr/>
          <w:p>
            <w:pPr>
              <w:pStyle w:val="Compact"/>
              <w:spacing w:after="40"/>
              <w:jc w:val="left"/>
            </w:pPr>
            <w:r>
              <w:rPr>
                <w:sz w:val="19"/>
              </w:rPr>
              <w:t xml:space="preserve">bw-env-reg-proj-aks-NN</w:t>
            </w:r>
          </w:p>
        </w:tc>
        <w:tc>
          <w:tcPr/>
          <w:p>
            <w:pPr>
              <w:pStyle w:val="Compact"/>
              <w:spacing w:after="40"/>
              <w:jc w:val="left"/>
            </w:pPr>
            <w:r>
              <w:rPr>
                <w:sz w:val="19"/>
              </w:rPr>
              <w:t xml:space="preserve">bw-prod-eus-gkpr-aks-01</w:t>
            </w:r>
          </w:p>
        </w:tc>
      </w:tr>
      <w:tr>
        <w:tc>
          <w:tcPr/>
          <w:p>
            <w:pPr>
              <w:pStyle w:val="Compact"/>
              <w:spacing w:after="40"/>
              <w:jc w:val="left"/>
            </w:pPr>
            <w:r>
              <w:rPr>
                <w:sz w:val="19"/>
              </w:rPr>
              <w:t xml:space="preserve">Function App</w:t>
            </w:r>
          </w:p>
        </w:tc>
        <w:tc>
          <w:tcPr/>
          <w:p>
            <w:pPr>
              <w:pStyle w:val="Compact"/>
              <w:spacing w:after="40"/>
              <w:jc w:val="left"/>
            </w:pPr>
            <w:r>
              <w:rPr>
                <w:sz w:val="19"/>
              </w:rPr>
              <w:t xml:space="preserve">bw-env-reg-proj-func-function-NN</w:t>
            </w:r>
          </w:p>
        </w:tc>
        <w:tc>
          <w:tcPr/>
          <w:p>
            <w:pPr>
              <w:pStyle w:val="Compact"/>
              <w:spacing w:after="40"/>
              <w:jc w:val="left"/>
            </w:pPr>
            <w:r>
              <w:rPr>
                <w:sz w:val="19"/>
              </w:rPr>
              <w:t xml:space="preserve">bw-dev-eus-cusip-func-parser-01</w:t>
            </w:r>
          </w:p>
        </w:tc>
      </w:tr>
      <w:tr>
        <w:tc>
          <w:tcPr/>
          <w:p>
            <w:pPr>
              <w:pStyle w:val="Compact"/>
              <w:spacing w:after="40"/>
              <w:jc w:val="left"/>
            </w:pPr>
            <w:r>
              <w:rPr>
                <w:sz w:val="19"/>
              </w:rPr>
              <w:t xml:space="preserve">PostgreSQL Flexible</w:t>
            </w:r>
          </w:p>
        </w:tc>
        <w:tc>
          <w:tcPr/>
          <w:p>
            <w:pPr>
              <w:pStyle w:val="Compact"/>
              <w:spacing w:after="40"/>
              <w:jc w:val="left"/>
            </w:pPr>
            <w:r>
              <w:rPr>
                <w:sz w:val="19"/>
              </w:rPr>
              <w:t xml:space="preserve">bw-env-reg-proj-psql-NN</w:t>
            </w:r>
          </w:p>
        </w:tc>
        <w:tc>
          <w:tcPr/>
          <w:p>
            <w:pPr>
              <w:pStyle w:val="Compact"/>
              <w:spacing w:after="40"/>
              <w:jc w:val="left"/>
            </w:pPr>
            <w:r>
              <w:rPr>
                <w:sz w:val="19"/>
              </w:rPr>
              <w:t xml:space="preserve">bw-prod-eus-ivy-psql-01</w:t>
            </w:r>
          </w:p>
        </w:tc>
      </w:tr>
      <w:tr>
        <w:tc>
          <w:tcPr/>
          <w:p>
            <w:pPr>
              <w:pStyle w:val="Compact"/>
              <w:spacing w:after="40"/>
              <w:jc w:val="left"/>
            </w:pPr>
            <w:r>
              <w:rPr>
                <w:sz w:val="19"/>
              </w:rPr>
              <w:t xml:space="preserve">Managed identity</w:t>
            </w:r>
          </w:p>
        </w:tc>
        <w:tc>
          <w:tcPr/>
          <w:p>
            <w:pPr>
              <w:pStyle w:val="Compact"/>
              <w:spacing w:after="40"/>
              <w:jc w:val="left"/>
            </w:pPr>
            <w:r>
              <w:rPr>
                <w:sz w:val="19"/>
              </w:rPr>
              <w:t xml:space="preserve">bw-env-reg-proj-id-qualifier-NN</w:t>
            </w:r>
          </w:p>
        </w:tc>
        <w:tc>
          <w:tcPr/>
          <w:p>
            <w:pPr>
              <w:pStyle w:val="Compact"/>
              <w:spacing w:after="40"/>
              <w:jc w:val="left"/>
            </w:pPr>
            <w:r>
              <w:rPr>
                <w:sz w:val="19"/>
              </w:rPr>
              <w:t xml:space="preserve">bw-prod-eus-infra-id-deploy-01</w:t>
            </w:r>
          </w:p>
        </w:tc>
      </w:tr>
      <w:tr>
        <w:tc>
          <w:tcPr/>
          <w:p>
            <w:pPr>
              <w:pStyle w:val="Compact"/>
              <w:spacing w:after="40"/>
              <w:jc w:val="left"/>
            </w:pPr>
            <w:r>
              <w:rPr>
                <w:sz w:val="19"/>
              </w:rPr>
              <w:t xml:space="preserve">Log Analytics</w:t>
            </w:r>
          </w:p>
        </w:tc>
        <w:tc>
          <w:tcPr/>
          <w:p>
            <w:pPr>
              <w:pStyle w:val="Compact"/>
              <w:spacing w:after="40"/>
              <w:jc w:val="left"/>
            </w:pPr>
            <w:r>
              <w:rPr>
                <w:sz w:val="19"/>
              </w:rPr>
              <w:t xml:space="preserve">bw-env-reg-proj-law-NN</w:t>
            </w:r>
          </w:p>
        </w:tc>
        <w:tc>
          <w:tcPr/>
          <w:p>
            <w:pPr>
              <w:pStyle w:val="Compact"/>
              <w:spacing w:after="40"/>
              <w:jc w:val="left"/>
            </w:pPr>
            <w:r>
              <w:rPr>
                <w:sz w:val="19"/>
              </w:rPr>
              <w:t xml:space="preserve">bw-prod-eus-infra-law-01</w:t>
            </w:r>
          </w:p>
        </w:tc>
      </w:tr>
      <w:tr>
        <w:tc>
          <w:tcPr/>
          <w:p>
            <w:pPr>
              <w:pStyle w:val="Compact"/>
              <w:spacing w:after="40"/>
              <w:jc w:val="left"/>
            </w:pPr>
            <w:r>
              <w:rPr>
                <w:sz w:val="19"/>
              </w:rPr>
              <w:t xml:space="preserve">Storage account</w:t>
            </w:r>
          </w:p>
        </w:tc>
        <w:tc>
          <w:tcPr/>
          <w:p>
            <w:pPr>
              <w:pStyle w:val="Compact"/>
              <w:spacing w:after="40"/>
              <w:jc w:val="left"/>
            </w:pPr>
            <w:r>
              <w:rPr>
                <w:sz w:val="19"/>
              </w:rPr>
              <w:t xml:space="preserve">bwenvregprojstqualifierNN</w:t>
            </w:r>
          </w:p>
        </w:tc>
        <w:tc>
          <w:tcPr/>
          <w:p>
            <w:pPr>
              <w:pStyle w:val="Compact"/>
              <w:spacing w:after="40"/>
              <w:jc w:val="left"/>
            </w:pPr>
            <w:r>
              <w:rPr>
                <w:sz w:val="19"/>
              </w:rPr>
              <w:t xml:space="preserve">bwprodeusoid2stinput01</w:t>
            </w:r>
          </w:p>
        </w:tc>
      </w:tr>
      <w:tr>
        <w:tc>
          <w:tcPr/>
          <w:p>
            <w:pPr>
              <w:pStyle w:val="Compact"/>
              <w:spacing w:after="40"/>
              <w:jc w:val="left"/>
            </w:pPr>
            <w:r>
              <w:rPr>
                <w:sz w:val="19"/>
              </w:rPr>
              <w:t xml:space="preserve">Container registry</w:t>
            </w:r>
          </w:p>
        </w:tc>
        <w:tc>
          <w:tcPr/>
          <w:p>
            <w:pPr>
              <w:pStyle w:val="Compact"/>
              <w:spacing w:after="40"/>
              <w:jc w:val="left"/>
            </w:pPr>
            <w:r>
              <w:rPr>
                <w:sz w:val="19"/>
              </w:rPr>
              <w:t xml:space="preserve">bwregprojcrNN</w:t>
            </w:r>
          </w:p>
        </w:tc>
        <w:tc>
          <w:tcPr/>
          <w:p>
            <w:pPr>
              <w:pStyle w:val="Compact"/>
              <w:spacing w:after="40"/>
              <w:jc w:val="left"/>
            </w:pPr>
            <w:r>
              <w:rPr>
                <w:sz w:val="19"/>
              </w:rPr>
              <w:t xml:space="preserve">bweusinfracr01</w:t>
            </w:r>
          </w:p>
        </w:tc>
      </w:tr>
      <w:tr>
        <w:tc>
          <w:tcPr/>
          <w:p>
            <w:pPr>
              <w:pStyle w:val="Compact"/>
              <w:spacing w:after="40"/>
              <w:jc w:val="left"/>
            </w:pPr>
            <w:r>
              <w:rPr>
                <w:sz w:val="19"/>
              </w:rPr>
              <w:t xml:space="preserve">Key Vault</w:t>
            </w:r>
          </w:p>
        </w:tc>
        <w:tc>
          <w:tcPr/>
          <w:p>
            <w:pPr>
              <w:pStyle w:val="Compact"/>
              <w:spacing w:after="40"/>
              <w:jc w:val="left"/>
            </w:pPr>
            <w:r>
              <w:rPr>
                <w:sz w:val="19"/>
              </w:rPr>
              <w:t xml:space="preserve">kv-bw-env-reg-proj</w:t>
            </w:r>
          </w:p>
        </w:tc>
        <w:tc>
          <w:tcPr/>
          <w:p>
            <w:pPr>
              <w:pStyle w:val="Compact"/>
              <w:spacing w:after="40"/>
              <w:jc w:val="left"/>
            </w:pPr>
            <w:r>
              <w:rPr>
                <w:sz w:val="19"/>
              </w:rPr>
              <w:t xml:space="preserve">kv-bw-prod-eus-gkpr</w:t>
            </w:r>
          </w:p>
        </w:tc>
      </w:tr>
      <w:tr>
        <w:tc>
          <w:tcPr/>
          <w:p>
            <w:pPr>
              <w:pStyle w:val="Compact"/>
              <w:spacing w:after="40"/>
              <w:jc w:val="left"/>
            </w:pPr>
            <w:r>
              <w:rPr>
                <w:sz w:val="19"/>
              </w:rPr>
              <w:t xml:space="preserve">App Configuration key</w:t>
            </w:r>
          </w:p>
        </w:tc>
        <w:tc>
          <w:tcPr/>
          <w:p>
            <w:pPr>
              <w:pStyle w:val="Compact"/>
              <w:spacing w:after="40"/>
              <w:jc w:val="left"/>
            </w:pPr>
            <w:r>
              <w:rPr>
                <w:sz w:val="19"/>
              </w:rPr>
              <w:t xml:space="preserve">/bw/env/reg/proj/key</w:t>
            </w:r>
          </w:p>
        </w:tc>
        <w:tc>
          <w:tcPr/>
          <w:p>
            <w:pPr>
              <w:pStyle w:val="Compact"/>
              <w:spacing w:after="40"/>
              <w:jc w:val="left"/>
            </w:pPr>
            <w:r>
              <w:rPr>
                <w:sz w:val="19"/>
              </w:rPr>
              <w:t xml:space="preserve">/bw/prod/eus/gkpr/jwt-secret</w:t>
            </w:r>
          </w:p>
        </w:tc>
      </w:tr>
      <w:tr>
        <w:tc>
          <w:tcPr/>
          <w:p>
            <w:pPr>
              <w:pStyle w:val="Compact"/>
              <w:spacing w:after="40"/>
              <w:jc w:val="left"/>
            </w:pPr>
            <w:r>
              <w:rPr>
                <w:sz w:val="19"/>
              </w:rPr>
              <w:t xml:space="preserve">State storage account</w:t>
            </w:r>
          </w:p>
        </w:tc>
        <w:tc>
          <w:tcPr/>
          <w:p>
            <w:pPr>
              <w:pStyle w:val="Compact"/>
              <w:spacing w:after="40"/>
              <w:jc w:val="left"/>
            </w:pPr>
            <w:r>
              <w:rPr>
                <w:sz w:val="19"/>
              </w:rPr>
              <w:t xml:space="preserve">bwenvreginfrasttfstNN</w:t>
            </w:r>
          </w:p>
        </w:tc>
        <w:tc>
          <w:tcPr/>
          <w:p>
            <w:pPr>
              <w:pStyle w:val="Compact"/>
              <w:spacing w:after="40"/>
              <w:jc w:val="left"/>
            </w:pPr>
            <w:r>
              <w:rPr>
                <w:sz w:val="19"/>
              </w:rPr>
              <w:t xml:space="preserve">bwprodeusinfrasttfst01</w:t>
            </w:r>
          </w:p>
        </w:tc>
      </w:tr>
      <w:tr>
        <w:tc>
          <w:tcPr/>
          <w:p>
            <w:pPr>
              <w:pStyle w:val="Compact"/>
              <w:spacing w:after="40"/>
              <w:jc w:val="left"/>
            </w:pPr>
            <w:r>
              <w:rPr>
                <w:sz w:val="19"/>
              </w:rPr>
              <w:t xml:space="preserve">Terraform GitHub repo</w:t>
            </w:r>
          </w:p>
        </w:tc>
        <w:tc>
          <w:tcPr/>
          <w:p>
            <w:pPr>
              <w:pStyle w:val="Compact"/>
              <w:spacing w:after="40"/>
              <w:jc w:val="left"/>
            </w:pPr>
            <w:r>
              <w:rPr>
                <w:sz w:val="19"/>
              </w:rPr>
              <w:t xml:space="preserve">product-terraform</w:t>
            </w:r>
          </w:p>
        </w:tc>
        <w:tc>
          <w:tcPr/>
          <w:p>
            <w:pPr>
              <w:pStyle w:val="Compact"/>
              <w:spacing w:after="40"/>
              <w:jc w:val="left"/>
            </w:pPr>
            <w:r>
              <w:rPr>
                <w:sz w:val="19"/>
              </w:rPr>
              <w:t xml:space="preserve">optionstrat-terraform</w:t>
            </w:r>
          </w:p>
        </w:tc>
      </w:tr>
    </w:tbl>
    <w:bookmarkEnd w:id="52"/>
    <w:bookmarkStart w:id="53" w:name="appendix-b-reference-terraform-snippet"/>
    <w:p>
      <w:pPr>
        <w:pStyle w:val="Heading1"/>
      </w:pPr>
      <w:r>
        <w:t xml:space="preserve">Appendix B — Reference Terraform Snippet</w:t>
      </w:r>
    </w:p>
    <w:p>
      <w:pPr>
        <w:pStyle w:val="SourceCode"/>
        <w:shd w:val="clear" w:color="auto" w:fill="F3F5F8"/>
      </w:pPr>
      <w:r>
        <w:rPr>
          <w:rStyle w:val="VerbatimChar"/>
        </w:rPr>
        <w:t xml:space="preserve">terraform {</w:t>
      </w:r>
      <w:r>
        <w:br/>
      </w:r>
      <w:r>
        <w:rPr>
          <w:rStyle w:val="VerbatimChar"/>
        </w:rPr>
        <w:t xml:space="preserve">  required_version = "&gt;= 1.10.0"</w:t>
      </w:r>
      <w:r>
        <w:br/>
      </w:r>
      <w:r>
        <w:br/>
      </w:r>
      <w:r>
        <w:rPr>
          <w:rStyle w:val="VerbatimChar"/>
        </w:rPr>
        <w:t xml:space="preserve">  required_providers {</w:t>
      </w:r>
      <w:r>
        <w:br/>
      </w:r>
      <w:r>
        <w:rPr>
          <w:rStyle w:val="VerbatimChar"/>
        </w:rPr>
        <w:t xml:space="preserve">    azurerm = { source = "hashicorp/azurerm", version = "~&gt; 4.0" }</w:t>
      </w:r>
      <w:r>
        <w:br/>
      </w:r>
      <w:r>
        <w:rPr>
          <w:rStyle w:val="VerbatimChar"/>
        </w:rPr>
        <w:t xml:space="preserve">    time    = { source = "hashicorp/time",    version = "~&gt; 0.12" }</w:t>
      </w:r>
      <w:r>
        <w:br/>
      </w:r>
      <w:r>
        <w:rPr>
          <w:rStyle w:val="VerbatimChar"/>
        </w:rPr>
        <w:t xml:space="preserve">  }</w:t>
      </w:r>
      <w:r>
        <w:br/>
      </w:r>
      <w:r>
        <w:br/>
      </w:r>
      <w:r>
        <w:rPr>
          <w:rStyle w:val="VerbatimChar"/>
        </w:rPr>
        <w:t xml:space="preserve">  backend "azurerm" {</w:t>
      </w:r>
      <w:r>
        <w:br/>
      </w:r>
      <w:r>
        <w:rPr>
          <w:rStyle w:val="VerbatimChar"/>
        </w:rPr>
        <w:t xml:space="preserve">    resource_group_name  = "bw-dev-eus-infra-rg-01"</w:t>
      </w:r>
      <w:r>
        <w:br/>
      </w:r>
      <w:r>
        <w:rPr>
          <w:rStyle w:val="VerbatimChar"/>
        </w:rPr>
        <w:t xml:space="preserve">    storage_account_name = "bwdeveusinfrasttfst01"</w:t>
      </w:r>
      <w:r>
        <w:br/>
      </w:r>
      <w:r>
        <w:rPr>
          <w:rStyle w:val="VerbatimChar"/>
        </w:rPr>
        <w:t xml:space="preserve">    container_name       = "tfstate-dev"</w:t>
      </w:r>
      <w:r>
        <w:br/>
      </w:r>
      <w:r>
        <w:rPr>
          <w:rStyle w:val="VerbatimChar"/>
        </w:rPr>
        <w:t xml:space="preserve">    key                  = "tick/cachewriter/terraform.tfstate"</w:t>
      </w:r>
      <w:r>
        <w:br/>
      </w:r>
      <w:r>
        <w:rPr>
          <w:rStyle w:val="VerbatimChar"/>
        </w:rPr>
        <w:t xml:space="preserve">    use_azuread_auth     = true</w:t>
      </w:r>
      <w:r>
        <w:br/>
      </w:r>
      <w:r>
        <w:rPr>
          <w:rStyle w:val="VerbatimChar"/>
        </w:rPr>
        <w:t xml:space="preserve">    use_oidc             = true</w:t>
      </w:r>
      <w:r>
        <w:br/>
      </w:r>
      <w:r>
        <w:rPr>
          <w:rStyle w:val="VerbatimChar"/>
        </w:rPr>
        <w:t xml:space="preserve">  }</w:t>
      </w:r>
      <w:r>
        <w:br/>
      </w:r>
      <w:r>
        <w:rPr>
          <w:rStyle w:val="VerbatimChar"/>
        </w:rPr>
        <w:t xml:space="preserve">}</w:t>
      </w:r>
      <w:r>
        <w:br/>
      </w:r>
      <w:r>
        <w:br/>
      </w:r>
      <w:r>
        <w:rPr>
          <w:rStyle w:val="VerbatimChar"/>
        </w:rPr>
        <w:t xml:space="preserve">provider "azurerm" {</w:t>
      </w:r>
      <w:r>
        <w:br/>
      </w:r>
      <w:r>
        <w:rPr>
          <w:rStyle w:val="VerbatimChar"/>
        </w:rPr>
        <w:t xml:space="preserve">  features {}</w:t>
      </w:r>
      <w:r>
        <w:br/>
      </w:r>
      <w:r>
        <w:rPr>
          <w:rStyle w:val="VerbatimChar"/>
        </w:rPr>
        <w:t xml:space="preserve">  subscription_id = var.subscription_id   # required in azurerm 4.x</w:t>
      </w:r>
      <w:r>
        <w:br/>
      </w:r>
      <w:r>
        <w:rPr>
          <w:rStyle w:val="VerbatimChar"/>
        </w:rPr>
        <w:t xml:space="preserve">}</w:t>
      </w:r>
      <w:r>
        <w:br/>
      </w:r>
      <w:r>
        <w:br/>
      </w:r>
      <w:r>
        <w:rPr>
          <w:rStyle w:val="VerbatimChar"/>
        </w:rPr>
        <w:t xml:space="preserve">variable "subscription_id" { type = string }</w:t>
      </w:r>
      <w:r>
        <w:br/>
      </w:r>
      <w:r>
        <w:rPr>
          <w:rStyle w:val="VerbatimChar"/>
        </w:rPr>
        <w:t xml:space="preserve">variable "env"             { type = string }</w:t>
      </w:r>
      <w:r>
        <w:br/>
      </w:r>
      <w:r>
        <w:rPr>
          <w:rStyle w:val="VerbatimChar"/>
        </w:rPr>
        <w:t xml:space="preserve">variable "region_token"    { type = string }</w:t>
      </w:r>
      <w:r>
        <w:br/>
      </w:r>
      <w:r>
        <w:rPr>
          <w:rStyle w:val="VerbatimChar"/>
        </w:rPr>
        <w:t xml:space="preserve">variable "location"        { type = string }</w:t>
      </w:r>
      <w:r>
        <w:br/>
      </w:r>
      <w:r>
        <w:rPr>
          <w:rStyle w:val="VerbatimChar"/>
        </w:rPr>
        <w:t xml:space="preserve">variable "proj"            { type = string }</w:t>
      </w:r>
      <w:r>
        <w:br/>
      </w:r>
      <w:r>
        <w:rPr>
          <w:rStyle w:val="VerbatimChar"/>
        </w:rPr>
        <w:t xml:space="preserve">variable "project"         { type = string }</w:t>
      </w:r>
      <w:r>
        <w:br/>
      </w:r>
      <w:r>
        <w:rPr>
          <w:rStyle w:val="VerbatimChar"/>
        </w:rPr>
        <w:t xml:space="preserve">variable "product"         { type = string }</w:t>
      </w:r>
      <w:r>
        <w:br/>
      </w:r>
      <w:r>
        <w:rPr>
          <w:rStyle w:val="VerbatimChar"/>
        </w:rPr>
        <w:t xml:space="preserve">variable "product_version" { type = string }</w:t>
      </w:r>
      <w:r>
        <w:br/>
      </w:r>
      <w:r>
        <w:rPr>
          <w:rStyle w:val="VerbatimChar"/>
        </w:rPr>
        <w:t xml:space="preserve">variable "owner"           { type = string }</w:t>
      </w:r>
      <w:r>
        <w:br/>
      </w:r>
      <w:r>
        <w:rPr>
          <w:rStyle w:val="VerbatimChar"/>
        </w:rPr>
        <w:t xml:space="preserve">variable "cost_center"     { type = string }</w:t>
      </w:r>
      <w:r>
        <w:br/>
      </w:r>
      <w:r>
        <w:br/>
      </w:r>
      <w:r>
        <w:rPr>
          <w:rStyle w:val="VerbatimChar"/>
        </w:rPr>
        <w:t xml:space="preserve">data "azurerm_client_config" "current" {}</w:t>
      </w:r>
      <w:r>
        <w:br/>
      </w:r>
      <w:r>
        <w:rPr>
          <w:rStyle w:val="VerbatimChar"/>
        </w:rPr>
        <w:t xml:space="preserve">resource "time_static" "created" {}</w:t>
      </w:r>
      <w:r>
        <w:br/>
      </w:r>
      <w:r>
        <w:br/>
      </w:r>
      <w:r>
        <w:rPr>
          <w:rStyle w:val="VerbatimChar"/>
        </w:rPr>
        <w:t xml:space="preserve">locals {</w:t>
      </w:r>
      <w:r>
        <w:br/>
      </w:r>
      <w:r>
        <w:rPr>
          <w:rStyle w:val="VerbatimChar"/>
        </w:rPr>
        <w:t xml:space="preserve">  prefix = "bw-${var.env}-${var.region_token}-${var.proj}"</w:t>
      </w:r>
      <w:r>
        <w:br/>
      </w:r>
      <w:r>
        <w:br/>
      </w:r>
      <w:r>
        <w:rPr>
          <w:rStyle w:val="VerbatimChar"/>
        </w:rPr>
        <w:t xml:space="preserve">  common_tags = {</w:t>
      </w:r>
      <w:r>
        <w:br/>
      </w:r>
      <w:r>
        <w:rPr>
          <w:rStyle w:val="VerbatimChar"/>
        </w:rPr>
        <w:t xml:space="preserve">    Environment    = var.env</w:t>
      </w:r>
      <w:r>
        <w:br/>
      </w:r>
      <w:r>
        <w:rPr>
          <w:rStyle w:val="VerbatimChar"/>
        </w:rPr>
        <w:t xml:space="preserve">    Region         = var.region_token</w:t>
      </w:r>
      <w:r>
        <w:br/>
      </w:r>
      <w:r>
        <w:rPr>
          <w:rStyle w:val="VerbatimChar"/>
        </w:rPr>
        <w:t xml:space="preserve">    Project        = var.project</w:t>
      </w:r>
      <w:r>
        <w:br/>
      </w:r>
      <w:r>
        <w:rPr>
          <w:rStyle w:val="VerbatimChar"/>
        </w:rPr>
        <w:t xml:space="preserve">    Product        = var.product</w:t>
      </w:r>
      <w:r>
        <w:br/>
      </w:r>
      <w:r>
        <w:rPr>
          <w:rStyle w:val="VerbatimChar"/>
        </w:rPr>
        <w:t xml:space="preserve">    ProductVersion = var.product_version</w:t>
      </w:r>
      <w:r>
        <w:br/>
      </w:r>
      <w:r>
        <w:rPr>
          <w:rStyle w:val="VerbatimChar"/>
        </w:rPr>
        <w:t xml:space="preserve">    Owner          = var.owner</w:t>
      </w:r>
      <w:r>
        <w:br/>
      </w:r>
      <w:r>
        <w:rPr>
          <w:rStyle w:val="VerbatimChar"/>
        </w:rPr>
        <w:t xml:space="preserve">    CostCenter     = var.cost_center</w:t>
      </w:r>
      <w:r>
        <w:br/>
      </w:r>
      <w:r>
        <w:rPr>
          <w:rStyle w:val="VerbatimChar"/>
        </w:rPr>
        <w:t xml:space="preserve">    ManagedBy      = "Terraform"</w:t>
      </w:r>
      <w:r>
        <w:br/>
      </w:r>
      <w:r>
        <w:rPr>
          <w:rStyle w:val="VerbatimChar"/>
        </w:rPr>
        <w:t xml:space="preserve">    CreatedDate    = time_static.created.rfc3339</w:t>
      </w:r>
      <w:r>
        <w:br/>
      </w:r>
      <w:r>
        <w:rPr>
          <w:rStyle w:val="VerbatimChar"/>
        </w:rPr>
        <w:t xml:space="preserve">    CreatedBy      = data.azurerm_client_config.current.object_id</w:t>
      </w:r>
      <w:r>
        <w:br/>
      </w:r>
      <w:r>
        <w:rPr>
          <w:rStyle w:val="VerbatimChar"/>
        </w:rPr>
        <w:t xml:space="preserve">    Version        = "1.${formatdate("MMDDYY.hhmm", timestamp())}"</w:t>
      </w:r>
      <w:r>
        <w:br/>
      </w:r>
      <w:r>
        <w:rPr>
          <w:rStyle w:val="VerbatimChar"/>
        </w:rPr>
        <w:t xml:space="preserve">  }</w:t>
      </w:r>
      <w:r>
        <w:br/>
      </w:r>
      <w:r>
        <w:rPr>
          <w:rStyle w:val="VerbatimChar"/>
        </w:rPr>
        <w:t xml:space="preserve">}</w:t>
      </w:r>
      <w:r>
        <w:br/>
      </w:r>
      <w:r>
        <w:br/>
      </w:r>
      <w:r>
        <w:rPr>
          <w:rStyle w:val="VerbatimChar"/>
        </w:rPr>
        <w:t xml:space="preserve">resource "azurerm_resource_group" "main" {</w:t>
      </w:r>
      <w:r>
        <w:br/>
      </w:r>
      <w:r>
        <w:rPr>
          <w:rStyle w:val="VerbatimChar"/>
        </w:rPr>
        <w:t xml:space="preserve">  name     = "${local.prefix}-rg-01"</w:t>
      </w:r>
      <w:r>
        <w:br/>
      </w:r>
      <w:r>
        <w:rPr>
          <w:rStyle w:val="VerbatimChar"/>
        </w:rPr>
        <w:t xml:space="preserve">  location = var.location</w:t>
      </w:r>
      <w:r>
        <w:br/>
      </w:r>
      <w:r>
        <w:rPr>
          <w:rStyle w:val="VerbatimChar"/>
        </w:rPr>
        <w:t xml:space="preserve">  tags     = local.common_tags</w:t>
      </w:r>
      <w:r>
        <w:br/>
      </w:r>
      <w:r>
        <w:br/>
      </w:r>
      <w:r>
        <w:rPr>
          <w:rStyle w:val="VerbatimChar"/>
        </w:rPr>
        <w:t xml:space="preserve">  lifecycle {</w:t>
      </w:r>
      <w:r>
        <w:br/>
      </w:r>
      <w:r>
        <w:rPr>
          <w:rStyle w:val="VerbatimChar"/>
        </w:rPr>
        <w:t xml:space="preserve">    ignore_changes = [tags["CreatedBy"], tags["CreatedDate"]]</w:t>
      </w:r>
      <w:r>
        <w:br/>
      </w:r>
      <w:r>
        <w:rPr>
          <w:rStyle w:val="VerbatimChar"/>
        </w:rPr>
        <w:t xml:space="preserve">  }</w:t>
      </w:r>
      <w:r>
        <w:br/>
      </w:r>
      <w:r>
        <w:rPr>
          <w:rStyle w:val="VerbatimChar"/>
        </w:rPr>
        <w:t xml:space="preserve">}</w:t>
      </w:r>
    </w:p>
    <w:bookmarkEnd w:id="53"/>
    <w:sectPr>
      <w:footerReference w:type="default" r:id="rId9"/>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7070"/>
        <w:sz w:val="16"/>
      </w:rPr>
      <w:t xml:space="preserve">Terraform Standardization — Azure · v1.0 · Page </w:t>
    </w:r>
    <w:r>
      <w:rPr>
        <w:color w:val="707070"/>
        <w:sz w:val="16"/>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80" w:before="180"/>
    </w:pPr>
    <w:qFormat/>
    <w:rPr>
      <w:rFonts w:ascii="Calibri" w:hAnsi="Calibri" w:cs="Calibri" w:eastAsia="Calibri"/>
      <w:sz w:val="21"/>
    </w:rPr>
  </w:style>
  <w:style w:customStyle="1" w:styleId="FirstParagraph" w:type="paragraph">
    <w:name w:val="First Paragraph"/>
    <w:basedOn w:val="BodyText"/>
    <w:next w:val="BodyText"/>
    <w:qFormat/>
    <w:rPr>
      <w:rFonts w:ascii="Calibri" w:hAnsi="Calibri" w:cs="Calibri" w:eastAsia="Calibri"/>
      <w:sz w:val="21"/>
    </w:rPr>
  </w:style>
  <w:style w:customStyle="1" w:styleId="Compact" w:type="paragraph">
    <w:name w:val="Compact"/>
    <w:basedOn w:val="BodyText"/>
    <w:qFormat/>
    <w:pPr>
      <w:spacing w:after="36" w:before="36"/>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Calibri" w:hAnsi="Calibri" w:cs="Calibri" w:eastAsia="Calibri"/>
      <w:b/>
      <w:bCs/>
      <w:color w:val="1F3A5F"/>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rPr>
      <w:rFonts w:ascii="Consolas" w:hAnsi="Consolas" w:cs="Consolas" w:eastAsia="Consolas"/>
      <w:sz w:val="17"/>
    </w:r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 Standardization for OPS and other Teams — Azure</dc:title>
  <dc:creator/>
  <cp:keywords/>
  <dcterms:created xsi:type="dcterms:W3CDTF">2026-09-23T02:53:03Z</dcterms:created>
  <dcterms:modified xsi:type="dcterms:W3CDTF">2026-09-23T02:53:03Z</dcterms:modified>
</cp:coreProperties>
</file>

<file path=docProps/custom.xml><?xml version="1.0" encoding="utf-8"?>
<Properties xmlns="http://schemas.openxmlformats.org/officeDocument/2006/custom-properties" xmlns:vt="http://schemas.openxmlformats.org/officeDocument/2006/docPropsVTypes"/>
</file>