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</w:pPr>
      <w:r>
        <w:rPr>
          <w:rFonts w:eastAsia="Microsoft YaHei"/>
          <w:sz w:val="48"/>
          <w:b/>
          <w:color w:val="1A1A2E"/>
        </w:rPr>
        <w:t>每日荐股分析逻辑白皮书</w:t>
      </w:r>
    </w:p>
    <w:p>
      <w:pPr>
        <w:spacing w:line="360" w:lineRule="auto"/>
      </w:pPr>
    </w:p>
    <w:p>
      <w:pPr>
        <w:jc w:val="center"/>
      </w:pPr>
      <w:r>
        <w:rPr>
          <w:rFonts w:eastAsia="Microsoft YaHei"/>
          <w:sz w:val="36"/>
          <w:b/>
          <w:color w:val="16213E"/>
        </w:rPr>
        <w:t>v2.1</w:t>
      </w:r>
    </w:p>
    <w:p>
      <w:pPr>
        <w:spacing w:line="360" w:lineRule="auto"/>
      </w:pPr>
    </w:p>
    <w:p>
      <w:pPr>
        <w:jc w:val="center"/>
      </w:pPr>
      <w:r>
        <w:rPr>
          <w:rFonts w:eastAsia="Microsoft YaHei"/>
          <w:sz w:val="22"/>
          <w:color w:val="666666"/>
        </w:rPr>
        <w:t>铁律量化 · 核心分析引擎</w:t>
      </w:r>
    </w:p>
    <w:p>
      <w:pPr>
        <w:jc w:val="center"/>
      </w:pPr>
      <w:r>
        <w:rPr>
          <w:rFonts w:eastAsia="Microsoft YaHei"/>
          <w:sz w:val="20"/>
          <w:color w:val="666666"/>
        </w:rPr>
        <w:t>版本：v2.1 | 2026-05-22</w:t>
      </w:r>
    </w:p>
    <w:p>
      <w:pPr>
        <w:spacing w:line="360" w:lineRule="auto"/>
      </w:pPr>
    </w:p>
    <w:p>
      <w:pPr>
        <w:spacing w:line="360" w:lineRule="auto"/>
      </w:pPr>
    </w:p>
    <w:p>
      <w:pPr>
        <w:pBdr>
          <w:top w:val="single" w:sz="12" w:space="4" w:color="CC0000"/>
          <w:bottom w:val="single" w:sz="12" w:space="4" w:color="CC0000"/>
          <w:left w:val="single" w:sz="12" w:space="8" w:color="CC0000"/>
          <w:right w:val="single" w:sz="12" w:space="8" w:color="CC0000"/>
        </w:pBdr>
        <w:shd w:val="clear" w:color="auto" w:fill="FFF5F5"/>
        <w:jc w:val="center"/>
      </w:pPr>
      <w:r>
        <w:rPr>
          <w:rFonts w:eastAsia="Microsoft YaHei"/>
          <w:sz w:val="24"/>
          <w:b/>
          <w:color w:val="CC0000"/>
        </w:rPr>
        <w:t>⚠️ 前置声明：本分析逻辑受《分析的规则红线--Claude》(v1.0)约束</w:t>
      </w:r>
    </w:p>
    <w:p>
      <w:pPr>
        <w:pBdr>
          <w:left w:val="single" w:sz="12" w:space="8" w:color="CC0000"/>
        </w:pBdr>
        <w:shd w:val="clear" w:color="auto" w:fill="FFF5F5"/>
      </w:pPr>
      <w:r>
        <w:rPr>
          <w:rFonts w:eastAsia="Microsoft YaHei"/>
          <w:sz w:val="20"/>
          <w:color w:val="CC0000"/>
        </w:rPr>
        <w:t>AI必须先读取规则红线文档，再执行本分析逻辑。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版本历史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版本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日期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作者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变更内容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v2.1 2026-05-22 Claude 板块动量改用东方财富真实市场数据。新增SectorData采集+相位分类+动量加分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v2.0 2026-05-22 Claude 全面重构。动态池替代固定42只池；否决制替代评分优先；推荐上限25只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v1.0 2026-05-21 Claude 初始版本。六维度评分体系、固定42只池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CC0000"/>
          <w:bottom w:val="single" w:sz="6" w:space="4" w:color="CC0000"/>
        </w:pBdr>
        <w:shd w:val="clear" w:color="auto" w:fill="FFF8E1"/>
      </w:pPr>
      <w:r>
        <w:rPr>
          <w:rFonts w:eastAsia="Microsoft YaHei"/>
          <w:sz w:val="20"/>
          <w:b/>
          <w:color w:val="CC0000"/>
        </w:rPr>
        <w:t>AI必须遵守 — 任何AI在执行分析任务前必须先读取本文档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第一章 股票池管理体系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1.1 概述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股票池是量化选股的基础。通过分级管理，将全市场5000+只股票逐步缩小到可跟踪、可分析的范畴，确保覆盖效率和分析深度。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1.2 五级池架构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全市场池(~5100只) → 剔除ST/*ST/退市/停牌&gt;30日/上市&lt;60日/净资产为负 → 基础池(~800只) → 筛选市值&gt;50亿/日均成交额&gt;5000万/非金融基础覆盖 → 核心观察池(80-120只) → 每日过筛 → 精选推荐池(30-50只) → 触发否决条件 → 剔除/冻结池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1.2.1 全市场池→基础池(刚性剔除)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ST / *ST / 退市整理期 → 剔除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连续停牌超过30个交易日 → 剔除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上市不足60个交易日(次新股) → 剔除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最近一期净资产为负 → 剔除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最近一期营收低于1亿元(非金融) → 剔除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流通市值&lt;30亿 → 剔除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1.2.2 基础池→核心观察池(柔性筛选)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基本面达标：最近一季度净利润为正、营收同比正增长、毛利率&gt;15%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行业覆盖：每个申万一级行业至少有2只代表标的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量化评分&gt;50分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流动性充足：近20日日均成交额&gt;5000万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机构覆盖：至少有3家券商研报覆盖(辅助条件)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1.2.3 核心观察池→精选推荐池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每日收盘后，执行：六维评分计算 → 一票否决检查 → 行业分布平衡 → 组合层规则校验。评分≥70分且未触发否决的标的进入推荐候选。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1.2.4 剔除/冻结池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连续30个交易日评分&lt;50分 → 移入剔除池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触发绝对否决条件且无法修复 → 移入剔除池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行业景气度明确下行 → 移入剔除池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剔除池每季度复审一次，条件修复后回归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1.3 当前核心观察池(42只)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以下为核心池标的，覆盖算力/AI/半导体/网安/制造/新能源/消费等行业：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算力/AI(12只)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603019 中科曙光 算力基础设施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300502 新易盛 算力/光模块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300308 中际旭创 算力/光模块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688041 海光信息 算力/芯片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300394 天孚通信 算力/光器件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688188 柏楚电子 AI/工业软件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688111 金山办公 AI/办公软件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300624 万兴科技 AI/应用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300418 昆仑万维 AI/应用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002230 科大讯飞 AI/语音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603986 兆易创新 算力/存储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688008 澜起科技 算力/接口芯片 积极跟踪</w:t>
            </w:r>
          </w:p>
        </w:tc>
      </w:tr>
    </w:tbl>
    <w:p>
      <w:pPr>
        <w:spacing w:line="360" w:lineRule="auto"/>
      </w:pP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半导体(8只)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603501 韦尔股份 半导体/设计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002371 北方华创 半导体/设备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688012 中微公司 半导体/设备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300661 圣邦股份 半导体/模拟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300782 卓胜微 半导体/射频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688981 中芯国际 半导体/制造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300604 长川科技 半导体/测试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000977 浪潮信息 半导体/服务器 积极跟踪</w:t>
            </w:r>
          </w:p>
        </w:tc>
      </w:tr>
    </w:tbl>
    <w:p>
      <w:pPr>
        <w:spacing w:line="360" w:lineRule="auto"/>
      </w:pP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网安/数字(5只)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600845 宝信软件 工业互联网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688561 奇安信 网安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300454 深信服 网安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600570 恒生电子 金融科技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002415 海康威视 安防/AI 积极跟踪</w:t>
            </w:r>
          </w:p>
        </w:tc>
      </w:tr>
    </w:tbl>
    <w:p>
      <w:pPr>
        <w:spacing w:line="360" w:lineRule="auto"/>
      </w:pP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高端制造/新材料(5只)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600114 东睦股份 粉末冶金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601689 拓普集团 汽车零部件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300274 阳光电源 新能源/逆变器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300750 宁德时代 新能源/电池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002594 比亚迪 新能源/整车 积极跟踪</w:t>
            </w:r>
          </w:p>
        </w:tc>
      </w:tr>
    </w:tbl>
    <w:p>
      <w:pPr>
        <w:spacing w:line="360" w:lineRule="auto"/>
      </w:pP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消费/蓝筹(5只)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600519 贵州茅台 白酒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000858 五粮液 白酒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000967 盈峰环境 环保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600036 招商银行 银行 积极跟踪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301075 多瑞医药 医药 积极跟踪</w:t>
            </w:r>
          </w:p>
        </w:tc>
      </w:tr>
    </w:tbl>
    <w:p>
      <w:pPr>
        <w:spacing w:line="360" w:lineRule="auto"/>
      </w:pP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其他备用(7只)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代码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名称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状态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002439 启明星辰 网安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300033 同花顺 金融数据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688256 寒武纪 AI/芯片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002920 德赛西威 汽车电子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300124 汇川技术 工控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002236 大华股份 安防/AI 备用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300033 同花顺 金融数据 备用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1.4 行业覆盖率要求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行业板块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最低覆盖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单只上限仓位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算力/AI 8只 15% 当前主线赛道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半导体 5只 15% 国产替代主线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网安/数字 3只 15% 政策驱动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高端制造 3只 15% 制造业升级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消费/蓝筹 3只 20% 防御配置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其他 按需 10% 事件驱动</w:t>
            </w:r>
          </w:p>
        </w:tc>
      </w:tr>
    </w:tbl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第二章 板块行业分析框架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2.1 行业分类体系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采用申万一级行业分类为骨架，结合市场主线进行赛道归类：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赛道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对应申万行业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当前热度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算力基础设施 通信、电子、计算机 🔥高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AI应用 计算机、传媒 🔥高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半导体 电子 🔥高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高端制造 机械、汽车、电力设备 ⚡中高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新能源 电力设备 ⚡中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消费 食品饮料、医药生物 💤中低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金融 银行、非银金融 💤低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网络安全 计算机 ⚡中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2.2 板块热度评分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因子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权重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数据源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评分标准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行业指数涨跌幅 25% 腾讯K线[2] 前5→加分，后5→减分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行业资金净流入 30% 东方财富[2] 主力净流入前5→加分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政策事件驱动 20% 新闻搜索[4] 重大利好→加分，利空→减分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行业成交额占比 15% 腾讯行情[1] 占比提升→热度上升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龙头股表现 10% 腾讯行情[1] 龙头涨跌指引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评级：🔥高(≥80) | ⚡中高(60-79) | ⚡中(40-59) | 💤低(&lt;40)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2.3 行业专题分析轮换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每日选取评分最高的2只股票所属行业进行深度分析，内容包括政策跟踪、技术动向、产业链格局、竞争格局。数据来源标注[4]新闻搜索+公开信息。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第三章 六维度评分体系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3.1 评分总览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总分 = 基础(10) + 基本面(20) + 技术面(25) + 资金面(20) + 消息面(20) + 风控(5) = 100分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总分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评级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操作建议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≥90 ⭐极品 优先推荐，可重仓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≥80 ⭐优质 积极推荐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≥70 🔹达标 可推荐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60-69 💤观察 不推荐，仅关注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&lt;60 🚫否决 不推荐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3.2 基础门槛(10分)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子项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满分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评分条件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非ST/非亏损 5 正常得5分，ST/亏损否决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市值评分 3 50-2000亿得3分，&lt;50亿0分，&gt;2000亿1分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流动性 2 日均成交额&gt;1亿得2分，&gt;5000万1分，&lt;5000万0分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color w:val="CC0000"/>
          <w:b/>
        </w:rPr>
        <w:t>否决条件：流通市值&lt;30亿或日均成交额&lt;3000万→直接否决，不进入评分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3.3 基本面(20分)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子项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满分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评分条件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数据源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净利润 5 &gt;5亿得5分，&gt;1亿得3分，&gt;0得1分，负值否决 [3]同花顺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营收 4 同比&gt;20%得4分，&gt;10%得2分，&gt;0得1分 [3]同花顺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毛利率 4 &gt;50%得4分，&gt;30%得2分，&gt;15%得1分 [3]同花顺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负债率 4 &lt;30%得4分，&lt;50%得2分，&lt;70%得1分，&gt;70%否决 [3]同花顺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EPS 3 &gt;2得3分，&gt;1得2分，&gt;0得1分 [3]同花顺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color w:val="CC0000"/>
          <w:b/>
        </w:rPr>
        <w:t>否决条件：净利润连续2季度为负或资产负债率&gt;70%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3.4 技术面(25分)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3.4.1 均线系统(8分)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判定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MA5&gt;MA10&gt;MA20&gt;MA60多头排列 8 强势多头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MA5&gt;MA10&gt;MA20短中期多头 6 偏强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MA5&gt;MA10短期多头 4 中性偏强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MA10&gt;MA5短期死叉 2 弱势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MA10≤MA20中期空头 0且否决 趋势走坏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3.4.2 RSI(5分)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RSI值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信号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40-60 5 中性偏强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30-40或60-70 3 边界区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&lt;30或&gt;70 1 超买/超卖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&gt;80 0 严重超买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3.4.3 MACD(5分)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DIF&gt;DEA&gt;0(零轴上金叉) 5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DIF&gt;DEA&gt;0(零轴上多头减弱) 4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DIF&gt;DEA(零轴下金叉) 3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DIF≤DEA(死叉) 1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3.4.4 量价配合(4分)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放量上涨(涨幅&gt;2%且量比&gt;1.5) 4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缩量上涨(涨幅&gt;0且量比&lt;1.2) 3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正常量价 2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放量下跌(跌幅&gt;2%且量比&gt;1.5) 0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缩量下跌(跌幅&gt;0且量比&lt;0.8) 1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3.4.5 布林带(3分)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价格在中轨至上轨间，中轨向上 3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价格在中轨附近，走平 2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价格在中轨至下轨间 1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价格跌破下轨或上轨向下 0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3.5 资金面(20分)</w:t>
      </w:r>
    </w:p>
    <w:p>
      <w:pPr>
        <w:spacing w:line="360" w:lineRule="auto"/>
      </w:pPr>
      <w:r>
        <w:rPr>
          <w:rFonts w:eastAsia="Microsoft YaHei"/>
          <w:sz w:val="22"/>
          <w:b/>
        </w:rPr>
        <w:t>数据优先使用腾讯行情[1]外盘/内盘(交易所实盘数据)，东方财富[2]作辅助参考。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3.5.1 买卖盘比(8分)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买卖比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&gt;1.10 8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1.05-1.10 6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1.00-1.05 5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0.95-1.00 3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0.90-0.95 1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&lt;0.90 0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3.5.2 量比趋势(6分)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量比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1.5-5.0 6 温和放量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1.2-1.5 5 小幅放量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0.8-1.2 4 正常量能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5.0-12.0 3 大幅放量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&lt;0.8 2 缩量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&gt;12.0 封顶2 极端放量→封顶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量比封顶规则：量比&gt;12时，按8.0-12.0档评分(+2分)，防止极端量比拉高评分。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3.5.3 主力资金流向(6分)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净流入(估算)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净买入&gt;成交额×5% 6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净买入0-成交额×5% 4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净卖出0-成交额×3% 2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净卖出&gt;成交额×3% 0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3.6 消息面(20分)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3.6.1 板块热度(8分)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所属板块为市场主线热点 8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所属板块近期有政策催化 6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所属板块表现中性 4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所属板块为冷门/衰退行业 2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3.6.2 RS相对强度(7分)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RS = 个股30日涨幅 / 大盘30日涨幅 × 100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RS值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判定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&gt;120 7 显著强势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100-120 5 偏强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80-100 3 跟随大盘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&lt;80 1 弱势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池内后20% 0 否决候选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3.6.3 新闻情绪(5分)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利好新闻为主 5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中性 3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轻微利空 1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重大利空 否决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3.7 风控(5分)</w:t>
      </w:r>
    </w:p>
    <w:p>
      <w:pPr>
        <w:pStyle w:val="Heading3"/>
      </w:pPr>
      <w:r>
        <w:rPr>
          <w:rFonts w:eastAsia="Microsoft YaHei"/>
          <w:sz w:val="24"/>
          <w:b/>
          <w:color w:val="333333"/>
        </w:rPr>
        <w:t>3.7.1 30日涨幅(3分)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&lt;30% 3 正常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30-50% 1 涨幅偏大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&gt;50% 否决 暴涨股否决</w:t>
            </w:r>
          </w:p>
        </w:tc>
      </w:tr>
    </w:tbl>
    <w:p>
      <w:pPr>
        <w:pStyle w:val="Heading3"/>
      </w:pPr>
      <w:r>
        <w:rPr>
          <w:rFonts w:eastAsia="Microsoft YaHei"/>
          <w:sz w:val="24"/>
          <w:b/>
          <w:color w:val="333333"/>
        </w:rPr>
        <w:t>3.7.2 波动率(2分)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得分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近20日振幅&lt;40% 2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振幅40-60% 1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振幅&gt;60% 0</w:t>
            </w:r>
          </w:p>
        </w:tc>
      </w:tr>
    </w:tbl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第四章 一票否决制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4.1 否决与评分的关系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一票否决在评分之前执行。触发否决的标的不计算分数、不进入推荐列表。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执行流程：股票→绝对否决检查→通过→条件否决检查→通过→六维评分。不通过的标的根据不同否决类型分别处理。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4.2 绝对否决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#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否决条件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阈值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典型场景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 净利润亏损 连续2季净利为负 亏损股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 PE估值泡沫(科技) PE&gt;80 海光信息PE=260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 中期趋势空头 MA10≤MA20 均线死叉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4 短期暴涨 30日涨幅&gt;50% 中际旭创+78%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 财务数据异常 PE无法计算 财报不足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6 严重负面事件 立案/造假 新闻确认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7 高负债率 负债率&gt;70% 杠杆过高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8 流动性枯竭 日均成交额&lt;3000万 无人交易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4.3 条件否决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#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否决条件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阈值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豁免条件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 PE偏高(科技) PE&gt;120 总分≥85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 PE偏高(高成长) PE&gt;80 总分≥90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 短期均线回踩 MA5&lt;MA10×0.99 总分≥85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4 30日涨幅过高 &gt;50%(市况调整) 见第七章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 RS池内后20% RS&lt;80 总分≥85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4.4 PE估值否决细则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行业类型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PE绝对否决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PE条件否决(需≥85分)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科技制造(AI/算力/半导体) &gt;80 &gt;80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新能源/汽车 &gt;80 &gt;80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消费/蓝筹 &gt;50 &gt;50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金融 &gt;15 &gt;15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亏损行业(网安) 参考PS估值 参考PS估值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PE(TTM)=当前股价/EPS(TTM)，EPS(TTM)=最近4个季度净利润之和/总股本。必须基于同花顺[3]EPS计算，禁用腾讯静态PE。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第五章 操作指令引擎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5.1 建仓条件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同时满足以下条件触发买入：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#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条件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 股价在建仓区间内 建仓区间=[MA10,MA5]或[MA10,前收盘]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 成交量&gt;MA5均量×1.0 有量能支撑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 未触发任何否决 见第四章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4 评分≥70 见第三章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 大盘环境允许 非暴跌日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禁止买入条件(任一触发则取消)：开盘价&gt;MA5+3%(不追高)；大盘当日跌幅&gt;3%(系统性回避)；个股触发30日涨幅否决。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5.2 ATR动态止损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止损价=买入价-2×ATR(14)。ATR(14)为14日平均真实波幅，自动适应不同波动率。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股票</w:t>
            </w:r>
          </w:p>
        </w:tc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买入价</w:t>
            </w:r>
          </w:p>
        </w:tc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ATR(14)</w:t>
            </w:r>
          </w:p>
        </w:tc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2×ATR</w:t>
            </w:r>
          </w:p>
        </w:tc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止损价</w:t>
            </w:r>
          </w:p>
        </w:tc>
        <w:tc>
          <w:tcPr>
            <w:shd w:val="clear" w:color="auto" w:fill="1A1A2E"/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幅度</w:t>
            </w:r>
          </w:p>
        </w:tc>
      </w:tr>
      <w:tr>
        <w:trPr>
          <w:jc w:val="center"/>
        </w:trPr>
        <w:tc>
          <w:tcPr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柏楚电子 179.26 4.1 8.2 171.06 -4.6%</w:t>
            </w:r>
          </w:p>
        </w:tc>
      </w:tr>
      <w:tr>
        <w:trPr>
          <w:jc w:val="center"/>
        </w:trPr>
        <w:tc>
          <w:tcPr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中科曙光 101.36 2.8 5.6 95.76 -5.5%</w:t>
            </w:r>
          </w:p>
        </w:tc>
      </w:tr>
      <w:tr>
        <w:trPr>
          <w:jc w:val="center"/>
        </w:trPr>
        <w:tc>
          <w:tcPr>
            <w:tcW w:w="1583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新易盛 591.27 12.5 25.0 566.27 -4.2%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止损硬上限：即使ATR计算超过-8%，止损价仍在买入价的-8%。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5.3 分级止盈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层级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目标涨幅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操作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第一止盈 +5% 减仓50%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第二止盈 +10% 减仓剩余50%中的50%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第三止盈 +15% 清仓</w:t>
            </w:r>
          </w:p>
        </w:tc>
      </w:tr>
    </w:tbl>
    <w:p>
      <w:pPr>
        <w:spacing w:line="360" w:lineRule="auto"/>
      </w:pPr>
      <w:r>
        <w:rPr>
          <w:rFonts w:eastAsia="Microsoft YaHei"/>
          <w:sz w:val="22"/>
          <w:b/>
        </w:rPr>
        <w:t>移动止盈：达到第一止盈后，止损价上移至买入价，确保剩余仓位不亏损。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5.4 ATR动态仓位管理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ATR/股价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波动率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系数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&lt;2% 低 1.5 适度加仓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2%-5%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中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1.0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正常仓位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&gt;5%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高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0.5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控制风险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5.5 市场环境仓位调节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市场状态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总仓位上限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单只上限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牛市(MA5&gt;MA20&gt;MA60) 100% 20%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震荡(均线交织)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80%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15%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熊市(MA5&lt;MA20&lt;MA60)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50%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10%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5.6 旁路机制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突发事件驱动的投资机会可通过旁路机制临时加入精选池。条件：明确的事件驱动逻辑+标的满足刚性条件+六维评分≥70+人工确认。单日旁路≤2只。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第六章 组合层规则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6.1 行业分散要求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规则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要求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单行业推荐上限 ≤推荐总数的40%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板块交叉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涉及至少2个不同板块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同行业竞争标的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优先评分最高的1-2只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6.2 推荐数量限制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市况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推荐上限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正常市场 ≤5只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震荡市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3-5只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熊市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2-3只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特殊情况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≤8只(需备注)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6.3 持续跟踪规则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持仓期间持续跟踪评分变化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评分&lt;60分时触发重新评估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触发止损的标的5个交易日内不推荐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连续3次触发止损的标的冻结2周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第七章 市场情绪自适应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7.1 市场阶段判定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阶段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判定标准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🟢牛市 MA5&gt;MA20&gt;MA60，指数在MA20上方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🟡震荡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均线交织，无明显方向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🔴熊市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MA5&lt;MA20&lt;MA60，指数在MA20下方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7.2 自适应参数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参数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牛市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震荡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熊市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推荐阈值 ≥75 ≥70 ≥65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涨幅否决阈值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&gt;80%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&gt;50%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&gt;30%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总仓位上限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100%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80%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50%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单只上限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20%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15%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10%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ATR止损倍数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2.5×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2×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1.5×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7.3 极端市况应对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场景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操作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单日大盘跌&gt;3% 暂停当日推荐，已持仓不操作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连续3日跌&gt;1.5%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阈值下调5分，减少推荐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大盘反弹日(涨&gt;2%)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正常推荐，建仓价在MA10附近</w:t>
            </w:r>
          </w:p>
        </w:tc>
      </w:tr>
    </w:tbl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第八章 数据质量与置信度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8.1 数据来源编号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编号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来源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用途</w:t>
            </w:r>
          </w:p>
        </w:tc>
        <w:tc>
          <w:tcPr>
            <w:shd w:val="clear" w:color="auto" w:fill="1A1A2E"/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更新频率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[1] 腾讯行情 实时行情、量比、买卖盘 实时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[2]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腾讯K线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K线、均线、技术指标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日更新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[3]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同花顺财务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财报、EPS、PE(TTM)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季度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[4]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新闻搜索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相关新闻/公告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每次分析</w:t>
            </w:r>
          </w:p>
        </w:tc>
      </w:tr>
      <w:tr>
        <w:trPr>
          <w:jc w:val="center"/>
        </w:trPr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[5]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本地计算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技术指标、评分</w:t>
            </w:r>
          </w:p>
        </w:tc>
        <w:tc>
          <w:tcPr>
            <w:tcW w:w="2375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每次分析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8.2 数据质量标签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标签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含义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处理方式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🟢完整 所有数据齐全 正常评分推荐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🟡部分缺失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个别辅助缺失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按已有数据评分，缺失不计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🔴严重缺失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关键数据缺失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不评分，冻结推荐</w:t>
            </w:r>
          </w:p>
        </w:tc>
      </w:tr>
    </w:tbl>
    <w:p>
      <w:pPr>
        <w:pStyle w:val="Heading2"/>
      </w:pPr>
      <w:r>
        <w:rPr>
          <w:rFonts w:eastAsia="Microsoft YaHei"/>
          <w:sz w:val="28"/>
          <w:b/>
          <w:color w:val="16213E"/>
        </w:rPr>
        <w:t>8.3 交叉验证原则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腾讯行情[1]和腾讯K线[2]差异&lt;0.5%→数据一致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同花顺[3]PE与腾讯[1]价格交叉验证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东方财富数据仅作辅助，冲突时以腾讯为准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API限流时启用降级路径</w:t>
      </w:r>
    </w:p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第九章 报告输出规范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9.1 每日推荐报告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每日19:00前输出，包含：精选推荐(评分降序)、全部标的过筛表、否决明细、合规声明。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9.2 报告内容要求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精选推荐：股票名称/代码/行业标签/六维评分明细/关键指标/操作建议/核心逻辑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过筛表：所有核心池标的评分、否决判定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否决明细：逐个列出否决原因</w:t>
      </w:r>
    </w:p>
    <w:p>
      <w:pPr>
        <w:spacing w:line="360" w:lineRule="auto"/>
        <w:ind w:left="720" w:hanging="360"/>
        <w:numPr>
          <w:ilvl w:val="0"/>
          <w:numId w:val="1"/>
        </w:numPr>
      </w:pPr>
      <w:r>
        <w:rPr>
          <w:rFonts w:eastAsia="Microsoft YaHei"/>
          <w:sz w:val="22"/>
        </w:rPr>
        <w:t>合规声明：PE计算方式/数据源/免责声明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9.3 每日个股简报</w:t>
      </w:r>
    </w:p>
    <w:p>
      <w:pPr>
        <w:spacing w:line="360" w:lineRule="auto"/>
        <w:jc w:val="both"/>
      </w:pPr>
      <w:r>
        <w:rPr>
          <w:rFonts w:eastAsia="Microsoft YaHei"/>
          <w:sz w:val="22"/>
        </w:rPr>
        <w:t>内容结构：行动指南→评分总览→评分详解→否决检查→大盘行业→技术分析→关键价位→资金面→消息面→中长期趋势→行业专题→操作策略→风险提示→总结</w:t>
      </w:r>
    </w:p>
    <w:p>
      <w:pPr>
        <w:pStyle w:val="Heading2"/>
      </w:pPr>
      <w:r>
        <w:rPr>
          <w:rFonts w:eastAsia="Microsoft YaHei"/>
          <w:sz w:val="28"/>
          <w:b/>
          <w:color w:val="16213E"/>
        </w:rPr>
        <w:t>9.4 输出时间线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时间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产出</w:t>
            </w:r>
          </w:p>
        </w:tc>
        <w:tc>
          <w:tcPr>
            <w:shd w:val="clear" w:color="auto" w:fill="1A1A2E"/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说明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16:00-17:00 个股简报 收盘后逐只分析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17:00-18:30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后评估(昨日推荐)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评估昨日推荐</w:t>
            </w:r>
          </w:p>
        </w:tc>
      </w:tr>
      <w:tr>
        <w:trPr>
          <w:jc w:val="center"/>
        </w:trPr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18:30-19:00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推荐报告</w:t>
            </w:r>
          </w:p>
        </w:tc>
        <w:tc>
          <w:tcPr>
            <w:tcW w:w="3167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评分+过筛+推荐</w:t>
            </w:r>
          </w:p>
        </w:tc>
      </w:tr>
    </w:tbl>
    <w:p>
      <w:pPr>
        <w:spacing w:line="360" w:lineRule="auto"/>
      </w:pPr>
    </w:p>
    <w:p>
      <w:pPr>
        <w:pStyle w:val="Heading1"/>
      </w:pPr>
      <w:r>
        <w:rPr>
          <w:rFonts w:eastAsia="Microsoft YaHei"/>
          <w:sz w:val="36"/>
          <w:b/>
          <w:color w:val="1A1A2E"/>
        </w:rPr>
        <w:t>第十章 文件信息</w:t>
      </w:r>
    </w:p>
    <w:tbl>
      <w:tblPr>
        <w:tblStyle w:val="TableGrid"/>
        <w:tblW w:w="9500" w:type="dxa"/>
        <w:jc w:val="center"/>
      </w:tblPr>
      <w:tr>
        <w:trPr>
          <w:jc w:val="center"/>
        </w:trPr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项目</w:t>
            </w:r>
          </w:p>
        </w:tc>
        <w:tc>
          <w:tcPr>
            <w:shd w:val="clear" w:color="auto" w:fill="1A1A2E"/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  <w:b/>
                <w:color w:val="FFFFFF"/>
              </w:rPr>
              <w:t>内容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文件名 每日荐股分析逻辑白皮书_v2.1.docx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存储路径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Documents\\Claude\\股票分析\\每日荐股\\分析逻辑\\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格式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Office Open XML (.docx)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依赖的上层文档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分析的规则红线--Claude v1.0</w:t>
            </w:r>
          </w:p>
        </w:tc>
      </w:tr>
      <w:tr>
        <w:trPr>
          <w:jc w:val="center"/>
        </w:trPr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关联后续文档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rPr>
                <w:rFonts w:eastAsia="Microsoft YaHei"/>
                <w:sz w:val="18"/>
              </w:rPr>
              <w:t>后评估逻辑白皮书（待重构）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pBdr>
          <w:top w:val="single" w:sz="6" w:space="4" w:color="CCCCCC"/>
        </w:pBdr>
        <w:jc w:val="center"/>
      </w:pPr>
      <w:r>
        <w:rPr>
          <w:rFonts w:eastAsia="Microsoft YaHei"/>
          <w:sz w:val="18"/>
          <w:color w:val="999999"/>
        </w:rPr>
        <w:t>本文档为铁律量化系统的核心分析逻辑规范，所有AI在执行分析任务时必须遵守。</w:t>
      </w:r>
    </w:p>
    <w:p>
      <w:pPr>
        <w:jc w:val="center"/>
      </w:pPr>
      <w:r>
        <w:rPr>
          <w:rFonts w:eastAsia="Microsoft YaHei"/>
          <w:sz w:val="18"/>
          <w:color w:val="999999"/>
        </w:rPr>
        <w:t>版本：v2.1 | 2026-05-22 | 铁律量化</w:t>
      </w:r>
    </w:p>
  </w:body>
</w:document>
</file>

<file path=word/numbering.xml>﻿<?xml version="1.0" encoding="UTF-8" standalone="yes"?>
<w:numbering xmlns:w="http://schemas.openxmlformats.org/wordprocessingml/2006/main">
  <w:abstractNum w:abstractNumId="0">
    <w:multiLevelType w:val="hybridMultilevel"/>
    <w:lvl w:ilvl="0"><w:start w:val="1"/><w:numFmt w:val="bullet"/><w:lvlText w:val="●"/><w:rPr><w:rFonts w:ascii="Symbol" w:hAnsi="Symbol"/></w:lvlText></w:lvl>
  </w:abstractNum>
  <w:abstractNum w:abstractNumId="1">
    <w:multiLevelType w:val="hybridMultilevel"/>
    <w:lvl w:ilvl="0"><w:start w:val="1"/><w:numFmt w:val="decimal"/><w:lvlText w:val="%1."/></w:lvl>
  </w:abstractNum>
  <w:num w:numId="1"><w:abstractNumId w:val="0"/></w:num>
  <w:num w:numId="2"><w:abstractNumId w:val="1"/>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styleId="Normal" w:default="1">
    <w:name w:val="Normal"/>
    <w:rPr>
      <w:rFonts w:eastAsia="Microsoft YaHei"/>
      <w:sz w:val="22"/>
    </w:rPr>
  </w:style>
  <w:style w:type="paragraph" w:styleId="Heading1">
    <w:name w:val="heading 1"/>
    <w:pPr>
      <w:spacing w:before="240" w:after="120"/>
    </w:pPr>
    <w:rPr>
      <w:rFonts w:eastAsia="Microsoft YaHei"/>
      <w:sz w:val="36"/>
      <w:b/>
      <w:color w:val="1A1A2E"/>
    </w:rPr>
  </w:style>
  <w:style w:type="paragraph" w:styleId="Heading2">
    <w:name w:val="heading 2"/>
    <w:pPr>
      <w:spacing w:before="200" w:after="100"/>
    </w:pPr>
    <w:rPr>
      <w:rFonts w:eastAsia="Microsoft YaHei"/>
      <w:sz w:val="28"/>
      <w:b/>
      <w:color w:val="16213E"/>
    </w:rPr>
  </w:style>
  <w:style w:type="paragraph" w:styleId="Heading3">
    <w:name w:val="heading 3"/>
    <w:pPr>
      <w:spacing w:before="160" w:after="80"/>
    </w:pPr>
    <w:rPr>
      <w:rFonts w:eastAsia="Microsoft YaHei"/>
      <w:sz w:val="24"/>
      <w:b/>
      <w:color w:val="333333"/>
    </w:rPr>
  </w:style>
  <w:style w:type="table" w:styleId="TableGrid">
    <w:name w:val="Table Grid"/>
    <w:pPr>
      <w:spacing w:after="0"/>
    </w:pPr>
    <w:tblPr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