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每日荐股分析逻辑白皮书 v2.4</w:t>
      </w:r>
    </w:p>
    <w:p>
      <w:pPr>
        <w:pStyle w:val="Heading1"/>
      </w:pPr>
      <w:r>
        <w:t>每日荐股分析逻辑白皮书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：v2.4｜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：2026-05-22｜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文档定位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：核心分析引擎 · 每日荐股全流程规范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 20:00（开盘检查通过后执行）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AI分析前必须先读取该文档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【重要声明】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：本文件受《分析的规则红线--Claude》约束，AI在分析前必须先读取该文档。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变更概要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v1.5后评估：Spearman=-0.436(评分反向)、否决误杀率36.6%、否决有效度-2.0%。根因：否决规则未考虑板块动量——有色板块大涨时PE/均线否决全部误杀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基于原v5.4重构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之前版本作者均为Claude。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一、推荐哲学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核心信念：推荐不是"今天谁涨得好就选谁"，而是"谁在未来一段时间最有可能上涨"。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股票推荐的目的是提前发现价值，而非追逐已经发生的价格变动。推荐哲学贯穿整个分析逻辑，是评判所有规则合理性的最终依据。</w:t>
      </w:r>
    </w:p>
    <w:p>
      <w:pPr>
        <w:pStyle w:val="Heading3"/>
      </w:pPr>
      <w:r>
        <w:t>（一）逻辑层级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政策/产业趋势（宏观）→ 行业景气度判断（中观）→ 板块轮动相位（中观）→ 精选蓄势个股（微观技术）→ 择机埋伏（执行）</w:t>
      </w:r>
    </w:p>
    <w:p>
      <w:pPr>
        <w:pStyle w:val="Heading3"/>
      </w:pPr>
      <w:r>
        <w:t>（二）追涨与埋伏的区分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错误做法（追涨）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今日大涨→高分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轮动早期/中期板块→超配；过热板块→减配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（三）推荐四问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一个好的推荐必须回答以下四个问题：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（一）为什么是这个行业？——板块轮动到哪个阶段了？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（二）为什么是这只股票？——技术面蓄势充分了吗？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（三）为什么是现在？——有什么即将发生的催化剂？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（四）空间和风险如何？——向上空间是否大于向下空间？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二、流水线总览</w:t>
      </w:r>
    </w:p>
    <w:p>
      <w:pPr>
        <w:pStyle w:val="Heading3"/>
      </w:pPr>
      <w:r>
        <w:t>（四）每日流水线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调度入口：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daily_workflow.ps1 -Mode daily</w:t>
      </w:r>
    </w:p>
    <w:p>
      <w:pPr>
        <w:pStyle w:val="Heading3"/>
      </w:pPr>
      <w:r>
        <w:t>（五）退出机制（独立模块）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EUS（Exit Urgency Score）退出急迫度评分独立运行，不纳入每日荐股流水线：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（一）四维度加权：时间因子25% + 盈亏状态30% + 技术面25% + 资金面20%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（二）决策规则：EUS&lt;20持有 / 20-35减半仓 / 35-50退2/3 / &gt;50全面退出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（三）一票退出：-7%硬止损 / 超15天且亏&gt;5% / 价&lt;MA20×0.95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（四）输出路径：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临时回溯/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三、动态池构建</w:t>
      </w:r>
    </w:p>
    <w:p>
      <w:pPr>
        <w:pStyle w:val="Heading3"/>
      </w:pPr>
      <w:r>
        <w:t>（六）核心思想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每日根据板块轮动数据动态构建股票池，替代传统的固定池模式：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（一）扫描全市场板块，识别当前热门板块（潜伏期/主升期）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（二）从热门板块中提取成分股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（三）合并核心底仓（28只长期跟踪标的）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（四）输出去重动态池（80-120只）</w:t>
      </w:r>
    </w:p>
    <w:p>
      <w:pPr>
        <w:pStyle w:val="Heading3"/>
      </w:pPr>
      <w:r>
        <w:t>（七）执行流程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</w:r>
    </w:p>
    <w:p>
      <w:pPr>
        <w:pStyle w:val="Heading3"/>
      </w:pPr>
      <w:r>
        <w:t>（八）板块相位判定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基于实时数据，将每个板块归入以下相位：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潜伏期（accum）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主升调整（rise）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高潮期（peak）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衰退期（decline）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-10</w:t>
            </w:r>
          </w:p>
        </w:tc>
      </w:tr>
    </w:tbl>
    <w:p>
      <w:pPr>
        <w:spacing w:after="40"/>
      </w:pPr>
    </w:p>
    <w:p>
      <w:pPr>
        <w:pStyle w:val="Heading3"/>
      </w:pPr>
      <w:r>
        <w:t>（九）板块综合评分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四个因子加权：相位分 + 涨跌幅分 + 换手率分 + 资金流分。取总分前5名的板块，每个板块提取前20只成分股。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净流入&gt;0得+5；净流出&lt;-1亿得-3</w:t>
            </w:r>
          </w:p>
        </w:tc>
      </w:tr>
    </w:tbl>
    <w:p>
      <w:pPr>
        <w:spacing w:after="40"/>
      </w:pPr>
    </w:p>
    <w:p>
      <w:pPr>
        <w:pStyle w:val="Heading3"/>
      </w:pPr>
      <w:r>
        <w:t>（十）核心底仓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core_stocks.json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包含28只长期跟踪标的：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电力设备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有色金属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家用电器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机械设备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昆仑万维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核心底仓始终纳入动态池（去重后），确保覆盖长期跟踪标的。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四、批量数据采集</w:t>
      </w:r>
    </w:p>
    <w:p>
      <w:pPr>
        <w:pStyle w:val="Heading3"/>
      </w:pPr>
      <w:r>
        <w:t>（十一）数据采集流水线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  <w:br/>
        <w:br/>
        <w:t>输出格式：{ Stocks, SectorData, SectorFundFlow, SectorKLine 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v2.4新增：板块指数历史K线采集。否决规则需要区分"长期主线"和"短期脉冲"，必须依赖板块指数历史走势数据（20-60日K线）。</w:t>
      </w:r>
    </w:p>
    <w:p>
      <w:pPr>
        <w:pStyle w:val="Heading3"/>
      </w:pPr>
      <w:r>
        <w:t>（十二）数据源策略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 qt.gtimg.cn（批量）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 hq.sinajs.cn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 money.finance.sina.com.cn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 web.ifzq.gtimg.cn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</w:tbl>
    <w:p>
      <w:pPr>
        <w:spacing w:after="40"/>
      </w:pPr>
    </w:p>
    <w:p>
      <w:pPr>
        <w:pStyle w:val="Heading3"/>
      </w:pPr>
      <w:r>
        <w:t>（十三）限速策略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内置在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Invoke-ThrottledApiCall</w:t>
      </w:r>
      <w:r>
        <w:rPr>
          <w:rFonts w:ascii="Microsoft YaHei" w:hAnsi="Microsoft YaHei" w:eastAsia="Microsoft YaHei"/>
          <w:b w:val="0"/>
          <w:i w:val="0"/>
          <w:sz w:val="21"/>
        </w:rPr>
        <w:t>，全局生效：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（一）每次API调用间隔 ≥ 300ms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（二）每10次调用额外休息2s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（三）缓存命中不计入调用计数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五、否决体系</w:t>
      </w:r>
    </w:p>
    <w:p>
      <w:pPr>
        <w:pStyle w:val="Heading3"/>
      </w:pPr>
      <w:r>
        <w:t>（十四）执行流程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绝对否决 → 六维评分+板块趋势持续性 → 条件否决（含板块动量双层判断）→ 按总分降序排序 → 取前25只推荐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说明：绝对否决在评分之前执行；条件否决允许高分豁免+板块动量豁免。v2.4新增板块动量双层判断机制，区分"长期主线"和"短期脉冲"以差异化执行否决规则。</w:t>
      </w:r>
    </w:p>
    <w:p>
      <w:pPr>
        <w:pStyle w:val="Heading3"/>
      </w:pPr>
      <w:r>
        <w:t>（十五）绝对否决（一条触发即否决，不再评分）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名称含"ST"、"*ST"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PE估值泡沫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 &gt;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流动性枯竭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成交额&lt;1500万且换手率&lt;0.5%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严重负面事件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</w:t>
            </w:r>
          </w:p>
        </w:tc>
      </w:tr>
    </w:tbl>
    <w:p>
      <w:pPr>
        <w:spacing w:after="40"/>
      </w:pPr>
    </w:p>
    <w:p>
      <w:pPr>
        <w:pStyle w:val="Heading3"/>
      </w:pPr>
      <w:r>
        <w:t>（十六）条件否决（先评分，分不够则否决）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高成长PE偏高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短期均线回踩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&lt; MA10×0.95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30日涨幅过高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PE板块调整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板块为长期主线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v2.4变更：① C5豁免从price&gt;MA20×1.05放宽至1.03；② 新增C6（仅衰退期触发PE否决）；③ C1/C2/C3/C5新增板块动量双层判断作为通用豁免。</w:t>
      </w:r>
    </w:p>
    <w:p>
      <w:pPr>
        <w:pStyle w:val="Heading3"/>
      </w:pPr>
      <w:r>
        <w:t>（十七）PE估值阈值（行业相对估值）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电子、计算机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科技成长股，高PE是常态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创新药估值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银行天然低PE</w:t>
            </w:r>
          </w:p>
        </w:tc>
      </w:tr>
    </w:tbl>
    <w:p>
      <w:pPr>
        <w:spacing w:after="40"/>
      </w:pPr>
    </w:p>
    <w:p>
      <w:pPr>
        <w:pStyle w:val="Heading3"/>
      </w:pPr>
      <w:r>
        <w:t>（十八）板块动量双层判断（v2.4新增）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第一层：当日板块动量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（详见第二十六条）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板块中性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板块弱势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衰退期（turn&gt;3%且chg&lt;-3%）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第二层：板块趋势持续性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（详见第二十七条）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弱轮动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当日大涨但20日趋势不足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双层判定矩阵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当日动量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长期趋势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C1/C2（PE）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主线加速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弱（轮动）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短期脉冲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豁免分降至70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弱（冷门）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冷门板块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实现逻辑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should_exempt_by_sector(industry, sector_phases, sector_trends):</w:t>
        <w:br/>
        <w:t xml:space="preserve">    is_strong_day = phase in ("高潮期", "主升调整")</w:t>
        <w:br/>
        <w:t xml:space="preserve">    is_strong_trend = trend.is_long_term_main_line</w:t>
        <w:br/>
        <w:t xml:space="preserve">    if is_strong_day and is_strong_trend:    → 全面豁免</w:t>
        <w:br/>
        <w:t xml:space="preserve">    if is_strong_day and not is_strong_trend: → 部分豁免</w:t>
        <w:br/>
        <w:t xml:space="preserve">    if not is_strong_day and is_strong_trend: → 仅豁免C3</w:t>
        <w:br/>
        <w:t xml:space="preserve">    否则 → 不豁免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六、评分体系</w:t>
      </w:r>
    </w:p>
    <w:p>
      <w:pPr>
        <w:pStyle w:val="Heading3"/>
      </w:pPr>
      <w:r>
        <w:t>（十九）评分总览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总分 = 基础（10分）+ 基本面（15分）+ 技术面（30分）+ 资金面（20分）+ 消息面（15分）+ 风控（5分）+ 板块趋势持续性（5分）= </w:t>
      </w:r>
      <w:r>
        <w:rPr>
          <w:rFonts w:ascii="Microsoft YaHei" w:hAnsi="Microsoft YaHei" w:eastAsia="Microsoft YaHei"/>
          <w:b/>
          <w:i w:val="0"/>
          <w:sz w:val="21"/>
        </w:rPr>
        <w:t>100分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v2.4权重调整：基本面20→15（负相关-0.182）、技术面25→30（正相关+0.199）、消息面20→15（负相关-0.124）、新增板块趋势持续性5分。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总分范围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（二十）基础门槛（10分）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非ST/非亏损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市值评分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日成交额&gt;1亿得3分；&gt;5000万得2分；&gt;3000万得1分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（二十一）基本面（15分）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v2.4降权：基本面得分与次日收益呈负相关（Spearman=-0.182），压缩权重至15分。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PE≤15得13分；15&lt;PE≤30得11分；30&lt;PE≤80得9分；PE&gt;80得7分；大盘股+2分（归一化至15分）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（二十二）技术面（30分）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v2.4升权：技术面是唯一与次日收益正相关的维度（Spearman=+0.199），扩大权重。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均线系统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均线收敛发散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量价蓄势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底部支撑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RSI位置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MACD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S7 突破确认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S8 趋势动量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最近5日涨幅&gt;10%+2分；&gt;15%额外+1分；价格&gt;MA20×1.08+1分；5日≥3阳线+1分；MA20斜率向上+1分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突破形态判定：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近10日振幅&gt;5%的天数≥3天 + 当日涨幅&gt;3% + 量比&gt;1.5 → has_breakout = True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归一化公式：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tech = round(raw_tech / 27 * 30)</w:t>
      </w:r>
      <w:r>
        <w:rPr>
          <w:rFonts w:ascii="Microsoft YaHei" w:hAnsi="Microsoft YaHei" w:eastAsia="Microsoft YaHei"/>
          <w:b w:val="0"/>
          <w:i w:val="0"/>
          <w:sz w:val="21"/>
        </w:rPr>
        <w:t>，上限30分，下限1分。</w:t>
      </w:r>
    </w:p>
    <w:p>
      <w:pPr>
        <w:pStyle w:val="Heading3"/>
      </w:pPr>
      <w:r>
        <w:t>（二十三）资金面（20分）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高潮期+4分；主升调整+2~3分；潜伏期+1分；衰退期-3分（见第二十六条）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（二十四）消息面（15分）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v2.4降权：消息面得分与次日收益呈负相关（Spearman=-0.124），单日涨跌幅噪声大，压缩权重至15分。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（一）今日涨幅&gt;3% +4分；&gt;1% +2分；&lt;-3% -3分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（二）板块动量加成：高潮期+2分；主升调整+1分；衰退期-1分（见第二十六条）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（三）最低1分，最高15分</w:t>
      </w:r>
    </w:p>
    <w:p>
      <w:pPr>
        <w:pStyle w:val="Heading3"/>
      </w:pPr>
      <w:r>
        <w:t>（二十五）风控（5分）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（一）PE&gt;0且&lt;60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（二）换手率1%-8%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（三）默认3分</w:t>
      </w:r>
    </w:p>
    <w:p>
      <w:pPr>
        <w:pStyle w:val="Heading3"/>
      </w:pPr>
      <w:r>
        <w:t>（二十六）板块动量加分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板块动量不单独作为一个维度，而是对资金面（S_Money）和消息面（S_News）进行加权修正。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数据来源</w:t>
      </w:r>
      <w:r>
        <w:rPr>
          <w:rFonts w:ascii="Microsoft YaHei" w:hAnsi="Microsoft YaHei" w:eastAsia="Microsoft YaHei"/>
          <w:b w:val="0"/>
          <w:i w:val="0"/>
          <w:sz w:val="21"/>
        </w:rPr>
        <w:t>：东方财富行业板块API[7]（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push2.eastmoney.com/api/qt/clist/get?fs=m:90+t:2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相位分类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classify_phase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板块退潮，规避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加分规则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calc_sector_bonus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资金面加分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turn&gt;5, chg&gt;2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主升调整（强）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chg&gt;3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主升调整（弱）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turn&gt;3, chg&lt;-3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板块在真实市场数据中不存在时，回退至池内聚合计算；池内该板块股票&lt;3只时，降级为基准加分（潜伏期水平）。</w:t>
      </w:r>
    </w:p>
    <w:p>
      <w:pPr>
        <w:pStyle w:val="Heading3"/>
      </w:pPr>
      <w:r>
        <w:t>（二十七）板块趋势持续性（5分，v2.4新增）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暴露了一个核心问题：当日板块动量无法区分"长期主线"和"短期脉冲"。AI/机器人/存储等持续数月的热门板块，与有色这种当天大涨的轮动板块，应当区别对待。板块趋势持续性作为一个独立的评分维度，基于板块指数历史K线评估板块的中长期趋势质量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评分规则</w:t>
      </w:r>
      <w:r>
        <w:rPr>
          <w:rFonts w:ascii="Microsoft YaHei" w:hAnsi="Microsoft YaHei" w:eastAsia="Microsoft YaHei"/>
          <w:b w:val="0"/>
          <w:i w:val="0"/>
          <w:sz w:val="21"/>
        </w:rPr>
        <w:t>（需板块指数≥20日K线数据）：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数据依赖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板块20日涨幅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板块指数20日涨幅&gt;10%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板块指数20日K线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上涨天数占比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20日中上涨天数&gt;12天（&gt;60%）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板块指数20日K线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相对大盘超额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板块20日涨幅跑赢沪深300&gt;5%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板块指数+大盘20日K线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主力资金趋势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20日主力资金净流入天数&gt;12天+1；最近5日持续净流入+1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板块20日资金流数据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总分范围：0-5分（数据不足时默认0分，不扣分）。得分≥3分判定为"强主线"。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与当日板块动量的关系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第二十六条（当日板块动量）决定资金面/消息面短期加减分；第二十七条（板块趋势持续性）提供独立5分评分+否决规则双层判断输入（中长期）。否决规则根据二者组合差异化执行（见第十八条）。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七、输出规范</w:t>
      </w:r>
    </w:p>
    <w:p>
      <w:pPr>
        <w:pStyle w:val="Heading3"/>
      </w:pPr>
      <w:r>
        <w:t>（二十八）data_scored.json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SectorTrendMap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Recommendations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VetoedStocks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被否决股票及原因（内部审计用，v2.4.1起不在报告中展示）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AllStocks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全量数据（含K线，已清理）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（二十九）推荐报告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每日荐股/股票报告/daily_report_yyyymmdd.html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每日荐股/股票报告/每日股票推荐_yyyymmdd_landscape.pdf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报告包含：（一）精选推荐列表（前25只）；（二）全部标的过筛表；（三）板块轮动分析；（四）板块趋势持续性（v2.4新增）。</w:t>
      </w:r>
    </w:p>
    <w:p>
      <w:pPr>
        <w:pStyle w:val="Heading3"/>
      </w:pPr>
      <w:r>
        <w:t>（三十）推荐上限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（一）正常每日推荐不超过25只。（二）按总分降序排列。（三）通过绝对否决+条件否决的股票才有资格。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八、数据质量</w:t>
      </w:r>
    </w:p>
    <w:p>
      <w:pPr>
        <w:pStyle w:val="Heading3"/>
      </w:pPr>
      <w:r>
        <w:t>（三十一）数据来源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财务摘要数据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</w:t>
            </w:r>
          </w:p>
        </w:tc>
      </w:tr>
    </w:tbl>
    <w:p>
      <w:pPr>
        <w:spacing w:after="40"/>
      </w:pPr>
    </w:p>
    <w:p>
      <w:pPr>
        <w:pStyle w:val="Heading3"/>
      </w:pPr>
      <w:r>
        <w:t>（三十二）数据质量标签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技术评分降为默认10分；板块趋势持续性默认0分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v2.2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C5条件否决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300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 30日涨幅&gt;50%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需≥30日K线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 EPS异常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 流动性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&lt;1500万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 ST股票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 MA5&lt;MA10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豁免≥85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豁免≥75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需≥10日K线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0.97→0.95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1.05豁免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 PE板块调整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推荐上限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无限制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25只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池子扩大后的质量控制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附录B：退出机制（EUS）规范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EUS退出机制为独立模块，不纳入每日荐股流水线。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四维度加权</w:t>
      </w:r>
      <w:r>
        <w:rPr>
          <w:rFonts w:ascii="Microsoft YaHei" w:hAnsi="Microsoft YaHei" w:eastAsia="Microsoft YaHei"/>
          <w:b w:val="0"/>
          <w:i w:val="0"/>
          <w:sz w:val="21"/>
        </w:rPr>
        <w:t>：时间因子25% + 盈亏状态30% + 技术面25% + 资金面20%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EUS范围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20-35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35-50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全面退出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一票退出条件：-7%硬止损 / 超15天且亏&gt;5% / 价&lt;MA20×0.95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灰度项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暂缓实装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等待更多数据验证消息面负相关是否为系统性特征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评分范围6-18压缩至7-13，未完全中性化以保留区分度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附录D：待验证优化（v2.4 P2）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D.1 市场环境自适应否决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全市场等权涨幅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否决阈值调整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豁免分调整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放宽20%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降10分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收紧10%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升10分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D.2 板块趋势持续性数据源建设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板块趋势持续性评分依赖板块指数历史K线，但数据源尚未完全确定：（一）东方财富板块指数API可获取当日数据；（二）需调研是否提供历史K线API；（三）备选方案：板块内个股聚合K线加权平均近似；（四）缓存策略：24h TTL。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D.3 评分区分度专项优化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v1.5后评估显示Spearman=-0.436，需系统性改进：（一）极端分扩展（当前最高76分，最低50分，考虑非线性映射）；（二）S1均线系统升权；（三）基础分压缩至5分释放空间。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D.4 否决规则自学习机制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对每条否决规则记录历史表现，误杀率持续&gt;30%时自动触发审查：（一）记录股票代码、原因、后续3日涨跌幅；（二）每周末统计"正确否决率"；（三）正确否决率&lt;50%自动建议放宽阈值。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本分析逻辑为铁律量化选股系统核心引擎。所有推荐决策必须遵循本文件规定的否决规则与评分体系。</w:t>
        <w:br/>
        <w:t>本文件受《分析的规则红线--Claude》约束，AI在分析前必须先读取该文档。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