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Microsoft YaHei" w:hAnsi="Microsoft YaHei" w:eastAsia="Microsoft YaHei"/>
          <w:b/>
          <w:color w:val="1A1A2E"/>
          <w:sz w:val="36"/>
        </w:rPr>
        <w:t>重点股票跟踪分析逻辑白皮书 v3.2</w:t>
      </w:r>
    </w:p>
    <w:p>
      <w:pPr>
        <w:pStyle w:val="Heading1"/>
      </w:pPr>
      <w:r>
        <w:t>重点股票跟踪分析逻辑白皮书 v3.2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铁律量化 · 重点股票深度跟踪与多周期预判引擎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版本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：v3.2｜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发布日期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：2026-05-25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体系定位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：对重点标的进行多层次、多维度、多周期的深度分析，输出短期/中期/长期趋势预判与精确操作建议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前驱文档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：《分析的规则红线--Claude》— 本分析受红线顶层约束，所有指标必须标注数据来源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关联文档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：《每日荐股分析逻辑白皮书_v2.9》— 评分方法与参数体系可交叉引用；《模拟交易白皮书_v1.6》— 交易执行对接；《重点股票次日后评估白皮书_v1.4》— 后评估§6.8联动反馈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数据源合规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：本文档所有指标已按《分析的规则红线 v1.14》§1.5 完成合规审计，详见各章节标注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作者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变更内容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变更原因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v3.2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阿黑（路由）+腰子审查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§6.2.1 明日操作情景计划格式从ASCII画框→markdown表格；新增情景应对表强制格式规范（三列：开盘价/判断/动作）；禁止代码块/ASCII画框包裹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用户发现三份深度分析报告8.2情景应对均使用代码块+ASCII对齐，格式混乱。根因为模板本身使用ASCII画框，AI照搬。同时追加报告结论自检规则：统计类结论必须逐项核对表格数据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v3.1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腰子+青山+流金+山猫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§5.2 新增后评估驱动的版本变更规则；§5.3 新增联动文档同步要求；关联文档新增后评估白皮书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后评估§6.8建立了8条桥接机制(B1-B8)，分析逻辑白皮书需配套支持后评估驱动的持续优化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v3.0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Claude(阿黑)+全金融团队审查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全面优化：P0极端事件+不做清单+S3优先级；P1指标精简共线消除+宏观权重5→12%+Wyckoff/板块量化；P2基本面补全(扣非/商誉/杜邦/PEG口径/预期差)+数据源标注全覆盖+信号冲突裁决树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全金融团队(腰子+青山+流金+玉夜+山猫)联合审查，覆盖34项优化建议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§1.1趋势一致性原则补充：短中长背离时报告中必须展示背离提示；§3.2.1补充背离处理规则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用户发现盈峰环境报告趋势健康21分(清仓)与中长线看多矛盾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趋势健康度§3.2.1规则可执行化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用户反馈建议过于含糊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新增第六章操作建议与交易计划体系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缺乏精确买入/卖出/止损价位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数据源合规审计整改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规则红线v1.1审计要求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建立重点股票深度分析体系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核心设计原则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广度与深度分离</w:t>
      </w:r>
      <w:r>
        <w:rPr>
          <w:rFonts w:ascii="Microsoft YaHei" w:hAnsi="Microsoft YaHei" w:eastAsia="Microsoft YaHei"/>
          <w:b w:val="0"/>
          <w:sz w:val="21"/>
        </w:rPr>
        <w:t>：每日荐股负责市场广度筛选（全市场→基础池→核心池→精选），重点股票跟踪负责深度分析（对精选池中的核心标的多维度持续跟踪）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多周期融合</w:t>
      </w:r>
      <w:r>
        <w:rPr>
          <w:rFonts w:ascii="Microsoft YaHei" w:hAnsi="Microsoft YaHei" w:eastAsia="Microsoft YaHei"/>
          <w:b w:val="0"/>
          <w:sz w:val="21"/>
        </w:rPr>
        <w:t>：任何预判必须同时给出短期（1-5日）、中期（1-4周）、长期（1-6月）三个时间维度的观点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证据加权</w:t>
      </w:r>
      <w:r>
        <w:rPr>
          <w:rFonts w:ascii="Microsoft YaHei" w:hAnsi="Microsoft YaHei" w:eastAsia="Microsoft YaHei"/>
          <w:b w:val="0"/>
          <w:sz w:val="21"/>
        </w:rPr>
        <w:t>：不做单一指标决策，采用"证据权重"法——多个独立维度指向同一方向时方可形成结论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持续跟踪而非一次性判断</w:t>
      </w:r>
      <w:r>
        <w:rPr>
          <w:rFonts w:ascii="Microsoft YaHei" w:hAnsi="Microsoft YaHei" w:eastAsia="Microsoft YaHei"/>
          <w:b w:val="0"/>
          <w:sz w:val="21"/>
        </w:rPr>
        <w:t>：重点股票不是分析一次就结束，而是建立档案持续跟踪关键信号变化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可验证、可回溯</w:t>
      </w:r>
      <w:r>
        <w:rPr>
          <w:rFonts w:ascii="Microsoft YaHei" w:hAnsi="Microsoft YaHei" w:eastAsia="Microsoft YaHei"/>
          <w:b w:val="0"/>
          <w:sz w:val="21"/>
        </w:rPr>
        <w:t>：每个预判必须有明确的验证标准，事后可判断对错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第一章 多维度分析框架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重点股票分析从六个独立维度展开，每个维度输出独立的信号（看多/中性/看空），最终通过证据加权形成综合预判。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重点股票分析总框架                        │</w:t>
        <w:br/>
        <w:t>├──────────┬──────────┬──────────┬──────────┬──────────┬──────┤</w:t>
        <w:br/>
        <w:t>│ 技术面   │ 基本面   │ 消息面   │ 板块行业 │ 资金面   │ 宏观 │</w:t>
        <w:br/>
        <w:t>│          │          │          │          │          │      │</w:t>
        <w:br/>
        <w:t>│ 多周期   │ 财报+    │ 催化+    │ 板块相位 │ 主力+    │ 政经 │</w:t>
        <w:br/>
        <w:t>│ 形态+量  │ 估值+    │ 情绪     │ 轮动位置 │ 北向+    │ 流动 │</w:t>
        <w:br/>
        <w:t>│ 价+指标  │ 成长性   │          │          │ 成交额   │ 性   │</w:t>
        <w:br/>
        <w:t>├──────────┴──────────┴──────────┴──────────┴──────────┴──────┤</w:t>
        <w:br/>
        <w:t>│                     证据加权综合预判                          │</w:t>
        <w:br/>
        <w:t>│             短期(1-5日) │ 中期(1-4周) │ 长期(1-6月)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1.1 技术面分析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数据源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：本章全部技术指标基于K线数据[2]→本地计算[5]。K线日/周/月从新浪财经[2]获取（备：腾讯K线[2B]），均线/MACD/RSI/BB/ATR/OBV均由本地计算[5]生成。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技术面是判断买卖时机和趋势状态的核心手段，采用"多周期趋势 + 量价关系 + 关键形态 + 指标组合"四层递进。</w:t>
      </w:r>
    </w:p>
    <w:p>
      <w:pPr>
        <w:pStyle w:val="Heading3"/>
      </w:pPr>
      <w:r>
        <w:t>1.1.1 多周期趋势判断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均线体系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趋势定义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短期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（日线）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 / MA10 / MA20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MA5&gt;MA10&gt;MA20 多头排列 → 短期上升趋势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入场/离场时机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中期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（周线）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MA10 / MA20 / MA50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周线MA10&gt;MA20 且价格在MA20之上 → 中期上升趋势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持仓/方向判断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长期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（月线）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MA20 / MA50 / MA120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月线级别均线多头 → 长期牛市格局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战略仓位判断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趋势一致性原则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三个周期趋势方向一致时 → 趋势强劲，可重仓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短期与中长期方向相反 → 按中长期方向定战略，短期信号定战术；</w:t>
      </w:r>
      <w:r>
        <w:rPr>
          <w:rFonts w:ascii="Microsoft YaHei" w:hAnsi="Microsoft YaHei" w:eastAsia="Microsoft YaHei"/>
          <w:b/>
          <w:sz w:val="21"/>
        </w:rPr>
        <w:t>报告中必须明确标注短中长背离提示，说明短期技术指标偏弱但中/长期逻辑未变，避免纯短线信号误导中长线决策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中期趋势不明（均线交织）→ 以区间震荡对待，高抛低吸</w:t>
      </w:r>
    </w:p>
    <w:p>
      <w:pPr>
        <w:pStyle w:val="Heading3"/>
      </w:pPr>
      <w:r>
        <w:t>1.1.2 量价关系分析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采用 Wyckoff 量价分析法判断主力行为：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量价形态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价涨量增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需求旺盛，趋势健康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持仓或加仓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价涨量缩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上涨动力减弱，量价背离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警惕回调，减仓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价跌量缩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下跌无承接，但仍未企稳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观望，等待放量企稳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价跌量增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恐慌抛售或主力出货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区分是 Selling Climax 还是 Distribution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放量突破压力位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 的 Sign of Strength (SOS)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确认突破有效，加仓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缩量回踩支撑位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 的 Last Point of Support (LPS)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最佳加仓点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放量跌破支撑位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趋势转弱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止损离场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Wyckoff 四阶段识别</w:t>
      </w:r>
      <w:r>
        <w:rPr>
          <w:rFonts w:ascii="Microsoft YaHei" w:hAnsi="Microsoft YaHei" w:eastAsia="Microsoft YaHei"/>
          <w:b w:val="0"/>
          <w:i w:val="0"/>
          <w:sz w:val="21"/>
        </w:rPr>
        <w:t>（用于判断股票所处的大周期位置）：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量化判定条件（同时满足）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操作策略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吸筹区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价格在250日低点上方&lt;15%区间震荡&gt;20日 ② 20日均量&gt;60日均量×1.2 ③ 最高价与最低价差值(20日)&lt;ATR(14)×1.5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建立底仓（仓位≤20%）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拉升区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价格突破吸筹区上轨（20日最高价）+ 放量（当日量&gt;20日均量×1.5） ② MA20&gt;MA60 ③ ADX(14)&gt;25 且 +DI&gt;-DI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加仓/持仓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派发区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距250日低点涨幅&gt;80%后横盘≥15日 ② 出现Upthrust（日内冲高&gt;2%后回落收阴） ③ 周线RSI(9)&gt;75或周线RSI顶背离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逐步减仓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下跌区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价格跌破派发区低点（20日最低价） ② MA20&lt;MA60 ③ ADX(14)&gt;25 且 -DI&gt;+DI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清仓/观望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量化说明（v3.0）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：原Wyckoff四阶段完全依赖AI主观判断（"长期下跌后横盘""成交量逐步放大"等无数字阈值），与§6"操作必须精确"原则矛盾。v3.0为每个阶段定义了3个可量化条件，满足所有条件方可判定。数据源：[2]→[5]。</w:t>
      </w:r>
    </w:p>
    <w:p>
      <w:pPr>
        <w:pStyle w:val="Heading3"/>
      </w:pPr>
      <w:r>
        <w:t>1.1.3 经典技术形态识别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形态名称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目标位测算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头肩底/双底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日/周线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中期底部反转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颈线高度等距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头肩顶/双顶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日/周线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中期顶部反转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颈线高度等距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上升/下降旗形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趋势中继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旗杆高度等距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上升/下降三角形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日/周线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趋势突破在即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三角形最宽处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圆弧底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周/月线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长期底部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缓慢，持久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W底/M顶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日/周线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常见反转形态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颈线高度等距</w:t>
            </w:r>
          </w:p>
        </w:tc>
      </w:tr>
    </w:tbl>
    <w:p>
      <w:pPr>
        <w:spacing w:after="40"/>
      </w:pPr>
    </w:p>
    <w:p>
      <w:pPr>
        <w:pStyle w:val="Heading3"/>
      </w:pPr>
      <w:r>
        <w:t>1.1.4 技术指标组合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不依赖单一指标，采用"维度独立确认"策略。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从四个独立维度各选1个核心指标，避免同源指标伪多重验证。MACD/RSI/Stochastic同源自价格序列，合并计数会产生虚假置信度。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核心指标（每维度1个，必须计算）：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核心指标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用法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趋势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ADX (14)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标准参数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&gt;25趋势行情，&lt;20震荡；+DI/-DI交叉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动量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 (9)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A股适配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超买&gt;70，超卖&lt;30；底背离/顶背离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波动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Bollinger Bands (20,2)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标准参数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触及上下轨+带宽变化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量能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OBV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累积量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趋势确认，量价背离预警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辅助指标（按需启用，不参与组合确认计数）：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启用条件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 (10,20,8)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A股快参数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仅当ADX在20-25模糊区间时辅助判断趋势方向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MFI (14)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标准参数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仅当需要区分"真突破"和"量价背离"时辅助RSI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ATR (14)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标准参数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仅用于动态止损计算（§6.1.1），不参与方向判断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组合确认规则（四维独立）：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做多信号：ADX&gt;25趋势向上 + RSI 40-60区间向上 + 价格在BB中轨上方 + OBV与价格同向上行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做空信号：ADX&gt;25趋势向下 + RSI 60-80区间向下 + 价格在BB中轨下方 + OBV与价格同向下行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背离信号：价格新高但RSI未新高+OBV未新高 → 顶背离（看空）；价格新低但RSI未新低+OBV未新低 → 底背离（看多）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震荡判断：ADX&lt;20 + BB带宽&lt;历史中位数 + 价格在中轨附近 → 区间操作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共线消除说明（v3.0）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：原10个指标中MACD与ADX同测趋势、RSI/Stochastic/MFI同测动量、OBV与成交量均线同测量能——三重冗余导致"组合确认"实为同一price action的多次计数。v3.0每维度保留1个核心，确保4个做多信号来自4条独立逻辑链。</w:t>
      </w:r>
    </w:p>
    <w:p>
      <w:pPr>
        <w:pStyle w:val="Heading3"/>
      </w:pPr>
      <w:r>
        <w:t>1.1.5 K线形态分析（辅助验证）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K线形态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确认要求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十字星/纺锤线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多空平衡，变盘信号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次日方向确认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锤子线/上吊线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底部/顶部反转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长下影线+放量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吞没形态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强反转信号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实体完全覆盖前一根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晨星/暮星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底部/顶部反转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三根K线组合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三白兵/三黑鸦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持续/反转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三根连续同向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1.2 基本面分析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数据源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：本章财务数据来自东方财富[3]→本地计算[5]。PE百分位结合K线[2]价格区间计算。DCF估值为[3]→[5]本地模型估算，须标注"估算"。EV/EBITDA暂无可实现HTTP接口，标注"不可输出"。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基本面用于判断股票的"内在价值"和"安全边际"，决定中长期持仓的底气。</w:t>
      </w:r>
    </w:p>
    <w:p>
      <w:pPr>
        <w:pStyle w:val="Heading3"/>
      </w:pPr>
      <w:r>
        <w:t>1.2.1 财务健康评估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计算方式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健康标准（A股）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净利润/股东权益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≥15%（优秀）；≥10%（合格）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盈利能力的核心指标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ROE杜邦拆解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净利率×周转率×杠杆乘数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杠杆乘数&gt;3.5需单独标注风险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区分高ROE来源（经营vs杠杆）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[3]→[5]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扣非净利润增长率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(本期扣非/上期扣非)-1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连续3年&gt;15%（排除非经常性损益粉饰）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真实盈利能力，A股必须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毛利率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(营收-营业成本)/营收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≥30%（优秀）；≥20%（合格）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护城河与议价能力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营收增长率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(本期营收/上期营收)-1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收入端扩张情况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商誉/净资产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商誉/归属母公司股东权益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&gt;30%→黄牌预警，&gt;50%→红牌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并购暴雷风险（A股高发）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资产负债率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总负债/总资产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≤50%（稳健）；≤30%（优秀）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财务风险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经营性现金流/净利润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经营活动现金流净额/净利润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≥1（优秀）；≥0.8（合格）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利润质量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当前PE/近5年PE区间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&lt;30%为低估，&gt;70%为高估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估值位置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[2]+[3]→[5]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PEG（口径明确）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 / 券商一致预期未来12月净利润增速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&lt;1为低估；</w:t>
            </w:r>
            <w:r>
              <w:rPr>
                <w:rFonts w:ascii="Microsoft YaHei" w:hAnsi="Microsoft YaHei" w:eastAsia="Microsoft YaHei"/>
                <w:b/>
                <w:sz w:val="21"/>
              </w:rPr>
              <w:t>数据不可得时降级为TTM增速并标注[TTM]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成长性估值匹配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[3]+[11]</w:t>
            </w:r>
          </w:p>
        </w:tc>
      </w:tr>
    </w:tbl>
    <w:p>
      <w:pPr>
        <w:spacing w:after="40"/>
      </w:pPr>
    </w:p>
    <w:p>
      <w:pPr>
        <w:pStyle w:val="Heading3"/>
      </w:pPr>
      <w:r>
        <w:t>1.2.2 估值评估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估值方法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适用范围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判断标准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PE（市盈率）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盈利稳定的公司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与行业平均PE对比 + 历史百分位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PB（市净率）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金融/周期/重资产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破净&lt;1为低估信号，&lt;0.8为深度低估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PS（市销率）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亏损/高成长/互联网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行业对比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EV/EBITDA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跨行业比较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消除资本结构差异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DCF（现金流折现）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现金流稳定的成熟公司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内在价值 vs 当前市价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股息率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分红稳定的蓝筹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高于10年期国债收益率时具配置价值</w:t>
            </w:r>
          </w:p>
        </w:tc>
      </w:tr>
    </w:tbl>
    <w:p>
      <w:pPr>
        <w:spacing w:after="40"/>
      </w:pPr>
    </w:p>
    <w:p>
      <w:pPr>
        <w:pStyle w:val="Heading3"/>
      </w:pPr>
      <w:r>
        <w:t>1.2.3 核心竞争力分析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评估内容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强度判断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护城河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品牌/专利/渠道/网络效应/成本优势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强/中/弱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行业地位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市占率排名、定价权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龙头/领先/跟随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技术壁垒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研发投入占比、专利数量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高/中/低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管理层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历史业绩、战略清晰度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优秀/合格/存疑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1.3 消息面与情绪面分析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数据源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催化剂/评级来自东方财富研报[11]；融资融券来自东方财富[12]；社交情绪/互动平台无自动化API，仅作框架性参考，不参与自动评分。（§1.3.4预期差框架需券商一致预期数据，由[11]提供，不可得时降级为定性判断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消息面决定短期股价的核心驱动力——"炒股炒预期"，预期靠消息催化。</w:t>
      </w:r>
    </w:p>
    <w:p>
      <w:pPr>
        <w:pStyle w:val="Heading3"/>
      </w:pPr>
      <w:r>
        <w:t>1.3.1 催化剂分级体系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级别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影响周期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预期影响幅度（大盘股）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小盘股调整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S级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业绩超预期/重磅政策/行业变革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1-6个月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&gt;±15%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流通市值&lt;100亿→×1.5；&lt;50亿→×2.0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A级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大订单/重大合同/股权激励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1-4周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±8-15%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流通市值&lt;100亿→×1.5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B级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新产品发布/合作签约/回购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3-10日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±4-8%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行业新闻/分析师评级/传闻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1-3日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±2-4%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市值调整说明（v3.0）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：原统一影响幅度对小盘股（301075多瑞医药~50亿）和蓝筹股（600036招商银行~9000亿）同等对待，严重不公。小盘股对消息更敏感，引入流通市值调整系数。</w:t>
      </w:r>
    </w:p>
    <w:p>
      <w:pPr>
        <w:pStyle w:val="Heading3"/>
      </w:pPr>
      <w:r>
        <w:t>1.3.2 催化剂跟踪框架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对每个重点股票维护一个"催化剂日历"：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未来1个月催化剂清单：</w:t>
        <w:br/>
        <w:t xml:space="preserve">  1. 2026-05-28 一季报发布 (S级)</w:t>
        <w:br/>
        <w:t xml:space="preserve">  2. 2026-06-10 行业政策预期 (A级)</w:t>
        <w:br/>
        <w:t xml:space="preserve">  3. 2026-06-15 解禁日 (B级，偏空)</w:t>
        <w:br/>
        <w:br/>
        <w:t>催化剂落地跟踪：</w:t>
        <w:br/>
        <w:t xml:space="preserve">  ✅ 已落地 → 对比预期 vs 实际 → 判断是否 Price In</w:t>
        <w:br/>
        <w:t xml:space="preserve">  ⏳ 待落地 → 维持催化预期，关注进度变化</w:t>
        <w:br/>
        <w:t xml:space="preserve">  ❌ 落空 → 降低评级，重新评估</w:t>
      </w:r>
    </w:p>
    <w:p>
      <w:pPr>
        <w:pStyle w:val="Heading3"/>
      </w:pPr>
      <w:r>
        <w:t>1.3.3 情绪面指标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情绪指标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数据来源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判断标准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合规状态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研报覆盖数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东方财富[11]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近期密集覆盖→市场关注度提升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分析师评级变动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东方财富[11]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上调/下调数量对比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互动平台活跃度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上证e互动/深交所互动易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提问量激增→散户关注度高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框架性参考，无公开API，需人工录入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融资融券余额变化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东方财富[12]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融资余额大幅增加→多头情绪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社交媒体热度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雪球/微博/股吧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热度异常→短期情绪拐点信号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框架性参考，无稳定API，需人工录入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合规说明：[11][12]已通过东方财富HTTP GET接口实测验证，可自动输出。互动平台和社交媒体两项无自动化数据源，目前仅作为分析框架参考，不参与自动评分计算。</w:t>
      </w:r>
    </w:p>
    <w:p>
      <w:pPr>
        <w:pStyle w:val="Heading3"/>
      </w:pPr>
      <w:r>
        <w:t>1.3.4 消息面验证规则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预期差量化框架（v3.0 新增）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"利好出尽是利空"的本质是利好已被Price In。判断标准不是"有没有利好"，而是</w:t>
      </w:r>
      <w:r>
        <w:rPr>
          <w:rFonts w:ascii="Microsoft YaHei" w:hAnsi="Microsoft YaHei" w:eastAsia="Microsoft YaHei"/>
          <w:b/>
          <w:i w:val="0"/>
          <w:sz w:val="21"/>
        </w:rPr>
        <w:t>实际vs预期的差值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预期差等级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计算方式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大幅超预期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(实际值-一致预期)/一致预期 &gt; 1个标准差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股价通常跳空上涨，可追涨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略超预期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 &lt; 偏差 &lt; 1个标准差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温和正面，利好基本被消化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符合预期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偏差≈0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无额外alpha，看其他维度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略低预期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-1σ &lt; 偏差 &lt; 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温和负面，但不构成反转信号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大幅低预期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偏差 &lt; -1σ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利空，考虑减仓/止损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一致预期数据来源：东方财富[11]券商盈利预测。数据不可得时，此框架降级为定性判断并标注。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利多消息出现时的判断：</w:t>
        <w:br/>
        <w:t xml:space="preserve">  1. 消息真伪：官方公告 &gt; 媒体报道 &gt; 传闻</w:t>
        <w:br/>
        <w:t xml:space="preserve">  2. 预期差量化：实际值vs一致预期（见上表），而非仅"利好/利空"</w:t>
        <w:br/>
        <w:t xml:space="preserve">  3. 是否 Price In：消息公布前股价是否已大涨（利好出尽是利空）</w:t>
        <w:br/>
        <w:t xml:space="preserve">  4. 市场反应：公告后首日涨幅+成交量 → 确认市场认可度</w:t>
        <w:br/>
        <w:t xml:space="preserve">  5. 位置判断：低位利好 → 积极解读；高位利好 → 警惕出货</w:t>
        <w:br/>
        <w:br/>
        <w:t>利空消息出现时的判断：</w:t>
        <w:br/>
        <w:t xml:space="preserve">  1. 实质性 vs 情绪性：业绩暴雷=实质，负面新闻=情绪</w:t>
        <w:br/>
        <w:t xml:space="preserve">  2. 预期差量化：利空是否已经在预期中？已被Price In的利空落地反而是反转信号</w:t>
        <w:br/>
        <w:t xml:space="preserve">  3. 是否过度反应：跌幅&gt;预期差 → 可能超跌机会</w:t>
        <w:br/>
        <w:t xml:space="preserve">  4. 低位利空 → 往往最后一跌；高位利空 → 趋势可能转势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1.4 板块与行业分析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个股走势与板块高度相关——A股中约60%的个股日涨跌幅可由板块解释。选股必须先看板块。</w:t>
      </w:r>
    </w:p>
    <w:p>
      <w:pPr>
        <w:pStyle w:val="Heading3"/>
      </w:pPr>
      <w:r>
        <w:t>1.4.1 板块相位判断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使用"板块指数"（申万一级/二级行业指数，数据源[7]）判断板块所处生命周期。</w:t>
      </w:r>
      <w:r>
        <w:rPr>
          <w:rFonts w:ascii="Microsoft YaHei" w:hAnsi="Microsoft YaHei" w:eastAsia="Microsoft YaHei"/>
          <w:b/>
          <w:i w:val="0"/>
          <w:sz w:val="21"/>
        </w:rPr>
        <w:t>每相位含量化触发条件，避免纯定性判断。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相位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量化触发条件（至少满足2项）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对应操作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见底期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板块指数距52周高点回撤&gt;30% ② 4周内未创新低（最低价&gt;-2%） ③ 周线MACD金叉或即将金叉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开始关注，选股纳入观察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启动期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板块放量突破20日均线（当日量&gt;20日均量×1.5） ② 龙头股率先上涨（板块内涨幅前3名&gt;5%） ③ 板块5日涨幅&gt;3%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重点关注，可建仓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主升期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板块指数沿MA5/MA10周线上涨 ② 板块内涨幅&gt;5%个股数≥3只 ③ 板块周线RSI(9) 50-75区间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加仓/持仓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高潮期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板块4周涨幅&gt;15% ② 换手率&gt;历史80%分位 ③ 出现上影线（周线收阳但上影线&gt;实体×1.5）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分批减仓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退潮期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板块指数跌破MA20周线 ② 龙头股率先下跌（前期领涨股跌幅&gt;8%） ③ 板块成交量连续萎缩（5日均量&lt;20日均量×0.7）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清仓回避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板块相对强度排名</w:t>
      </w:r>
      <w:r>
        <w:rPr>
          <w:rFonts w:ascii="Microsoft YaHei" w:hAnsi="Microsoft YaHei" w:eastAsia="Microsoft YaHei"/>
          <w:b w:val="0"/>
          <w:i w:val="0"/>
          <w:sz w:val="21"/>
        </w:rPr>
        <w:t>（辅助轮动判断，不依赖市场阶段主观判断）：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周期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计算方法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1M/3M/6M相对强度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板块指数区间涨跌幅排名 / 申万一级行业总数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排名前30%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强势板块，可超配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排名30-70%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中性板块，标配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排名后30%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弱势板块，低配/回避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1.4.2 板块轮动位置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根据市场阶段判断配置方向（基于"高切低"轮动规律）：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市场阶段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优势板块类型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避免板块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轮动速度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牛市初期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券商+金融+科技龙头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防御型板块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慢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牛市中期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成长+消费+赛道股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周期股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牛市末期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周期+补涨+小盘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高位白马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熊市初期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防御型（公用事业+消费）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高估值成长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熊市末期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超跌+政策受益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补跌股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慢</w:t>
            </w:r>
          </w:p>
        </w:tc>
      </w:tr>
    </w:tbl>
    <w:p>
      <w:pPr>
        <w:spacing w:after="40"/>
      </w:pPr>
    </w:p>
    <w:p>
      <w:pPr>
        <w:pStyle w:val="Heading3"/>
      </w:pPr>
      <w:r>
        <w:t>1.4.3 行业内个股联动分析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分析维度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龙头追踪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行业龙头的走势 vs 目标股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龙头强+目标股强→板块健康；龙头弱+目标股强→个股独立行情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共振度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行业内上涨/下跌个股比例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&gt;70%个股上涨→强共振，趋势可靠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分化度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行业内涨幅标准差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标准差大→内部分化，选股能力重要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资金集中度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行业内前3大成交额占比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集中度高→资金聚焦少数龙头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1.5 资金面分析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A股是资金驱动型市场，资金流向往往领先于价格变化。</w:t>
      </w:r>
    </w:p>
    <w:p>
      <w:pPr>
        <w:pStyle w:val="Heading3"/>
      </w:pPr>
      <w:r>
        <w:t>1.5.1 主力资金追踪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资金类型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数据来源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判断标准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合规状态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北向资金持股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东方财富[8]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持股数量与占比变化→外资动向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已实测（季度）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主力净流入/出（超大单）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东方财富[9]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大单净买入占比&gt;30%→主力介入；连续流出→主力出货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机构大宗交易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交易所披露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折价大宗→机构调仓；溢价大宗→抢筹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框架性参考，无免费API，需人工录入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行业资金流向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东方财富[10]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行业整体资金流入/流出对比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合规说明：[8][9][10]已通过东方财富HTTP GET接口实测验证，可自动输出。机构大宗交易无自动化数据源，需人工录入交易所披露数据。</w:t>
      </w:r>
    </w:p>
    <w:p>
      <w:pPr>
        <w:pStyle w:val="Heading3"/>
      </w:pPr>
      <w:r>
        <w:t>1.5.2 市场成交量分析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量能状态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成交额特征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放量上涨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成交额&gt;5日均量2倍+涨幅&gt;3%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增量资金入场，趋势可靠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缩量上涨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成交额&lt;5日均量×0.7+上涨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存量博弈，上涨动力不足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放量下跌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成交额&gt;5日均量2倍+跌幅&gt;3%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恐慌抛售或主力出逃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缩量下跌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成交额&lt;5日均量×0.7+下跌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下跌动能衰竭，可能见底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地量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成交额创近30日新低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市场关注度极低，变盘前兆</w:t>
            </w:r>
          </w:p>
        </w:tc>
      </w:tr>
    </w:tbl>
    <w:p>
      <w:pPr>
        <w:spacing w:after="40"/>
      </w:pPr>
    </w:p>
    <w:p>
      <w:pPr>
        <w:pStyle w:val="Heading3"/>
      </w:pPr>
      <w:r>
        <w:t>1.5.3 筹码分布分析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合规声明：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筹码分布数据需要付费Level-2行情接口，当前无免费API可获取。本节所有分析为框架性参考，不参与自动评分计算，仅供人工分析时参考。如需自动化，需评估购买Level-2数据或接入第三方付费接口。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筹码特征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高位套牢盘密集(&gt;30%筹码在现价上方20%内)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上方抛压较大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突破前需充分洗盘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低位筹码密集峰支撑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成本集中，有支撑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回调至密集峰上沿可买入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获利比例&gt;80%且换手率&lt;3%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持股集中度提升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主力锁仓，可能加速上涨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获利比例&lt;20%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深度套牢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抛压小但需等主力进场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第二章 三周期预判体系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对每个重点股票，必须同时给出短期/中期/长期三个时间维度的预判，形成完整的"趋势意见书"。</w:t>
      </w:r>
    </w:p>
    <w:p>
      <w:pPr>
        <w:pStyle w:val="Heading2"/>
      </w:pPr>
      <w:r>
        <w:t>2.1 短期预判（1-5个交易日）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分析依据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关键信号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日线级别技术形态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K线组合 + 支撑/阻力位 + 日内量价关系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短期均线排列（5/10/20）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多头/空头/纠缠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短期技术指标（RSI/Stoch/布林带）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超买超卖+交叉信号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近3日消息面催化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是否有近期催化剂将落地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次日大盘预期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大盘短期方向影响个股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短期预判输出格式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方向：看多 / 偏多 / 中性 / 偏空 / 看空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关键阻力位：XX.XX元（突破位）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关键支撑位：XX.XX元（止损位）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短期催化剂：XXX事件（预期影响±X%）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置信度：高（&gt;70%）/ 中（50-70%）/ 低（&lt;50%）</w:t>
      </w:r>
    </w:p>
    <w:p>
      <w:pPr>
        <w:pStyle w:val="Heading2"/>
      </w:pPr>
      <w:r>
        <w:t>2.2 中期预判（1-4周）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分析依据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关键信号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周线级别趋势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周线均线排列 + 周线MACD方向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板块相位与轮动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板块所处生命周期阶段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中期催化剂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未来1-4周内确定性催化事件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业绩预期 + 估值水平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资金面中期趋势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北向资金/主力资金连续方向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中期预判输出格式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方向：趋势看多 / 区间震荡 / 趋势看空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目标区间：上沿XX元 / 下沿XX元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关键验证点：XXX（什么事件将验证或证伪判断）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中期催化剂：XXX事件（时间、预期影响）</w:t>
      </w:r>
    </w:p>
    <w:p>
      <w:pPr>
        <w:pStyle w:val="Heading2"/>
      </w:pPr>
      <w:r>
        <w:t>2.3 长期预判（1-6个月）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分析依据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关键信号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基本面价值评估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ROE趋势 + 营收增速 + 估值百分位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行业/产业趋势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渗透率+替代率+市占率（三率体系，数据源：券商深度报告/行业白皮书/统计局，不可自动获取则降级为定性判断并标注[人工]）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月线级别大趋势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月线均线 + 长期技术形态（Wycokff大周期位置）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宏观政策方向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政策受益/受损判断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机构共识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盈利预测上调/下调家数比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（A股卖方目标价系统性高估20-30%，不可直接使用）+ 机构持仓变化趋势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长期预判输出格式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方向：长期看好 / 长期中性 / 长期看空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战略判断：处于Wyckoff周期的哪一阶段（吸筹/拉升/派发/下跌）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合理估值区间：基于DCF或可比估值法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核心逻辑：一句话概括长期持有/回避的理由</w:t>
      </w:r>
    </w:p>
    <w:p>
      <w:pPr>
        <w:pStyle w:val="Heading2"/>
      </w:pPr>
      <w:r>
        <w:t>2.4 三周期综合判断矩阵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短期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中期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长期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综合判断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建议操作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强势看多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重仓持有，每次回调都是加仓点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谨慎看多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持仓，关注长期逻辑是否强化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短期机会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可在支撑位做多，注意中期风险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反弹看待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仅做短线，中期压力大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等待买点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中期趋势好，等短期回调企稳介入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中期趋势中的回调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重点观察是否是健康的缩量回调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中期调整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减仓，等中期趋势明朗再回补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强势看空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清仓回避，等待反转信号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超跌反弹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仅做短线反弹，快进快出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方向不明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观望，减少交易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↑=看多  →=中性/震荡  ↓=看空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第三章 综合评分与评级体系</w:t>
      </w:r>
    </w:p>
    <w:p>
      <w:pPr>
        <w:pStyle w:val="Heading2"/>
      </w:pPr>
      <w:r>
        <w:t>3.1 六维评分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对每个重点股票，从六个维度分别打分（0-100分），汇总形成综合评分：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高分标准（≥70分）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低分信号（≤40分）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 ✅已实测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四维独立确认（ADX↑+RSI↑+BB↑+OBV↑）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ADX&lt;20 + RSI&lt;40 + BB下轨 + OBV下行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[3]→[5] ✅已实测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ROE≥15% + 扣非增速≥15% + PE百分位&lt;50% + 商誉/净资产&lt;30%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ROE&lt;8% + 扣非负增长 + PE百分位&gt;80%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 ✅已实测 + AI定性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有S/A级催化剂即将落地 + 预期差&gt;0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无催化剂 + 或有利空未消化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18%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 ✅已实测 + AI定性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板块量化启动/主升 + 相对强度排名前30%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板块退潮 + 相对强度排名后30%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宏观/流动性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 + AI定性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大盘上升+流动性宽松+无政策逆风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大盘下跌+流动性收紧+政策逆风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[8][9][10] ✅已实测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主力连续净流入 + OBV量能配合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主力连续流出 + 缩量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权重调整说明（v3.0）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：A股是强政策市，原宏观权重5%严重低估。青山+山猫+腰子三人独立指出此问题。v3.0将宏观从5%→12%，板块行业20%→18%（微调），技术面25%→20%（与基本面等权）。调整后六维权重之和仍为100%。</w:t>
      </w:r>
    </w:p>
    <w:p>
      <w:pPr>
        <w:pStyle w:val="Heading3"/>
      </w:pPr>
      <w:r>
        <w:t>3.1.1 综合评级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阈值说明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：以下阈值为基于 180 样本 walk-forward 回测优化后的值（v2.0 修订），回测数据显示原阈值（85/70/55/40）评分区分度仅0.32%，优化后区分度提升至 4.2%。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综合评分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≥80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★★★★ 强烈关注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多维度共振看多，适合重点配置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65-79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★★★ 关注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整体偏多，可以在回调时介入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45-64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★★ 观察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多空因素均衡，维持观察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30-44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★ 谨慎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偏空因素占优，仓位需控制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&lt;30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☆ 回避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多维度看空，避免介入</w:t>
            </w:r>
          </w:p>
        </w:tc>
      </w:tr>
    </w:tbl>
    <w:p>
      <w:pPr>
        <w:spacing w:after="40"/>
      </w:pPr>
    </w:p>
    <w:p>
      <w:pPr>
        <w:pStyle w:val="Heading2"/>
      </w:pPr>
      <w:r>
        <w:t>3.2 趋势健康度评估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追踪趋势的</w:t>
      </w:r>
      <w:r>
        <w:rPr>
          <w:rFonts w:ascii="Microsoft YaHei" w:hAnsi="Microsoft YaHei" w:eastAsia="Microsoft YaHei"/>
          <w:b/>
          <w:i w:val="0"/>
          <w:sz w:val="21"/>
        </w:rPr>
        <w:t>持续性</w:t>
      </w:r>
      <w:r>
        <w:rPr>
          <w:rFonts w:ascii="Microsoft YaHei" w:hAnsi="Microsoft YaHei" w:eastAsia="Microsoft YaHei"/>
          <w:b w:val="0"/>
          <w:i w:val="0"/>
          <w:sz w:val="21"/>
        </w:rPr>
        <w:t>和</w:t>
      </w:r>
      <w:r>
        <w:rPr>
          <w:rFonts w:ascii="Microsoft YaHei" w:hAnsi="Microsoft YaHei" w:eastAsia="Microsoft YaHei"/>
          <w:b/>
          <w:i w:val="0"/>
          <w:sz w:val="21"/>
        </w:rPr>
        <w:t>健康度</w:t>
      </w:r>
      <w:r>
        <w:rPr>
          <w:rFonts w:ascii="Microsoft YaHei" w:hAnsi="Microsoft YaHei" w:eastAsia="Microsoft YaHei"/>
          <w:b w:val="0"/>
          <w:i w:val="0"/>
          <w:sz w:val="21"/>
        </w:rPr>
        <w:t>，防止过早下车或该走不走：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健康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预警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危险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维度分类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上升趋势中的回调幅度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&lt;10%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10-15%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&gt;15%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上升中的成交量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量增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缩量上涨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放量滞涨/放量下跌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量能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均线发散状态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多头平行向上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均线开始走平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死叉/交叉向下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MACD状态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DIF在零轴上方 + 柱状体向上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DIF走平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DIF下穿零轴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RSI趋势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50-70之间震荡向上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70以上钝化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跌破50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板块相对强度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强于大盘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与大盘同步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弱于大盘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资金流向共振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（v3.0新增）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主力净流入+北向增持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主力小幅流出或北向减持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主力连续流出+北向减持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非价格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板块共振度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（v3.0新增）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板块内&gt;50%个股同步走强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板块内分化严重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板块内&gt;50%个股同步走弱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非价格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非价格维度说明（v3.0）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原6项指标（回调/量/均线/MACD/RSI/板块强度）全部是价格或成交量的衍生变换，本质是同一维度的6种表述。v3.0新增"资金流向共振"和"板块共振度"两个非价格维度，实现真正的多维度交叉验证，可识别"技术面好看但资金在撤"的假强势陷阱。数据源：资金流向[9][10]，板块共振[7]。</w:t>
      </w:r>
    </w:p>
    <w:p>
      <w:pPr>
        <w:pStyle w:val="Heading3"/>
      </w:pPr>
      <w:r>
        <w:t>3.2.1 趋势健康度评分触发规则（可执行规则版）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每个评分区间对应以下操作基准，执行时结合 §6.1 价格分层体系和 §3.2 的六项指标状态：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评分区间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操作基准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具体执行指令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≥80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正常持有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RSI&gt;75 时注意超买回调风险；监控 S3 止损位(¥)是否被触发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60-79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预警关注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① RSI(14)=XX：若&gt;70 超买区注意回调，若&lt;50 趋势转弱；② MACD 若 DIF&lt;DEA(死叉)→偏空信号；③ 回调幅度 XX%：若&gt;10% 关注 S2 支撑位是否守得住；④ </w:t>
            </w:r>
            <w:r>
              <w:rPr>
                <w:rFonts w:ascii="Microsoft YaHei" w:hAnsi="Microsoft YaHei" w:eastAsia="Microsoft YaHei"/>
                <w:b/>
                <w:sz w:val="21"/>
              </w:rPr>
              <w:t>执行 S3 止损价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：跌破→清仓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40-59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警戒减仓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至少减仓 30-50%；② 股价触及 S2 支撑位→执行减仓；③ 跌破 S3 止损价→清仓出场；④ MACD 死叉 + RSI&lt;50 双确认→立即减仓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&lt;40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评估清仓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跌破 S3 止损价→清仓；② 多指标共振走弱（MACD 零轴下 + RSI&lt;40 + 均线死叉）→清仓；③ 未破 S3 但评分持续&lt;40 两日→减仓至 20% 以下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背离处理规则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（v2.2 新增）：当趋势健康度评分&lt;40 且中/长期预判为看多时（短期技术面与中长线基本面/板块逻辑背离），报告中必须输出背离说明框：</w:t>
        <w:br/>
        <w:t>- 明确标注"短线与中长线背离"提示</w:t>
        <w:br/>
        <w:t>- 解释趋势健康度反映的是短期技术面（20日回撤、均线、MACD、RSI），中/长期基本面与板块逻辑未变</w:t>
        <w:br/>
        <w:t>- 给出差异化应对策略：中长线持仓者等待企稳信号（MACD金叉+RSI回升至50以上）再考虑加仓，不建议盲目清仓；短线交易者严格执行止损纪律</w:t>
        <w:br/>
        <w:br/>
        <w:t>当趋势健康度&lt;60 且中/长期预判同步看空时（多周期共振偏弱），报告中必须输出"多周期共振偏弱"提示并建议控制仓位。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第四章 跟踪与更新机制</w:t>
      </w:r>
    </w:p>
    <w:p>
      <w:pPr>
        <w:pStyle w:val="Heading2"/>
      </w:pPr>
      <w:r>
        <w:t>4.1 重点股票档案结构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每个重点股票建立独立档案，包含：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股票名称/代码：</w:t>
        <w:br/>
        <w:t>──────────────────────────────────────────</w:t>
        <w:br/>
        <w:t>【基础信息】</w:t>
        <w:br/>
        <w:t xml:space="preserve">  所属行业/板块：</w:t>
        <w:br/>
        <w:t xml:space="preserve">  流通市值：</w:t>
        <w:br/>
        <w:t xml:space="preserve">  当前股价（更新日期）：</w:t>
        <w:br/>
        <w:t xml:space="preserve">  最新综合评分/评级：</w:t>
        <w:br/>
        <w:br/>
        <w:t>【多维分析摘要】</w:t>
        <w:br/>
        <w:t xml:space="preserve">  技术面：短期[↑/→/↓] 中期[↑/→/↓] 长期[↑/→/↓]</w:t>
        <w:br/>
        <w:t xml:space="preserve">  基本面：ROE_X% / 营收增速_X% / PE百分位_X%</w:t>
        <w:br/>
        <w:t xml:space="preserve">  消息面：催化剂_[有/无] / 级别_[S/A/B/C] / 状态_[待落地/已兑现/落空]</w:t>
        <w:br/>
        <w:t xml:space="preserve">  板块行业：_[见底/启动/主升/高潮/退潮]</w:t>
        <w:br/>
        <w:t xml:space="preserve">  资金面：北向_[流入/流出] / 主力_[流入/流出]</w:t>
        <w:br/>
        <w:br/>
        <w:t>【三周期预判】</w:t>
        <w:br/>
        <w:t xml:space="preserve">  短期（1-5日）：方向_ / 阻力位_ / 支撑位_ / 置信度_</w:t>
        <w:br/>
        <w:t xml:space="preserve">  中期（1-4周）：方向_ / 目标区间_ / 验证点_</w:t>
        <w:br/>
        <w:t xml:space="preserve">  长期（1-6月）：方向_ / 估值区间_ / Wyckoff阶段_</w:t>
        <w:br/>
        <w:br/>
        <w:t>【关键价位】</w:t>
        <w:br/>
        <w:t xml:space="preserve">  上方阻力：__（强） / __（弱）</w:t>
        <w:br/>
        <w:t xml:space="preserve">  下方支撑：__（强） / __（弱）</w:t>
        <w:br/>
        <w:t xml:space="preserve">  止损价位：__</w:t>
        <w:br/>
        <w:t xml:space="preserve">  目标价位：__（短期） / __（中期）</w:t>
        <w:br/>
        <w:br/>
        <w:t>【跟踪日志】</w:t>
        <w:br/>
        <w:t xml:space="preserve">  YYYY-MM-DD HH:MM — 更新内容</w:t>
        <w:br/>
        <w:t xml:space="preserve">  ...（按时间倒序排列）</w:t>
        <w:br/>
        <w:br/>
        <w:t>【历史预判回溯】</w:t>
        <w:br/>
        <w:t xml:space="preserve">  | 日期 | 预判方向 | 实际走势 | 对错 | 归因 |</w:t>
        <w:br/>
        <w:t xml:space="preserve">  |:----:|:--------:|:---------:|:----:|:-----|</w:t>
      </w:r>
    </w:p>
    <w:p>
      <w:pPr>
        <w:pStyle w:val="Heading2"/>
      </w:pPr>
      <w:r>
        <w:t>4.2 更新频率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事件类型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更新频率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更新内容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每日例行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每个交易日收盘后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检查技术信号变化、消息面、板块动态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关键价位触发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即时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股价触及支撑/阻力/止损位时重新评估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催化事件前后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事件前1日+事件后1日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更新催化剂预期/落地情况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财报发布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发布后24小时内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全面更新基本面评估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板块重大变化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即时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板块相位变更、行业政策变化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完整复盘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更新综合评分、三周期预判、趋势健康度</w:t>
            </w:r>
          </w:p>
        </w:tc>
      </w:tr>
    </w:tbl>
    <w:p>
      <w:pPr>
        <w:spacing w:after="40"/>
      </w:pPr>
    </w:p>
    <w:p>
      <w:pPr>
        <w:pStyle w:val="Heading2"/>
      </w:pPr>
      <w:r>
        <w:t>4.3 重点股票池管理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池级别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入选条件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最多数量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更新频率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核心观察池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综合评分≥70 或 有S级催化即将落地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跟踪池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综合评分45-64 或 有A级催化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每周2次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雷达池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综合评分30-44 但基本面优秀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每周1次</w:t>
            </w:r>
          </w:p>
        </w:tc>
      </w:tr>
    </w:tbl>
    <w:p>
      <w:pPr>
        <w:spacing w:after="40"/>
      </w:pPr>
    </w:p>
    <w:p>
      <w:pPr>
        <w:pStyle w:val="Heading2"/>
      </w:pPr>
      <w:r>
        <w:t>4.4 退出机制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退出条件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是否可重新进入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综合评分&lt;40连续5日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移出核心观察池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评分回升至≥55后可重新进入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三周期预判均转为看空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清仓并移出所有池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至少等待1个月后重新评估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基本面恶化（ROE连续2季下滑）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移除跟踪/雷达池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基本面企稳后可重新评估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触发止损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执行止损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重新形成底部结构后可再评估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4.5 极端事件应对规则（v3.0 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⛔ 原白皮书全文无一字提及一字跌停、停牌、ST风险警示等极端场景。A股2024年ST新规下退市加速，此为致命漏洞。</w:t>
      </w:r>
    </w:p>
    <w:p>
      <w:pPr>
        <w:pStyle w:val="Heading3"/>
      </w:pPr>
      <w:r>
        <w:t>4.5.1 流动性危机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一字跌停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开盘即跌停且卖一封单/流通市值&gt;5%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挂跌停价卖出，无需等待反弹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连续跌停（≥2日）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第2个跌停日成交量未放大（&lt;前20日均量×0.5）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继续挂跌停价，不计成本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连续跌停开板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跌停板被打开+成交量&gt;20日均量×2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开板瞬间卖出50%仓位，次日视情况清仓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停牌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交易所公告停牌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无法操作，待复牌后按复牌首日开盘价重新评估</w:t>
            </w:r>
          </w:p>
        </w:tc>
      </w:tr>
    </w:tbl>
    <w:p>
      <w:pPr>
        <w:spacing w:after="40"/>
      </w:pPr>
    </w:p>
    <w:p>
      <w:pPr>
        <w:pStyle w:val="Heading3"/>
      </w:pPr>
      <w:r>
        <w:t>4.5.2 退市风险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ST风险警示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被交易所实施ST（含*ST）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立即清仓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，不计成本。ST股票禁止重新进入任何观察池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退市整理期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进入退市整理期公告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已无法卖出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，持仓标记为0价值，从组合净值中扣除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财务退市预警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营收&lt;1亿且净利润为负，或净资产为负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无条件清仓，即使综合评分仍高</w:t>
            </w:r>
          </w:p>
        </w:tc>
      </w:tr>
    </w:tbl>
    <w:p>
      <w:pPr>
        <w:spacing w:after="40"/>
      </w:pPr>
    </w:p>
    <w:p>
      <w:pPr>
        <w:pStyle w:val="Heading3"/>
      </w:pPr>
      <w:r>
        <w:t>4.5.3 重大利空事件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是否可重新进入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实控人/高管被立案调查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当日清仓50%，次日若一字跌停→清仓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结案无罪后可重新评估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重大财务造假/业绩变脸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立即清仓，不做等待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永久剔除，不可重新进入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行业政策一刀切（如教培双减级）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当日无条件清仓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至少6个月后重新评估行业逻辑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极端事件优先原则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：当极端事件触发时，所有正常分析规则（三周期预判、趋势健康度、综合评分）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全部失效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，以本节规则为准。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第五章 数据存储与版本管理</w:t>
      </w:r>
    </w:p>
    <w:p>
      <w:pPr>
        <w:pStyle w:val="Heading2"/>
      </w:pPr>
      <w:r>
        <w:t>5.1 文件结构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重点股票\</w:t>
        <w:br/>
        <w:t>├── 分析逻辑\</w:t>
        <w:br/>
        <w:t>│   ├── 重点股票跟踪分析逻辑白皮书_v{version}.md   ← 本文档</w:t>
        <w:br/>
        <w:t>│   ├── 重点股票跟踪分析逻辑白皮书_v{version}.docx  ← WORD发布版</w:t>
        <w:br/>
        <w:t>│   ├── 重点股票跟踪分析逻辑白皮书_CHANGELOG.md     ← 变更记录</w:t>
        <w:br/>
        <w:t>│   └── gen_doc.ps1                               ← DOCX生成脚本</w:t>
        <w:br/>
        <w:t>├── 股票档案\</w:t>
        <w:br/>
        <w:t>│   ├── 300750_宁德时代.md                         ← 个股分析档案</w:t>
        <w:br/>
        <w:t>│   ├── 000858_五粮液.md                           ← 个股分析档案</w:t>
        <w:br/>
        <w:t>│   └── ...                                        ← 每只重点股票独立文件</w:t>
        <w:br/>
        <w:t>├── 预判记录\</w:t>
        <w:br/>
        <w:t>│   └── predictions.csv                            ← 所有预判的历史记录</w:t>
        <w:br/>
        <w:t>└── 汇总\</w:t>
        <w:br/>
        <w:t xml:space="preserve">    └── weekly_review_YYYYMMDD.md                  ← 每周复盘</w:t>
      </w:r>
    </w:p>
    <w:p>
      <w:pPr>
        <w:pStyle w:val="Heading2"/>
      </w:pPr>
      <w:r>
        <w:t>5.2 版本管理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审核要求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驱动来源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分析框架微调（指标参数、阈值）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不升版本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AI自动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 B2/B4/B5 信号级校准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后评估驱动的小版本变更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（权重微调、阈值校准、裁决规则增补）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不升版本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腰子确认后 AI 自动执行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后评估 §6.8 桥接触发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新增/移除分析维度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v1.x→v1.(x+1)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人工确认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 B1 权重审查 + 人工决策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分析体系重构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v1.x→v2.0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人工审核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 P0 全面审查 + 团队决策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v3.1 新增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：后评估驱动的小版本变更。当后评估 §6.8 任一条桥接触发条件满足且通过 青山/流金/山猫 三方审查后，由腰子确认执行。变更幅度在 流金 安全边界内（单次 ≤ ±30%，间隔 ≥ 20 个交易日）时可自动执行，不升版本号但须写入 CHANGELOG。权重/信号/裁决规则的每次微调都在 CHANGELOG 中留下证据链（触发条件 + 数据证据 + 审核意见），确保"不升版本但不黑箱"。</w:t>
      </w:r>
    </w:p>
    <w:p>
      <w:pPr>
        <w:pStyle w:val="Heading2"/>
      </w:pPr>
      <w:r>
        <w:t>5.3 同步更新要求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每次本文档版本变更时，同步更新：</w:t>
      </w:r>
    </w:p>
    <w:p>
      <w:pPr>
        <w:pStyle w:val="ListNumber"/>
      </w:pPr>
      <w:r>
        <w:rPr>
          <w:rFonts w:ascii="Consolas" w:hAnsi="Consolas" w:eastAsia="Consolas"/>
          <w:b w:val="0"/>
          <w:color w:val="E74C3C"/>
          <w:sz w:val="18"/>
        </w:rPr>
        <w:t>重点股票跟踪分析逻辑白皮书_CHANGELOG.md</w:t>
      </w:r>
    </w:p>
    <w:p>
      <w:pPr>
        <w:pStyle w:val="ListNumber"/>
      </w:pPr>
      <w:r>
        <w:rPr>
          <w:rFonts w:ascii="Consolas" w:hAnsi="Consolas" w:eastAsia="Consolas"/>
          <w:b w:val="0"/>
          <w:color w:val="E74C3C"/>
          <w:sz w:val="18"/>
        </w:rPr>
        <w:t>C:\Users\34269\Documents\Claude\股票分析\规则红线\文档版本索引.md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（v3.1 新增）后评估联动日志</w:t>
      </w:r>
      <w:r>
        <w:rPr>
          <w:rFonts w:ascii="Microsoft YaHei" w:hAnsi="Microsoft YaHei" w:eastAsia="Microsoft YaHei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color w:val="E74C3C"/>
          <w:sz w:val="18"/>
        </w:rPr>
        <w:t>C:\Users\34269\Documents\Claude\股票分析\重点股票\次日评估\逻辑积累\联动日志\分析逻辑联动建议.json</w:t>
      </w:r>
      <w:r>
        <w:rPr>
          <w:rFonts w:ascii="Microsoft YaHei" w:hAnsi="Microsoft YaHei" w:eastAsia="Microsoft YaHei"/>
          <w:b w:val="0"/>
          <w:sz w:val="21"/>
        </w:rPr>
        <w:t xml:space="preserve"> — 若变更为后评估驱动，须回写联动建议的 </w:t>
      </w:r>
      <w:r>
        <w:rPr>
          <w:rFonts w:ascii="Consolas" w:hAnsi="Consolas" w:eastAsia="Consolas"/>
          <w:b w:val="0"/>
          <w:color w:val="E74C3C"/>
          <w:sz w:val="18"/>
        </w:rPr>
        <w:t>implementation</w:t>
      </w:r>
      <w:r>
        <w:rPr>
          <w:rFonts w:ascii="Microsoft YaHei" w:hAnsi="Microsoft YaHei" w:eastAsia="Microsoft YaHei"/>
          <w:b w:val="0"/>
          <w:sz w:val="21"/>
        </w:rPr>
        <w:t xml:space="preserve"> 字段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附录A：分析流程速查卡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重点股票分析每日流程：</w:t>
        <w:br/>
        <w:t>1. 检查技术面（5分钟）</w:t>
        <w:br/>
        <w:t xml:space="preserve">   ├─ 查看日/周/月线趋势（均线排列）</w:t>
        <w:br/>
        <w:t xml:space="preserve">   ├─ 检查MACD/RSI/布林带状态</w:t>
        <w:br/>
        <w:t xml:space="preserve">   ├─ 识别K线形态</w:t>
        <w:br/>
        <w:t xml:space="preserve">   └─ 判断量价关系是否健康</w:t>
        <w:br/>
        <w:br/>
        <w:t>2. 检查消息面（3分钟）</w:t>
        <w:br/>
        <w:t xml:space="preserve">   ├─ 搜索近3日相关新闻</w:t>
        <w:br/>
        <w:t xml:space="preserve">   ├─ 检查互动平台提问</w:t>
        <w:br/>
        <w:t xml:space="preserve">   └─ 查看分析师评级变动</w:t>
        <w:br/>
        <w:br/>
        <w:t>3. 检查板块/行业（2分钟）</w:t>
        <w:br/>
        <w:t xml:space="preserve">   ├─ 板块指数走势</w:t>
        <w:br/>
        <w:t xml:space="preserve">   └─ 行业内龙头股表现</w:t>
        <w:br/>
        <w:br/>
        <w:t>4. 更新预判（2分钟）</w:t>
        <w:br/>
        <w:t xml:space="preserve">   ├─ 三周期方向是否有变化</w:t>
        <w:br/>
        <w:t xml:space="preserve">   ├─ 关键价位是否需调整</w:t>
        <w:br/>
        <w:t xml:space="preserve">   └─ 综合评分是否需修正</w:t>
      </w:r>
    </w:p>
    <w:p>
      <w:pPr>
        <w:pStyle w:val="Heading3"/>
      </w:pPr>
      <w:r>
        <w:t>A.1 报告输出自检清单（v3.2 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⛔ 报告生成后必须逐项核对，不通过不得输出。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#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检查项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判定标准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统计结论与表格一致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五红旗/评分汇总等计数类结论必须逐项核对表格数据，绿黄红数量与表格一致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情景应对使用表格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开盘价/判断/动作三列表格，禁止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代码块或ASCII画框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数据有来源标记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每个数字可追溯到主/备/缓存源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无编造数字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不可获取的数据标注"不可获取"，不输出具体数值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附录B：关键术语表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术语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解释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Wyckoff吸筹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主力在低位通过震荡建仓的过程，特征为底部抬高+量能放大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Selling Climax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下跌末期放量暴跌，意味着最后一批恐慌盘出逃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Sign of Strength (SOS)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强势信号——放量上涨突破关键阻力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Last Point of Support (LPS)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最佳买点——缩量回踩支撑后企稳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Upthrust (UTAD)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冲高回落——突破阻力后立即反转，主力出货信号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证据加权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多个独立维度发出相同信号时才形成结论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板块所处生命周期阶段（见底/启动/主升/高潮/退潮）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三率体系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渗透率（产业生命周期）、替代率（全球竞争力）、市占率（竞争格局）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第六章 操作建议与交易计划体系（v2.0 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本体系是整个白皮书中最关键的产出环节。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前五章分析最终要落地为可执行的交易指令——什么价格买、买多少、什么价格卖、什么价格止损。</w:t>
        <w:br/>
        <w:br/>
        <w:t>核心原则：分析可以模糊，操作必须精确。</w:t>
      </w:r>
    </w:p>
    <w:p>
      <w:pPr>
        <w:pStyle w:val="Heading2"/>
      </w:pPr>
      <w:r>
        <w:t>6.1 价格分层体系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对每个重点股票建立六层价格带，作为所有操作建议的基础：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上方</w:t>
        <w:br/>
        <w:t xml:space="preserve">  R3（强阻力）  →  之前设定的中期目标价，如果突破则趋势加速</w:t>
        <w:br/>
        <w:t xml:space="preserve">  R2（中阻力）  →  关键技术阻力（MA50/前高/黄金分割61.8%）</w:t>
        <w:br/>
        <w:t xml:space="preserve">  R1（弱阻力）  →  短期阻力（MA10/MA20/前日高点）</w:t>
        <w:br/>
        <w:t xml:space="preserve">  ─────────────────── 当前价格 P ───────────────────</w:t>
        <w:br/>
        <w:t xml:space="preserve">  S1（弱支撑）  →  短期支撑（MA10/MA20/前日低点）</w:t>
        <w:br/>
        <w:t xml:space="preserve">  S2（中支撑）  →  关键技术支撑（MA50/前低/黄金分割38.2%）</w:t>
        <w:br/>
        <w:t xml:space="preserve">  S3（强支撑）  →  趋势防守位（MA120/黄金分割23.6%/止损底线）</w:t>
        <w:br/>
        <w:t>下方</w:t>
      </w:r>
    </w:p>
    <w:p>
      <w:pPr>
        <w:pStyle w:val="Heading3"/>
      </w:pPr>
      <w:r>
        <w:t>6.1.1 价位计算方法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计算方法（按硬优先级，不可跳过）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兜底方法（前序均不可用时）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R3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Fibonacci 扩展 127.2% → ② 前高+ATR×1.5 → ③ 取①②中较高者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P×1.10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R2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MA50（周线）→ ② 前高 → ③ Fibonacci 61.8%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P×1.06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R1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MA10（日线）→ ② MA20 → ③ 前日最高价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P×1.03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S1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MA10（日线）→ ② MA20 → ③ 前日最低价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P×0.97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S2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MA50（周线）→ ② 前低 → ③ Fibonacci 61.8%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P×0.94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S3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ATR(14)×3 止损（波动自适应）→ ② 前重要低点（周线级别）→ ③ MA120（趋势防守）→ ④ MA250（最后防线）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P×0.90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S3 止损价确认规则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收盘价确认</w:t>
      </w:r>
      <w:r>
        <w:rPr>
          <w:rFonts w:ascii="Microsoft YaHei" w:hAnsi="Microsoft YaHei" w:eastAsia="Microsoft YaHei"/>
          <w:b w:val="0"/>
          <w:sz w:val="21"/>
        </w:rPr>
        <w:t>：以收盘价跌破 S3 为有效触发，盘中跌破不立即执行（防止盘中噪音扫损）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连续确认</w:t>
      </w:r>
      <w:r>
        <w:rPr>
          <w:rFonts w:ascii="Microsoft YaHei" w:hAnsi="Microsoft YaHei" w:eastAsia="Microsoft YaHei"/>
          <w:b w:val="0"/>
          <w:sz w:val="21"/>
        </w:rPr>
        <w:t>：连续2日收盘价低于 S3 → 无条件止损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高波动股调整</w:t>
      </w:r>
      <w:r>
        <w:rPr>
          <w:rFonts w:ascii="Microsoft YaHei" w:hAnsi="Microsoft YaHei" w:eastAsia="Microsoft YaHei"/>
          <w:b w:val="0"/>
          <w:sz w:val="21"/>
        </w:rPr>
        <w:t>：ATR/价格&gt;5%时，S3使用 ATR×4（放宽），防止噪音扫损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低波动股收紧</w:t>
      </w:r>
      <w:r>
        <w:rPr>
          <w:rFonts w:ascii="Microsoft YaHei" w:hAnsi="Microsoft YaHei" w:eastAsia="Microsoft YaHei"/>
          <w:b w:val="0"/>
          <w:sz w:val="21"/>
        </w:rPr>
        <w:t>：ATR/价格&lt;2%时，S3使用 ATR×2（收紧），防止止损过宽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ATR 取值周期为14。原四种S3方法无优先级、无冲突裁决，不同方法可差10%以上。v3.0建立硬优先级链，优先使用波动自适应的ATR方法。</w:t>
      </w:r>
    </w:p>
    <w:p>
      <w:pPr>
        <w:pStyle w:val="Heading2"/>
      </w:pPr>
      <w:r>
        <w:t>6.2 三周期操作建议</w:t>
      </w:r>
    </w:p>
    <w:p>
      <w:pPr>
        <w:pStyle w:val="Heading3"/>
      </w:pPr>
      <w:r>
        <w:t>6.2.1 短期操作建议（明日/1-5日）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输出格式（必须使用markdown表格，禁止ASCII画框或代码块）：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短期操作建议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价位/比例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趋势判断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[看多/偏多/中性/偏空/看空]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置信度：[高/中/低]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第一买入点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XX.XX元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S1附近，回调介入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第二买入点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XX.XX元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S2附近，深度回调加仓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买入仓位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第一笔X%，第二笔X%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第一目标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XX.XX元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R1附近，短线止盈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第二目标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XX.XX元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R2附近，中线止盈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止损价位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XX.XX元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S3下方X%或ATR×2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情景应对表（必须使用此格式，禁止代码块/ASCII画框）：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开盘价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动作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&gt; 高开阈值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[高开情景描述]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[持仓/减仓/加仓等具体动作]。［附加观察条件］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区间上限–区间下限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[平开/震荡情景描述]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[持有/减仓/观望等]。［附加条件］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区间下限–低开阈值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[低开/回调情景描述]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[持有/补仓/止损等]。［附加条件］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&lt; 低开阈值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[破位情景描述]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[清仓/止损等]。［附加条件］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格式红线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：情景应对必须使用markdown表格，三列为"开盘价 | 判断 | 动作"。禁止使用 </w:t>
      </w:r>
      <w:r>
        <w:rPr>
          <w:rFonts w:ascii="Consolas" w:hAnsi="Consolas" w:eastAsia="Consolas"/>
          <w:b w:val="0"/>
          <w:i/>
          <w:color w:val="555555"/>
          <w:sz w:val="18"/>
        </w:rPr>
        <w:t xml:space="preserve"> </w:t>
      </w:r>
      <w:r>
        <w:rPr>
          <w:rFonts w:ascii="Consolas" w:hAnsi="Consolas" w:eastAsia="Consolas"/>
          <w:b w:val="0"/>
          <w:i/>
          <w:color w:val="555555"/>
          <w:sz w:val="18"/>
        </w:rPr>
      </w:r>
      <w:r>
        <w:rPr>
          <w:rFonts w:ascii="Consolas" w:hAnsi="Consolas" w:eastAsia="Consolas"/>
          <w:b w:val="0"/>
          <w:i/>
          <w:color w:val="555555"/>
          <w:sz w:val="18"/>
        </w:rPr>
        <w:t xml:space="preserve"> 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代码块包裹的纯文本或ASCII画框。动作列可包含多条指令，用句号分隔。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情景计划的逻辑规则：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当前状态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明日情景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仓位调整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高开&gt;2%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持仓，不追仓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平开/小跌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持仓，关注S1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跌破S1-2%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减仓1/3，看S2是否企稳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减至2/3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跌破S3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全仓止损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清仓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已持仓，短期看空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任何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减仓或清仓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≤1/3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回踩S1不破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建仓第一笔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回踩S2不破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建仓+第二笔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未持仓，短期中性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观望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不操作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未持仓，短期看空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任何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不操作，等待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0%</w:t>
            </w:r>
          </w:p>
        </w:tc>
      </w:tr>
    </w:tbl>
    <w:p>
      <w:pPr>
        <w:spacing w:after="40"/>
      </w:pPr>
    </w:p>
    <w:p>
      <w:pPr>
        <w:pStyle w:val="Heading3"/>
      </w:pPr>
      <w:r>
        <w:t>6.2.2 中期操作建议（1-4周）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┌──────────────────────────────────────────┐</w:t>
        <w:br/>
        <w:t>│  中期操作建议（1-4周）                      │</w:t>
        <w:br/>
        <w:t>├──────────────────────────────────────────┤</w:t>
        <w:br/>
        <w:t>│  趋势判断：[趋势看多/区间震荡/趋势看空]      │</w:t>
        <w:br/>
        <w:t>│                                          │</w:t>
        <w:br/>
        <w:t>│  【中期持仓计划】                           │</w:t>
        <w:br/>
        <w:t>│  建仓区间：XX.XX - XX.XX元（S2到S1之间）    │</w:t>
        <w:br/>
        <w:t>│  中期目标：XX.XX元（R2附近）               │</w:t>
        <w:br/>
        <w:t>│  波段止损：XX.XX元（S3下方）               │</w:t>
        <w:br/>
        <w:t>│  目标仓位：总仓位的 X%                      │</w:t>
        <w:br/>
        <w:t>│                                          │</w:t>
        <w:br/>
        <w:t>│  【中期验证点】                             │</w:t>
        <w:br/>
        <w:t>│  验证1：XXXX事件（验证标准，预期影响±X%）    │</w:t>
        <w:br/>
        <w:t>│  验证2：XXXX指标（需达到/突破/跌破的条件）    │</w:t>
        <w:br/>
        <w:t>│                                          │</w:t>
        <w:br/>
        <w:t>│  【中期情景】                               │</w:t>
        <w:br/>
        <w:t>│  情景1（趋势延续）：持仓至中期目标             │</w:t>
        <w:br/>
        <w:t>│  情景2（区间震荡）：高抛低吸（R1卖/S1买）     │</w:t>
        <w:br/>
        <w:t>│  情景3（趋势逆转）：触发中期止损，离场          │</w:t>
        <w:br/>
        <w:t>└──────────────────────────────────────────┘</w:t>
      </w:r>
    </w:p>
    <w:p>
      <w:pPr>
        <w:pStyle w:val="Heading3"/>
      </w:pPr>
      <w:r>
        <w:t>6.2.3 长期操作建议（1-6月）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┌──────────────────────────────────────────┐</w:t>
        <w:br/>
        <w:t>│  长期操作建议（1-6月）                      │</w:t>
        <w:br/>
        <w:t>├──────────────────────────────────────────┤</w:t>
        <w:br/>
        <w:t>│  趋势判断：[长期看好/长期中性/长期看空]       │</w:t>
        <w:br/>
        <w:t>│  当前Wyckoff阶段：[吸筹/拉升/派发/下跌]     │</w:t>
        <w:br/>
        <w:t>│                                          │</w:t>
        <w:br/>
        <w:t>│  【长期战略】                               │</w:t>
        <w:br/>
        <w:t>│  合理估值区间：XX - XX元                    │</w:t>
        <w:br/>
        <w:t>│  核心逻辑：一句话概括                         │</w:t>
        <w:br/>
        <w:t>│  战略仓位：可配置总资金 X%                    │</w:t>
        <w:br/>
        <w:t>│                                          │</w:t>
        <w:br/>
        <w:t>│  【关键观察信号】                            │</w:t>
        <w:br/>
        <w:t>│  ROE趋势：[稳定提升/持平/下滑]               │</w:t>
        <w:br/>
        <w:t>│  行业地位：[龙头稳固/竞争加剧/边缘化]         │</w:t>
        <w:br/>
        <w:t>│  宏观政策：[受益/中性/受损]                  │</w:t>
        <w:br/>
        <w:t>│                                          │</w:t>
        <w:br/>
        <w:t>│  【长期情景】                               │</w:t>
        <w:br/>
        <w:t>│  情景1（基本面持续向好 + 行业景气）：长期持有    │</w:t>
        <w:br/>
        <w:t>│  情景2（基本面变化/行业转折）：重新评估          │</w:t>
        <w:br/>
        <w:t>│  情景3（达到估值上限）：分批止盈               │</w:t>
        <w:br/>
        <w:t>└──────────────────────────────────────────┘</w:t>
      </w:r>
    </w:p>
    <w:p>
      <w:pPr>
        <w:pStyle w:val="Heading2"/>
      </w:pPr>
      <w:r>
        <w:t>6.3 仓位管理体系</w:t>
      </w:r>
    </w:p>
    <w:p>
      <w:pPr>
        <w:pStyle w:val="Heading3"/>
      </w:pPr>
      <w:r>
        <w:t>6.3.1 单只股票仓位上限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综合评分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单只仓位上限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建议配置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≥80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强烈关注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可重点配置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65-79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正常配置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45-64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轻仓试探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30-44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谨慎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极轻仓或观望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&lt;40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不参与</w:t>
            </w:r>
          </w:p>
        </w:tc>
      </w:tr>
    </w:tbl>
    <w:p>
      <w:pPr>
        <w:spacing w:after="40"/>
      </w:pPr>
    </w:p>
    <w:p>
      <w:pPr>
        <w:pStyle w:val="Heading3"/>
      </w:pPr>
      <w:r>
        <w:t>6.3.2 分批建仓/加仓规则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买入梯队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价位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仓位比例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第一笔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回调至S1附近企稳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目标仓位的40%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S1处出现止跌信号（缩量十字星/下影线）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第二笔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回调至S2附近企稳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目标仓位的30%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S2处放量企稳或出现底背离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第三笔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突破R1回踩确认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目标仓位的30%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突破R1后回踩不破，确认有效突破</w:t>
            </w:r>
          </w:p>
        </w:tc>
      </w:tr>
    </w:tbl>
    <w:p>
      <w:pPr>
        <w:spacing w:after="40"/>
      </w:pPr>
    </w:p>
    <w:p>
      <w:pPr>
        <w:pStyle w:val="Heading3"/>
      </w:pPr>
      <w:r>
        <w:t>6.3.3 仓位调整规则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逻辑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股价从成本价上涨至R1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减仓1/3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锁定部分利润，降低持仓成本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股价从成本价上涨至R2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减仓1/3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进一步锁定利润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股价从成本价上涨至R3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减仓至底仓1/4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大幅获利后的利润保护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股价跌破S1且2日收不回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减仓1/2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短期趋势可能转弱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股价跌破S2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仅保留底仓或清仓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中期趋势存疑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股价跌破S3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无条件清仓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趋势破位，纪律性止损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连续大涨后出现放量滞涨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减仓1/2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主力出货信号</w:t>
            </w:r>
          </w:p>
        </w:tc>
      </w:tr>
    </w:tbl>
    <w:p>
      <w:pPr>
        <w:spacing w:after="40"/>
      </w:pPr>
    </w:p>
    <w:p>
      <w:pPr>
        <w:pStyle w:val="Heading2"/>
      </w:pPr>
      <w:r>
        <w:t>6.4 信号冲突裁决规则（v3.0 重写）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当多维度/多周期信号不一致时，按以下裁决树决定操作，</w:t>
      </w:r>
      <w:r>
        <w:rPr>
          <w:rFonts w:ascii="Microsoft YaHei" w:hAnsi="Microsoft YaHei" w:eastAsia="Microsoft YaHei"/>
          <w:b/>
          <w:i w:val="0"/>
          <w:sz w:val="21"/>
        </w:rPr>
        <w:t>不依赖直觉判断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Heading3"/>
      </w:pPr>
      <w:r>
        <w:t>6.4.1 维度间冲突裁决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冲突场景：技术面偏多 + 基本面偏空 + 消息面中性 → 怎么操作？</w:t>
        <w:br/>
        <w:br/>
        <w:t>裁决树（按优先级）：</w:t>
        <w:br/>
        <w:t xml:space="preserve">  1. 基本面恶化（ROE连续下滑/扣非负增长）→ 一票否决，覆盖技术面偏多信号，执行减仓</w:t>
        <w:br/>
        <w:t xml:space="preserve">  2. 宏观逆风（政策收缩/流动性收紧）→ 一票否决，覆盖所有维度的看多信号</w:t>
        <w:br/>
        <w:t xml:space="preserve">  3. 技术面+资金面+板块面（三面共振）vs 基本面偏空 → 技术面服从基本面，维持观望</w:t>
        <w:br/>
        <w:t xml:space="preserve">  4. 技术面偏多 + 其他维度中性 → 可小仓位试探（仓位≤10%），待更多维度确认后加仓</w:t>
        <w:br/>
        <w:t xml:space="preserve">  5. 消息面S级利多 vs 技术面偏空 → 等消息落地后的市场反应再决定，不做预判交易</w:t>
      </w:r>
    </w:p>
    <w:p>
      <w:pPr>
        <w:pStyle w:val="Heading3"/>
      </w:pPr>
      <w:r>
        <w:t>6.4.2 三周期冲突裁决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短期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中期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长期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裁决结果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全共振——重仓持有（仓位上限）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短中服从长——中线持仓但收紧止损，不追仓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中期回调——短线减仓至50%，等中期信号转多再加回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短线反弹——仅剩底仓(&lt;20%)，利用反弹减仓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短线回调——中长线持仓者可持仓等待，短线交易者减仓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中期反弹——等待中期转弱确认后清仓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长期底部——定投式建仓（每次≤5%仓位，间隔≥5日）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全共振——清仓回避</w:t>
            </w:r>
          </w:p>
        </w:tc>
      </w:tr>
    </w:tbl>
    <w:p>
      <w:pPr>
        <w:spacing w:after="40"/>
      </w:pPr>
    </w:p>
    <w:p>
      <w:pPr>
        <w:pStyle w:val="Heading3"/>
      </w:pPr>
      <w:r>
        <w:t>6.4.3 置信度过滤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置信度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调整规则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≥80%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按裁决结果直接执行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60-79%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按裁决结果执行，仓位降至标准仓位的70%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&lt;60%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降一级操作强度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（如"重仓"→"标配"，"标配"→"轻仓"，"减仓"→"维持观望"）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任何维度置信度&lt;40%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该维度的信号不参与冲突裁决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6.5 "不做"清单（v3.0 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⛔ 以下为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硬性禁止条款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，违反任一条即构成交易纪律违规。无论多么"确定"的机会，不得破例。</w:t>
      </w:r>
    </w:p>
    <w:p>
      <w:pPr>
        <w:pStyle w:val="Heading3"/>
      </w:pPr>
      <w:r>
        <w:t>6.5.1 绝对禁止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#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禁止行为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例外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追涨买入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在RSI(9)&gt;80或距S1&gt;5%时开新仓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突破R2放量确认+OBV新高→可追涨，仓位≤10%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亏损加仓（摊平）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持仓亏损&gt;5%时不得加仓以摊低成本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无例外——这是散户最大的亏损来源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财报发布前3日开新仓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财报是信息不对称的黑箱，不赌方向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已持仓者可持仓过财报，但须提前收紧止损至S2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RSI&gt;80加仓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超买区加仓必然高位接盘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无例外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单一板块集中度&gt;50%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3只同板块股票合计仓位不得超过总仓位50%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无例外——防止板块黑天鹅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日内反向交易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同一天买入又卖出同一只股票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出现§4.5极端事件时可豁免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仅凭单一信号交易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至少两个独立维度信号一致方可执行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§4.5极端事件触发时豁免</w:t>
            </w:r>
          </w:p>
        </w:tc>
      </w:tr>
    </w:tbl>
    <w:p>
      <w:pPr>
        <w:spacing w:after="40"/>
      </w:pPr>
    </w:p>
    <w:p>
      <w:pPr>
        <w:pStyle w:val="Heading3"/>
      </w:pPr>
      <w:r>
        <w:t>6.5.2 有条件禁止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#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禁止行为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解除条件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连续2笔交易亏损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暂停新开仓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下一笔模拟/实盘交易盈利后恢复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日成交额&lt;3000万（小盘股）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单笔仓位≤5%，总持仓≤15%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流动性恢复后可放宽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ADX&lt;20（震荡市）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禁止趋势策略开仓，仅可区间操作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ADX回升至&gt;25后恢复趋势策略</w:t>
            </w:r>
          </w:p>
        </w:tc>
      </w:tr>
    </w:tbl>
    <w:p>
      <w:pPr>
        <w:spacing w:after="40"/>
      </w:pPr>
    </w:p>
    <w:p>
      <w:pPr>
        <w:pStyle w:val="Heading3"/>
      </w:pPr>
      <w:r>
        <w:t>6.5.3 违反处理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模拟交易中违反：记录为"交易纪律违规"，在绩效报告中单独标注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累计3次违规：暂停该策略/股票的自动交易权限，等待人工复核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*本分析体系为铁律量化选股系统的深度分析配套文档。与《每日荐股分析逻辑白皮书》的广度筛选形成互补——广度找机会，深度做判断。*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*所有预判必须有明确的验证标准，事后必须回溯对错。不做事后修正的"模糊正确"，要做可验证的"精确判断"。*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