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4"/>
          <w:b/>
          <w:color w:val="1A1A2E"/>
        </w:rPr>
        <w:t>量化分析铁律 - 分析的规则红线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2"/>
          <w:b/>
          <w:color w:val="16213E"/>
        </w:rPr>
        <w:t>v1.2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666666"/>
        </w:rPr>
        <w:t>当前版本: v1.2 | 最后更新: 2026-05-22 | 更新人: Claude | 生效范围: 所有A股量化分析/选股/荐股/报告生成/白皮书版本管理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CC0000"/>
          <w:b/>
        </w:rPr>
        <w:t>违反后果: 必须立即停止并修正 | 前置要求: AI必须遵守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修改内容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修改原因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新增§5.4全分析白皮书版本管理要求:覆盖4份白皮书，明确版本号规则/变更流程/归档策略/修改权限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用户要求所有分析白皮书更新必须执行版本管理流程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新增数据源[6]~[12](akshare系列)；新增§1.5数据源实测状态；更新§4检查清单；逐项审计重点股票白皮书指标合规性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重点股票跟踪分析逻辑白皮书v1.0引入多维度新指标，需要明确数据源合规性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初始版本创建。基于原v1.7重构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用户要求重构规则红线文档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一、数据真实性铁律（最高优先级）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绝对禁止</w:t>
      </w:r>
    </w:p>
    <w:p>
      <w:pPr>
        <w:spacing w:line="360" w:lineRule="auto"/>
      </w:pPr>
      <w:r>
        <w:rPr>
          <w:rFonts w:eastAsia="Microsoft YaHei"/>
          <w:sz w:val="22"/>
          <w:b/>
        </w:rPr>
        <w:t>所有出现在报告中的数字，必须来自真实数据源。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允许：从腾讯行情API、同花顺(akshare)、Baostock等接口获取的真实数据；基于真实数据的本地计算（移动均线、RSI、MACD、量比等）；标注为[季报数据，非实时]的财报数据。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禁止：在没有数据时凭空赋值或编造任何数字；用AI模型推断缺失的财务指标；使用无法通过截图或链接验证的听说数据。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数据源编号与标注规则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报告中每个关键数字必须标注其数据来源：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用途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实时性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调用方式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当前价/涨跌幅/外盘内盘/量比/换手率/流通市值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日K线数据(开/收/高/低/成交量)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同花顺财务摘要(akshare)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净利润/营收/毛利率/负债率/EPS/扣非净利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K线验证/净利润交叉验证/全市场股票列表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日/季度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均线/RSI/MACD/布林/PE(TTM)/支撑阻力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基于原始数据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EV/EBITDA组件/存货周转率/经营性现金流/股息率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 stock_financial_abstract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申万行业/概念板块指数走势/成分股列表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沪/深股通持股明细(个股季度持股)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GET(datacenter-web)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主力净流入/超大单/大单净流入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各行业资金净流入排名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研报标题/机构/评级/盈利预测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GET(reportapi.eastmoney.com)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融资余额/融券余额/融资净买入/融券余量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GET(datacenter.eastmoney.com)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标注格式示例：[估值区间来源于同花顺深度财务数据] 估值区间[6]；[北向资金净流入来源于akshare北向资金接口] 北向资金净流入8.2亿[8]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1.3 PE(TTM) 计算红线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禁止直接使用腾讯行情API提供的静态PE作为否决依据。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PE(TTM) = 当前价[1] / TTM_EPS[3]</w:t>
      </w:r>
    </w:p>
    <w:p>
      <w:pPr>
        <w:spacing w:line="360" w:lineRule="auto"/>
      </w:pPr>
      <w:r>
        <w:rPr>
          <w:rFonts w:eastAsia="Microsoft YaHei"/>
          <w:sz w:val="22"/>
          <w:b/>
        </w:rPr>
        <w:t>TTM_EPS = 最新年报EPS - 去年同季EPS + 最新季报EPS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双源交叉验证规则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辅源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偏差处理规则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&lt;5%采用同花顺;5~15%取较低值;&gt;15%需核查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营收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同上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EPS计算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腾讯静PE(参考)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PE为主判据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毛利率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偏差&lt;5%即可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扣非净利润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唯一来源,标注仅供参考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当前价/K线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腾讯[1][2]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已确认100%一致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外盘/内盘/买卖比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量比/换手率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板块指数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✅已实测(季度数据)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✅已实测,唯一来源,标注仅供参考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1.5 数据源实测状态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本表记录每个数据源的实测情况。未实测的数据源在报告中必须标注待验证，严禁将未验证的数据作为否决依据。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实测状态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验证日期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覆盖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备注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用于交叉验证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均线/MACD/RSI等标准算法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深度财务(东财HTTP)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⚠️待验证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接口待集成测试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行业/概念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GET已验证(季度持股)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1.5.1 关键指标数据来源映射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章节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测试状态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决策依据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多周期均线趋势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Wyckoff量价分析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经典技术形态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[2]→[5]模式识别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1.1.4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MACD/RSI/布林/ADX/OBV等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1.1.5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K线组合形态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ROE/毛利率/增长率/负债率/PE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PE百分位(历史)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[2]+[3]→[5]计算模块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✅已开发实测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✅可输出(已验证)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PE/PB/PS/股息率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❌未实测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⚠️不可输出数值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DCF估值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[3][6]+AI推算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❌推算类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⚠️必须标注估算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核心竞争力分析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催化剂分级S/A/B/C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研报覆盖数/分析师评级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✅可输出(30天内)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融资融券余额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社交媒体热度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互动平台活跃度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无公开API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板块相位判断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板块轮动位置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行业内联动/共振度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[2][4][7]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✅板块[7]已实测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⚠️需开发批量计算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✅可输出(季度持股)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机构大宗交易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量能分析(放量/缩量)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筹码分布/获利比例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需Level-2付费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六维评分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多源融合+AI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✅技术/基本面/板块/资金已验证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⚠️消息面/宏观待验证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趋势健康度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1.5.2 指标整改优先级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优先级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整改要求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完成时限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P2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EV/EBITDA[6]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实测东财深度财务HTTP接口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一个月内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北向资金/研报/融券[8][11][12]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✅已通过HTTP GET解决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已完成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筹码分布/大宗交易/社交情绪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评估是否购买Level-2或降级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社交媒体/互动平台/大宗交易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二、资源节约铁律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核心原则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Token是付费资源。能用本地或免费资源完成的工作，禁止用AI Token完成。免费公开API抓取-&gt;本地计算处理-&gt;AI分析。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成本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承担工作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数据获取层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零Token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API调用/数据格式化/缓存读写-由代码执行，AI不参与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分析决策层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消耗Token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评分判断/否决判定/报告文本生成-AI参与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校验层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少量Token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交叉验证/异常检测-AI参与，原始数据比对由代码完成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Token使用边界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允许：AI处理分析逻辑判断/规则解读/报告文本生成；AI对比多个数据源做一致性校验；AI根据评估结果提出规则优化建议。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禁止：让AI用自然语言估算已有API可获取的数据；无谓的重复调用；把原始数据全文喂给AI做阅读理解。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三、API调用纪律与缓存策略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数据分层与缓存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调用时机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缓存策略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收盘价/涨跌幅/买卖比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不缓存，必须当日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120日日K线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技术指标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基于K线实时计算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北向资金(季度持股)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东方财富[11]HTTP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东方财富[12]HTTP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消息面新闻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财务数据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[3]/Baostock[4]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财报更新日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财报不换PE不变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防封禁规则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每次API调用后强制间隔&gt;=0.3秒；每10次调用后额外休息&gt;=2秒；同花顺/akshare财务数据仅在缓存过期时调用(每季度1次)；禁止在短时间内(&lt;5分钟)重复拉取同一只股票的同一类数据。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3.3 降级路径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主数据源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降级方案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标注要求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腾讯买卖五档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腾讯日K/qfqday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同花顺财务[3]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使用缓存数据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标注可能滞后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接受单源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标注未经交叉验证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东方财富系列[7]~[12]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降级为缓存数据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标注数据不可用，降级定性判断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3.4 调用监控与告警</w:t>
      </w:r>
    </w:p>
    <w:p>
      <w:pPr>
        <w:spacing w:line="360" w:lineRule="auto"/>
      </w:pPr>
      <w:r>
        <w:rPr>
          <w:rFonts w:eastAsia="Microsoft YaHei"/>
          <w:sz w:val="22"/>
          <w:b/>
        </w:rPr>
        <w:t>以下情况必须告警并暂停分析：单次分析API调用失败率&gt;20%；连续3次同花顺/akshare API调用失败；腾讯API响应时间异常(单次&gt;3秒)；降级路径连续2次以上仍不可用；akshare接口返回空数据或异常数据。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四、执行检查清单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所有数据有来源标记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关键财务已双源验证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无编造数据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PE(TTM)用同花顺EPS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API调用已加延迟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季度数据用缓存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报告有免责声明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一票否决已执行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降级路径已标注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数据时效已标注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未实测数据源[6]须标注待验证([1]~[5][7]~[12]已实测可用)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不可获取指标(筹码分布/大宗交易/社交情绪)不得输出具体数值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PE百分位已开发完成,可输出(需标注数据范围)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五、规则变更协议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变更权限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变更条件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变更类型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最低数据量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数据源新增/替换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实测验证通过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3只股票以上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API调用策略调整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连续3次以上失败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3次失败记录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交叉验证规则修改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5个以上样本支撑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5个样本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降级路径调整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降级连续2次仍不可用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2次不可用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数据源状态变更(未实测-&gt;已实测)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接口验证通过+3只股票以上确认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5.3 变更执行流程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每次变更必须：1)在版本历史表追加新行；2)更新CHANGELOG；3)更新文档版本索引；4)修改文件名(主版本需保留旧版存档)；5)更新数据源实测状态表。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5.4 全分析白皮书版本管理要求(红线)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红线：以下4份白皮书只要有内容更新，必须执行本版本管理流程。不允许无版本号的直接修改。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白皮书</w:t>
            </w:r>
          </w:p>
        </w:tc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存储路径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重点股票次日后评估白皮书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重点股票\次日评估\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重点股票跟踪分析逻辑白皮书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重点股票\分析逻辑\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每日荐股分析逻辑白皮书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每日荐股\分析逻辑\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次日后评估白皮书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每日荐股\事后评估\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5.4.1 版本号规则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格式 v&lt;主版本&gt;.&lt;次版本&gt;。主版本：评估维度重构、核心方法论变更(v1→v2)。次版本：新增/删除章节、调整阈值权重、信号列表管理(v1.2→v1.3)。不设patch级别。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5.4.2 版本载体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载体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位置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&gt; 当前版本: vX.Y | 最后更新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一眼看到当前版本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版本历史表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文档开头版本历史表格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快速回顾，保留最近10条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CHANGELOG.md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同目录独立文件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完整永久记录，每条含文件变更清单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5.4.3 变更流程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AI或人发现需要改 -&gt; 记录到改进日志.md(含证据) -&gt; 人工确认 -&gt; [确认采纳] -&gt; 升版本号+更新日期 -&gt; 修改文档正文 -&gt; 更新版本历史表 -&gt; 更新CHANGELOG.md -&gt; 生成新版DOCX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5.4.4 归档策略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每个版本独立文件(白皮书名称_vX.Y.md+.docx)，旧版本保留不删，历史可追溯。CHANGELOG.md是权威变更记录，文档内版本历史表是快速索引。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5.4.5 修改权限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人：任何时候可发起、审批、执行版本变更。AI：只能提议变更(写入改进日志)，经人确认后才能执行版本修改。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六、文件信息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项目</w:t>
            </w:r>
          </w:p>
        </w:tc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内容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文件名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分析的规则红线--Claude_v1.2.docx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存储路径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C:\Users\34269\Documents\Claude\股票分析\规则红线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当前版本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v1.2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最后更新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2026-05-22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更新人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关联CHANGELOG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分析的规则红线--Claude_CHANGELOG.md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文档版本索引.md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本文档为铁律量化系统最高优先级规则。其他所有分析逻辑必须在不违反本文档的前提下执行。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版本：v1.2 | 2026-05-22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