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Microsoft YaHei" w:hAnsi="Microsoft YaHei" w:eastAsia="Microsoft YaHei"/>
          <w:b/>
          <w:color w:val="1A1A2E"/>
          <w:sz w:val="36"/>
        </w:rPr>
        <w:t>分析的规则红线--Claude v1.3</w:t>
      </w:r>
    </w:p>
    <w:p>
      <w:pPr>
        <w:pStyle w:val="Heading1"/>
      </w:pPr>
      <w:r>
        <w:t>量化分析铁律 - 分析的规则红线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当前版本: v1.3 | 最后更新: 2026-05-22 | 更新人: Claude</w:t>
        <w:br/>
        <w:t>生效范围: 所有A股量化分析/选股/荐股/报告生成/白皮书版本管理</w:t>
        <w:br/>
        <w:t>违反后果: 必须立即停止并修正 ⚠</w:t>
        <w:br/>
        <w:t>前置要求: AI必须遵守 — 任何AI在执行分析任务(选股/评分/荐股/报告生成/后评估/白皮书更新)前，必须先读取本文档并完全遵照执行。本文档为最高优先级规则，其他所有分析逻辑必须在不违反本文档的前提下执行。</w:t>
        <w:br/>
        <w:t>存储路径: C:\Users\34269\Documents\Claude\股票分析\规则红线\分析的规则红线--Claude_v1.3.docx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t>版本历史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日期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作者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修改内容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修改原因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构全章数据源架构为1+2主备体系（主API→备API→缓存兜底）；更新§1.2数据源编号表补充主备标记；更新§1.4双源交叉验证为腾讯+新浪+东方财富架构；更新§3.1缓存策略TTL与实际实现一致；更新§3.3降级路径补充缓存兜底；更新§4检查清单新增1+2合规项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用户要求所有数据指标必须1主+2备保障，确保东方财富接口被封时数据不中断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新增§5.4全分析白皮书版本管理要求：覆盖4份白皮书，明确版本号规则/变更流程/归档策略/修改权限；更新前置要求范围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用户要求所有分析白皮书更新必须执行版本管理流程，不允许无版本号的直接修改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新增数据源[6]~[12]（akshare系列）；新增§1.5数据源实测状态；更新§4检查清单；逐项审计重点股票白皮书指标合规性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重点股票跟踪分析逻辑白皮书v1.0引入多维度新指标，需要明确数据源合规性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初始版本创建。基于原v1.7重构：移除评分体系/一票否决阈值/报告格式等分析逻辑内容。新增前置要求(AI预读规则)，新增执行检查清单，新增API调用监控告警，新增规则变更协议，新增版本管理。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用户要求重构规则红线文档，将分析逻辑剥离至独立文档，建立版本管理体系。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一、数据真实性铁律（最高优先级）</w:t>
      </w:r>
    </w:p>
    <w:p>
      <w:pPr>
        <w:pStyle w:val="Heading2"/>
      </w:pPr>
      <w:r>
        <w:t>1.1 绝对禁止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所有出现在报告中的数字，必须来自真实数据源。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从腾讯行情API、新浪财经、东方财富API等接口获取的真实数据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基于真实数据的本地计算（移动均线、RSI、MACD、量比等）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标注为[季报数据，非实时]的财报数据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在没有数据时凭空赋值或编造任何数字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用AI模型推断缺失的财务指标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使用无法通过截图或链接验证的"听说"数据</w:t>
      </w:r>
    </w:p>
    <w:p>
      <w:pPr>
        <w:pStyle w:val="Heading2"/>
      </w:pPr>
      <w:r>
        <w:t>1.2 数据源编号与标注规则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报告中每个关键数字必须标注其数据来源：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当前价/涨跌幅/换手率/PE/流通市值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当前价/涨跌幅/成交量（腾讯失败时启用）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日K线数据(开/收/高/低/成交量)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日K线qfq数据（新浪失败时启用）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EPS/ROE/营收/净利润/毛利率等74字段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均线/RSI/MACD/布林/PE(TTM)/支撑阻力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申万行业/概念板块指数走势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沪股通/深股通持股明细（季度）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主力净流入/超大单/大单/小单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各行业资金净流入排名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研报标题/机构/评级/盈利预测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主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融资余额、融券余额、融资净买入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/>
                <w:sz w:val="21"/>
              </w:rPr>
              <w:t>兜底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上述所有数据API不可用时的最终保障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见各源TTL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调用优先级：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主API → 备API(有[B]标记的) → 缓存[C] → 返回$null(标注数据不可用)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标注格式示例：</w:t>
      </w:r>
      <w:r>
        <w:rPr>
          <w:rFonts w:ascii="Microsoft YaHei" w:hAnsi="Microsoft YaHei" w:eastAsia="Microsoft YaHei"/>
          <w:b w:val="0"/>
          <w:i w:val="0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估值区间[3]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北向资金净流入8.2亿[8]</w:t>
      </w:r>
      <w:r>
        <w:rPr>
          <w:rFonts w:ascii="Microsoft YaHei" w:hAnsi="Microsoft YaHei" w:eastAsia="Microsoft YaHei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color w:val="E74C3C"/>
          <w:sz w:val="18"/>
        </w:rPr>
        <w:t>主力净流入占比12%[9]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数据源不可用时的标注规则：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使用了备源：标注 </w:t>
      </w:r>
      <w:r>
        <w:rPr>
          <w:rFonts w:ascii="Consolas" w:hAnsi="Consolas" w:eastAsia="Consolas"/>
          <w:b w:val="0"/>
          <w:color w:val="E74C3C"/>
          <w:sz w:val="18"/>
        </w:rPr>
        <w:t>[1B]</w:t>
      </w:r>
      <w:r>
        <w:rPr>
          <w:rFonts w:ascii="Microsoft YaHei" w:hAnsi="Microsoft YaHei" w:eastAsia="Microsoft YaHei"/>
          <w:b w:val="0"/>
          <w:sz w:val="21"/>
        </w:rPr>
        <w:t xml:space="preserve"> 等，并在报告中注明"备源数据"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使用了缓存：标注 </w:t>
      </w:r>
      <w:r>
        <w:rPr>
          <w:rFonts w:ascii="Consolas" w:hAnsi="Consolas" w:eastAsia="Consolas"/>
          <w:b w:val="0"/>
          <w:color w:val="E74C3C"/>
          <w:sz w:val="18"/>
        </w:rPr>
        <w:t>[C]</w:t>
      </w:r>
      <w:r>
        <w:rPr>
          <w:rFonts w:ascii="Microsoft YaHei" w:hAnsi="Microsoft YaHei" w:eastAsia="Microsoft YaHei"/>
          <w:b w:val="0"/>
          <w:sz w:val="21"/>
        </w:rPr>
        <w:t>，并在报告中注明"缓存数据，可能滞后"</w:t>
      </w:r>
    </w:p>
    <w:p>
      <w:pPr>
        <w:pStyle w:val="Heading2"/>
      </w:pPr>
      <w:r>
        <w:t>1.3 PE(TTM) 计算红线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禁止直接使用腾讯行情API提供的静态PE作为否决依据。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PE(TTM) = 当前价[1] / TTM_EPS[3]</w:t>
        <w:br/>
        <w:t>TTM_EPS = 最新年报EPS - 去年同季EPS + 最新季报EPS</w:t>
      </w:r>
    </w:p>
    <w:p>
      <w:pPr>
        <w:pStyle w:val="Heading2"/>
      </w:pPr>
      <w:r>
        <w:t>1.4 双源交叉验证与故障降级规则</w:t>
      </w:r>
    </w:p>
    <w:p>
      <w:pPr>
        <w:pStyle w:val="Heading3"/>
      </w:pPr>
      <w:r>
        <w:t>1.4.1 数据获取优先级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每个数据获取函数按以下顺序自动尝试，调用方无需感知：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 → 备API(如有) → 本地缓存 → 返回null(上报告警)</w:t>
      </w:r>
    </w:p>
    <w:p>
      <w:pPr>
        <w:pStyle w:val="Heading3"/>
      </w:pPr>
      <w:r>
        <w:t>1.4.2 主备分配矩阵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数据类别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主(Primary)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备(Backup)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缓存兜底(TTL)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实现函数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qt.gtimg.cn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hq.sinajs.cn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Get-StockQuote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 money.finance.sina.com.cn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 web.ifzq.gtimg.cn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Get-StockKLine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Get-StockFinancial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Get-PEPercentile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板块行情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Get-SectorData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Get-SectorFundFlow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push2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Get-StockFundFlow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datacenter-web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Get-NorthboundHold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reportapi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Get-StockResearch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 datacenter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Get-MarginData</w:t>
            </w:r>
          </w:p>
        </w:tc>
      </w:tr>
    </w:tbl>
    <w:p>
      <w:pPr>
        <w:spacing w:after="40"/>
      </w:pPr>
    </w:p>
    <w:p>
      <w:pPr>
        <w:pStyle w:val="Heading3"/>
      </w:pPr>
      <w:r>
        <w:t>1.4.3 故障处理流程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主API超时/报错 → 写Warning日志</w:t>
        <w:br/>
        <w:t xml:space="preserve">    ↓</w:t>
        <w:br/>
        <w:t xml:space="preserve">  有备API？ → 是 → 调用备API</w:t>
        <w:br/>
        <w:t xml:space="preserve">    ↓ 否          ↓ 成功？→ 返回数据，记录源为"备"</w:t>
        <w:br/>
        <w:t xml:space="preserve">    ↓             ↓ 失败？→ 继续</w:t>
        <w:br/>
        <w:t xml:space="preserve">    ↓</w:t>
        <w:br/>
        <w:t xml:space="preserve">  有缓存？ → 是 → 返回缓存数据，标记"缓存可能滞后"</w:t>
        <w:br/>
        <w:t xml:space="preserve">    ↓ 否</w:t>
        <w:br/>
        <w:t xml:space="preserve">  返回$null，调用方自行处理</w:t>
      </w:r>
    </w:p>
    <w:p>
      <w:pPr>
        <w:pStyle w:val="Heading2"/>
      </w:pPr>
      <w:r>
        <w:t>1.5 数据源实测状态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>本表记录每个数据源的实测情况。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未实测的数据源在报告中必须标注"待验证"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，严禁将未验证的数据作为否决依据。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实测状态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验证日期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腾讯行情API qt.gtimg.cn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 hq.sinajs.cn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 money.finance.sina.com.cn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 web.ifzq.gtimg.cn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本地计算（均线/RSI/MACD/布林/PE百分位）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东方财富板块行业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东方财富北向资金 datacenter-web.eastmoney.com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东方财富个股资金流向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东方财富行业资金流向 push2.eastmoney.com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东方财富研报/评级 reportapi.eastmoney.com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东方财富融资融券 datacenter.eastmoney.com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 ✅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[C]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本地文件缓存 data_cache/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兜底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已实测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t>1.5.1 关键指标数据来源映射（重点股票白皮书）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白皮书章节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数据源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主备状态</w:t>
            </w:r>
          </w:p>
        </w:tc>
        <w:tc>
          <w:tcPr>
            <w:tcW w:type="dxa" w:w="1728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能否作为决策依据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多周期均线趋势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Wyckoff量价分析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[2/2B]→[5]AI分析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经典技术形态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[2/2B]→[5]模式识别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MACD/RSI/布林/ADX/OBV等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[2/2B]→[5]本地计算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1.1.5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K线组合形态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[2/2B]→[5]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可参考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ROE/毛利率/增长率/负债率/PE(TTM)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PE百分位（历史）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[2/2B]+[3]→[5]→[C]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PE/PB/PS/股息率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可决策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暂无可实现HTTP接口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未实现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不可输出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1.2.2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DCF估值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[3]→[5]估算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必须标注"估算"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催化剂分级S/A/B/C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AI分析（基于财务/资金/板块）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AI判断可输出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研报覆盖数/分析师评级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[11]→[C]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融资融券余额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[12]→[C]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社交媒体热度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1.3.3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互动平台活跃度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无公开API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板块相位判断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[7]→[C]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板块轮动位置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AI分析（基于市场）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定性分析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1.4.3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行业内联动/共振度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[2/2B]+[7]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双源+缓存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⚠️ 需开发批量计算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[8]→[C]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主力净流入/超大单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[9]→[C]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无免费API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不可获取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❌ 移除或标注"人工录入"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1.5.1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[10]→[C]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单源+缓存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可输出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主备状态说明：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「双源+缓存」= 有两个不同厂商API + 本地缓存兜底；「单源+缓存」= 仅一个厂商API + 本地缓存兜底（因数据源垄断，无免费替代）</w:t>
      </w:r>
    </w:p>
    <w:p>
      <w:pPr>
        <w:pStyle w:val="Heading3"/>
      </w:pPr>
      <w:r>
        <w:t>1.5.2 指标整改优先级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优先级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整改要求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完成时限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EV/EBITDA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实测东财深度财务HTTP接口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一个月内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北向资金/研报/融资融券[8][11][12]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✅ 已通过HTTP GET解决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已完成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筹码分布/大宗交易/社交情绪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筹码分布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评估是否购买Level-2数据或降级移除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社交媒体/互动平台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机构大宗交易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评估替代方案或移除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待定</w:t>
            </w:r>
          </w:p>
        </w:tc>
      </w:tr>
    </w:tbl>
    <w:p>
      <w:pPr>
        <w:spacing w:after="40"/>
      </w:pP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二、资源节约铁律</w:t>
      </w:r>
    </w:p>
    <w:p>
      <w:pPr>
        <w:pStyle w:val="Heading2"/>
      </w:pPr>
      <w:r>
        <w:t>2.1 核心原则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Token是付费资源。能用本地或免费资源完成的工作，禁止用AI Token完成。免费公开API抓取 -&gt; 本地计算处理 -&gt; AI分析。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成本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承担工作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数据获取层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零Token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API调用/数据格式化/缓存读写 — 由代码执行，AI不参与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分析决策层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消耗Token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评分判断/否决判定/报告文本生成 — AI参与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校验层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少量Token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交叉验证/异常检测 — AI参与，原始数据比对由代码完成</w:t>
            </w:r>
          </w:p>
        </w:tc>
      </w:tr>
    </w:tbl>
    <w:p>
      <w:pPr>
        <w:spacing w:after="40"/>
      </w:pPr>
    </w:p>
    <w:p>
      <w:pPr>
        <w:pStyle w:val="Heading2"/>
      </w:pPr>
      <w:r>
        <w:t>2.2 Token使用边界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允许：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AI处理分析逻辑判断/规则解读/报告文本生成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AI对比多个数据源做一致性校验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AI根据评估结果提出规则优化建议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禁止：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让AI用自然语言估算已有API可获取的数据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无谓的重复调用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把原始数据全文喂给AI做阅读理解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三、API调用纪律与缓存策略</w:t>
      </w:r>
    </w:p>
    <w:p>
      <w:pPr>
        <w:pStyle w:val="Heading2"/>
      </w:pPr>
      <w:r>
        <w:t>3.1 数据分层与缓存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所有数据获取函数内置本地缓存层，API成功调用后自动写入缓存，API失败时自动读取缓存兜底。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数据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备源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缓存TTL</w:t>
            </w:r>
          </w:p>
        </w:tc>
        <w:tc>
          <w:tcPr>
            <w:tcW w:type="dxa" w:w="144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缓存文件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当前价/涨跌幅/换手率/PE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新浪[1B]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Quote_{Code}.json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120日日K线(OHLCV)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新浪[2]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腾讯[2B]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KLine_{Code}_240.json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技术指标(均线/RSI/MACD/布林)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本地计算[5]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基于K线实时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板块行业TOP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个股资金流向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FundFlow_{Code}_{Days}.json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行业资金流向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6h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SectorFundFlow_{Top}.json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研报/评级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Research_{Code}_{Count}_{DaysBack}.json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日更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融资融券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东方财富[12]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24h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Margin_{Code}_{Days}.json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季度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财务数据(EPS/ROE/营收)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Financial_{Code}.json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PE百分位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本地计算(K线+EPS)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PEPercentile_{Code}.json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低频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北向资金持股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东方财富[8]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168h(7天)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Northbound_{Code}.json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缓存读写规则：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写：API返回有效数据后立即写入 </w:t>
      </w:r>
      <w:r>
        <w:rPr>
          <w:rFonts w:ascii="Consolas" w:hAnsi="Consolas" w:eastAsia="Consolas"/>
          <w:b w:val="0"/>
          <w:color w:val="E74C3C"/>
          <w:sz w:val="18"/>
        </w:rPr>
        <w:t>Save-DataCache -Key "类型_标识" -Data $result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读：API全部失败后 </w:t>
      </w:r>
      <w:r>
        <w:rPr>
          <w:rFonts w:ascii="Consolas" w:hAnsi="Consolas" w:eastAsia="Consolas"/>
          <w:b w:val="0"/>
          <w:color w:val="E74C3C"/>
          <w:sz w:val="18"/>
        </w:rPr>
        <w:t>Load-DataCache -Key "类型_标识" -TTLHours N</w:t>
      </w:r>
      <w:r>
        <w:rPr>
          <w:rFonts w:ascii="Microsoft YaHei" w:hAnsi="Microsoft YaHei" w:eastAsia="Microsoft YaHei"/>
          <w:b w:val="0"/>
          <w:sz w:val="21"/>
        </w:rPr>
        <w:t>，缓存过期不读取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缓存目录：</w:t>
      </w:r>
      <w:r>
        <w:rPr>
          <w:rFonts w:ascii="Consolas" w:hAnsi="Consolas" w:eastAsia="Consolas"/>
          <w:b w:val="0"/>
          <w:color w:val="E74C3C"/>
          <w:sz w:val="18"/>
        </w:rPr>
        <w:t>股票分析/data_cache/</w:t>
      </w:r>
      <w:r>
        <w:rPr>
          <w:rFonts w:ascii="Microsoft YaHei" w:hAnsi="Microsoft YaHei" w:eastAsia="Microsoft YaHei"/>
          <w:b w:val="0"/>
          <w:sz w:val="21"/>
        </w:rPr>
        <w:t>，自动创建，归入gitignore不进版本控制</w:t>
      </w:r>
    </w:p>
    <w:p>
      <w:pPr>
        <w:pStyle w:val="Heading2"/>
      </w:pPr>
      <w:r>
        <w:t>3.2 防封禁规则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每次API调用后强制间隔 &gt;= 0.3秒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每10次调用后额外休息 &gt;= 2秒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财务数据仅在缓存过期时重新拉取（每7天1次）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禁止在短时间内(&lt;5分钟)重复拉取同一只股票的同一类数据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同一数据类别内，主源失败→备源时，间隔 &gt;= 1秒再试</w:t>
      </w:r>
    </w:p>
    <w:p>
      <w:pPr>
        <w:pStyle w:val="Heading2"/>
      </w:pPr>
      <w:r>
        <w:t>3.3 降级路径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备数据源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缓存兜底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报告中标注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腾讯行情[1]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新浪行情[1B]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新浪K线[2]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腾讯K线[2B]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备源/缓存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东方财富财务[3]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东方财富板块[7]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东方财富资金[9][10]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东方财富北向[8]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东方财富研报[11]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东方财富融券[12]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—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缓存[C]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缓存数据，可能滞后</w:t>
            </w:r>
          </w:p>
        </w:tc>
      </w:tr>
    </w:tbl>
    <w:p>
      <w:pPr>
        <w:spacing w:after="40"/>
      </w:pPr>
    </w:p>
    <w:p>
      <w:pPr>
        <w:spacing w:after="80" w:before="80"/>
        <w:ind w:left="567"/>
      </w:pPr>
      <w:r>
        <w:rPr>
          <w:rFonts w:ascii="Microsoft YaHei" w:hAnsi="Microsoft YaHei" w:eastAsia="Microsoft YaHei"/>
          <w:b/>
          <w:i/>
          <w:color w:val="555555"/>
          <w:sz w:val="21"/>
        </w:rPr>
        <w:t>独有数据说明：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 资金流向[9][10]、北向资金[8]、研报[11]、融资融券[12]为东方财富垄断数据，无免费备API。1+2架构中备源为缓存兜底，数据可用性依赖本地缓存。发现可用的免费备API后必须补充。</w:t>
      </w:r>
    </w:p>
    <w:p>
      <w:pPr>
        <w:pStyle w:val="Heading2"/>
      </w:pPr>
      <w:r>
        <w:t>3.4 调用监控与告警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以下情况必须告警并暂停分析：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单次分析API调用失败率 &gt;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同一类数据主API+备API(如有)+缓存全部失败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腾讯/新浪API响应时间异常(单次 &gt; 3秒)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降级路径连续2次以上仍不可用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东方财富接口连续返回空数据或异常数据带有相同特征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四、执行检查清单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所有数据有来源标记（含主/备/缓存标注）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关键数据满足1+2架构（主API+备API+缓存兜底）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双源数据(行情/K线)必须实际尝试主和备两个API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无编造数据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API调用已加延迟(&gt;=0.3s间隔)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缓存已自动填充（API成功调用后写缓存）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报告有免责声明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降级路径已标注（标注备源/缓存数据）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☐ 数据时效已标注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独有数据(资金/北向/研报/融券)须标注"仅供参考"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☐ </w:t>
      </w:r>
      <w:r>
        <w:rPr>
          <w:rFonts w:ascii="Microsoft YaHei" w:hAnsi="Microsoft YaHei" w:eastAsia="Microsoft YaHei"/>
          <w:b/>
          <w:sz w:val="21"/>
        </w:rPr>
        <w:t>不可获取指标(筹码分布/大宗交易/社交情绪)不得输出具体数值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五、规则变更协议</w:t>
      </w:r>
    </w:p>
    <w:p>
      <w:pPr>
        <w:pStyle w:val="Heading2"/>
      </w:pPr>
      <w:r>
        <w:t>5.1 变更权限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红线规则修改需人工确认，AI不可直接执行。变更前必须读取当前版本和同级CHANGELOG.md。</w:t>
      </w:r>
    </w:p>
    <w:p>
      <w:pPr>
        <w:pStyle w:val="Heading2"/>
      </w:pPr>
      <w:r>
        <w:t>5.2 变更条件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触发条件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最低数据量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数据源新增/替换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实测验证通过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3只股票以上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API调用策略调整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连续3次以上失败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3次失败记录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交叉验证规则修改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5个以上样本支撑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5个样本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降级路径调整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降级连续2次仍不可用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2次不可用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数据源状态变更(未实测→已实测)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接口验证通过 + 3只股票以上数据确认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3只股票</w:t>
            </w:r>
          </w:p>
        </w:tc>
      </w:tr>
    </w:tbl>
    <w:p>
      <w:pPr>
        <w:spacing w:after="40"/>
      </w:pPr>
    </w:p>
    <w:p>
      <w:pPr>
        <w:pStyle w:val="Heading2"/>
      </w:pPr>
      <w:r>
        <w:t>5.3 变更执行流程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每次变更必须：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在版本历史表追加新行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更新CHANGELOG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更新文档版本索引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修改文件名（主版本需保留旧版存档）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更新数据源实测状态表</w:t>
      </w:r>
    </w:p>
    <w:p>
      <w:pPr>
        <w:pStyle w:val="Heading2"/>
      </w:pPr>
      <w:r>
        <w:t>5.4 全分析白皮书版本管理要求（红线）</w:t>
      </w:r>
    </w:p>
    <w:p>
      <w:pPr>
        <w:spacing w:after="80" w:before="80"/>
        <w:ind w:left="567"/>
      </w:pPr>
      <w:r>
        <w:rPr>
          <w:rFonts w:ascii="Microsoft YaHei" w:hAnsi="Microsoft YaHei" w:eastAsia="Microsoft YaHei"/>
          <w:b w:val="0"/>
          <w:i/>
          <w:color w:val="555555"/>
          <w:sz w:val="21"/>
        </w:rPr>
        <w:t xml:space="preserve">⛔ </w:t>
      </w:r>
      <w:r>
        <w:rPr>
          <w:rFonts w:ascii="Microsoft YaHei" w:hAnsi="Microsoft YaHei" w:eastAsia="Microsoft YaHei"/>
          <w:b/>
          <w:i/>
          <w:color w:val="555555"/>
          <w:sz w:val="21"/>
        </w:rPr>
        <w:t>红线</w:t>
      </w:r>
      <w:r>
        <w:rPr>
          <w:rFonts w:ascii="Microsoft YaHei" w:hAnsi="Microsoft YaHei" w:eastAsia="Microsoft YaHei"/>
          <w:b w:val="0"/>
          <w:i/>
          <w:color w:val="555555"/>
          <w:sz w:val="21"/>
        </w:rPr>
        <w:t>：以下4份白皮书只要有内容更新，必须执行本版本管理流程。不允许无版本号的直接修改。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适用白皮书清单：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白皮书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存储路径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重点股票\次日评估\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重点股票跟踪分析逻辑白皮书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重点股票\分析逻辑\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每日荐股分析逻辑白皮书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每日荐股\分析逻辑\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次日后评估白皮书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每日荐股\事后评估\</w:t>
            </w:r>
          </w:p>
        </w:tc>
      </w:tr>
    </w:tbl>
    <w:p>
      <w:pPr>
        <w:spacing w:after="40"/>
      </w:pPr>
    </w:p>
    <w:p>
      <w:pPr>
        <w:pStyle w:val="Heading3"/>
      </w:pPr>
      <w:r>
        <w:t>5.4.1 版本号规则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 xml:space="preserve">格式 </w:t>
      </w:r>
      <w:r>
        <w:rPr>
          <w:rFonts w:ascii="Consolas" w:hAnsi="Consolas" w:eastAsia="Consolas"/>
          <w:b w:val="0"/>
          <w:i w:val="0"/>
          <w:color w:val="E74C3C"/>
          <w:sz w:val="18"/>
        </w:rPr>
        <w:t>v&lt;主版本&gt;.&lt;次版本&gt;</w:t>
      </w:r>
      <w:r>
        <w:rPr>
          <w:rFonts w:ascii="Microsoft YaHei" w:hAnsi="Microsoft YaHei" w:eastAsia="Microsoft YaHei"/>
          <w:b w:val="0"/>
          <w:i w:val="0"/>
          <w:sz w:val="21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变更类型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版本号变化</w:t>
            </w:r>
          </w:p>
        </w:tc>
        <w:tc>
          <w:tcPr>
            <w:tcW w:type="dxa" w:w="288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主版本：评估维度重构、核心方法论变更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 → v2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从"逐股预测准确率"重构为"分析逻辑有效性"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次版本：新增/删除章节、调整阈值权重、信号列表管理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v1.2 → v1.3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新增自我进化机制章节、新增版本管理章节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不设 patch 级别，对白皮书文档粒度够用。</w:t>
      </w:r>
    </w:p>
    <w:p>
      <w:pPr>
        <w:pStyle w:val="Heading3"/>
      </w:pPr>
      <w:r>
        <w:t>5.4.2 版本载体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载体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216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  <w:tc>
          <w:tcPr>
            <w:tcW w:type="dxa" w:w="2160"/>
            <w:shd w:fill="1A1A2E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文档头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`&gt; 当前版本: vX.Y \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最后更新: YYYY-MM-DD`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一眼看到当前版本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版本历史表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文档开头版本历史表格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快速回顾，保留最近 10 条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CHANGELOG.md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同目录独立文件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完整永久记录，每条含文件变更清单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40"/>
      </w:pPr>
    </w:p>
    <w:p>
      <w:pPr>
        <w:pStyle w:val="Heading3"/>
      </w:pPr>
      <w:r>
        <w:t>5.4.3 变更流程</w:t>
      </w:r>
    </w:p>
    <w:p>
      <w:pPr>
        <w:spacing w:before="80" w:after="80"/>
      </w:pPr>
      <w:r>
        <w:rPr>
          <w:rFonts w:ascii="Consolas" w:hAnsi="Consolas" w:eastAsia="Consolas"/>
          <w:b w:val="0"/>
          <w:sz w:val="18"/>
        </w:rPr>
        <w:t>AI或人发现需要改 → 记录到改进日志.md（含证据） → 人工确认 →</w:t>
        <w:br/>
        <w:t>[确认采纳] → 升版本号 + 更新日期 → 修改文档正文 →</w:t>
        <w:br/>
        <w:t>更新版本历史表 → 更新CHANGELOG.md → 生成新版DOCX</w:t>
      </w:r>
    </w:p>
    <w:p>
      <w:pPr>
        <w:pStyle w:val="Heading3"/>
      </w:pPr>
      <w:r>
        <w:t>5.4.4 归档策略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每个版本独立文件：</w:t>
      </w:r>
      <w:r>
        <w:rPr>
          <w:rFonts w:ascii="Consolas" w:hAnsi="Consolas" w:eastAsia="Consolas"/>
          <w:b w:val="0"/>
          <w:color w:val="E74C3C"/>
          <w:sz w:val="18"/>
        </w:rPr>
        <w:t>白皮书名称_vX.Y.md</w:t>
      </w:r>
      <w:r>
        <w:rPr>
          <w:rFonts w:ascii="Microsoft YaHei" w:hAnsi="Microsoft YaHei" w:eastAsia="Microsoft YaHei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E74C3C"/>
          <w:sz w:val="18"/>
        </w:rPr>
        <w:t>.docx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旧版本保留不删，历史可追溯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是权威变更记录，文档内版本历史表是快速索引</w:t>
      </w:r>
    </w:p>
    <w:p>
      <w:pPr>
        <w:pStyle w:val="Heading3"/>
      </w:pPr>
      <w:r>
        <w:t>5.4.5 修改权限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人</w:t>
      </w:r>
      <w:r>
        <w:rPr>
          <w:rFonts w:ascii="Microsoft YaHei" w:hAnsi="Microsoft YaHei" w:eastAsia="Microsoft YaHei"/>
          <w:b w:val="0"/>
          <w:sz w:val="21"/>
        </w:rPr>
        <w:t>：任何时候可发起、审批、执行版本变更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AI</w:t>
      </w:r>
      <w:r>
        <w:rPr>
          <w:rFonts w:ascii="Microsoft YaHei" w:hAnsi="Microsoft YaHei" w:eastAsia="Microsoft YaHei"/>
          <w:b w:val="0"/>
          <w:sz w:val="21"/>
        </w:rPr>
        <w:t>：只能</w:t>
      </w:r>
      <w:r>
        <w:rPr>
          <w:rFonts w:ascii="Microsoft YaHei" w:hAnsi="Microsoft YaHei" w:eastAsia="Microsoft YaHei"/>
          <w:b/>
          <w:sz w:val="21"/>
        </w:rPr>
        <w:t>提议</w:t>
      </w:r>
      <w:r>
        <w:rPr>
          <w:rFonts w:ascii="Microsoft YaHei" w:hAnsi="Microsoft YaHei" w:eastAsia="Microsoft YaHei"/>
          <w:b w:val="0"/>
          <w:sz w:val="21"/>
        </w:rPr>
        <w:t>变更（写入改进日志），经人确认后才能执行版本修改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1"/>
      </w:pPr>
      <w:r>
        <w:t>六、文件信息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20"/>
            <w:shd w:fill="1A1A2E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文件名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分析的规则红线--Claude_v1.3.docx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存储路径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C:\Users\34269\Documents\Claude\股票分析\规则红线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v1.3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最后更新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2026-05-22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更新人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Claude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关联CHANGELOG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分析的规则红线--Claude_CHANGELOG.md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文档版本索引.md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