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48"/>
          <w:b/>
          <w:color w:val="1A1A2E"/>
        </w:rPr>
        <w:t>次日后评估白皮书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36"/>
          <w:b/>
          <w:color w:val="16213E"/>
        </w:rPr>
        <w:t>v1.0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22"/>
          <w:color w:val="666666"/>
        </w:rPr>
        <w:t>铁律量化 - 次日归因与反馈引擎 版本:v1.0 2026-05-21</w:t>
      </w:r>
    </w:p>
    <w:p>
      <w:pPr>
        <w:spacing w:line="360" w:lineRule="auto"/>
      </w:pP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版本历史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版本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日期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作者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变更内容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2026-05-21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Claude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初始版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第一章 评估体系总纲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1.1 核心定位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次日后评估是评分质量检验+规则有效性验证+逻辑迭代驱动三位一体的优化引擎。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1.2 核心指标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公式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目标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次日胜率 盈利次数/总推荐次数 &gt;=60%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次日盈亏比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总盈利/总亏损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&gt;=1.5:1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超额收益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组合收益-沪深300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&gt;0%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维度误判率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高分但亏损&gt;3%/高分总次数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&lt;=20%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第二章 数据采集与比对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2.1 数据获取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数据项</w:t>
            </w:r>
          </w:p>
        </w:tc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来源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T日推荐列表 荐股报告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T+1日开盘/收盘价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腾讯行情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T+1日沪深300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腾讯行情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T+1日板块指数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东方财富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2.2 模拟交易</w:t>
      </w:r>
    </w:p>
    <w:p>
      <w:pPr>
        <w:spacing w:line="360" w:lineRule="auto"/>
      </w:pPr>
      <w:r>
        <w:rPr>
          <w:rFonts w:eastAsia="Microsoft YaHei"/>
          <w:sz w:val="22"/>
          <w:b/>
        </w:rPr>
        <w:t>买入:开盘价x1.005(含滑点)</w:t>
      </w:r>
    </w:p>
    <w:p>
      <w:pPr>
        <w:spacing w:line="360" w:lineRule="auto"/>
      </w:pPr>
      <w:r>
        <w:rPr>
          <w:rFonts w:eastAsia="Microsoft YaHei"/>
          <w:sz w:val="22"/>
          <w:b/>
        </w:rPr>
        <w:t>卖出:止损/止盈/强制平仓(T+1收盘)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第三章 评分维度回检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3.1 维度误判率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某维度给高分但亏损&gt;3%的次数/该维度高分总次数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误判率</w:t>
            </w:r>
          </w:p>
        </w:tc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判定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&lt;=10% 优秀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10-20%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正常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20-30%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偏高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&gt;30%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失效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3.2 误判类型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类型</w:t>
            </w:r>
          </w:p>
        </w:tc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标记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技术面 TECH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资金面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MONEY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板块面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SECTOR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消息面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NEWS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第四章 规则有效性诊断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绝对否决误杀率=被否决但次日涨&gt;5%/被否决总数。目标&lt;=5%。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趋势豁免:豁免组胜率&gt;=65%有效,&lt;50%失效。巨量惩罚:量比&gt;12封顶。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第五章 逻辑迭代引擎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5.1 参数映射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参数</w:t>
            </w:r>
          </w:p>
        </w:tc>
        <w:tc>
          <w:tcPr>
            <w:shd w:val="clear" w:color="auto" w:fill="1A1A2E"/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监控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推荐阈值 70-79分段胜率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PE否决阈值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PE否决误杀率</w:t>
            </w:r>
          </w:p>
        </w:tc>
      </w:tr>
      <w:tr>
        <w:trPr>
          <w:jc w:val="center"/>
        </w:trPr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ATR止损倍数</w:t>
            </w:r>
          </w:p>
        </w:tc>
        <w:tc>
          <w:tcPr>
            <w:tcW w:w="475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止损触发率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5.2 版本升级决策树</w:t>
      </w:r>
    </w:p>
    <w:p>
      <w:pPr>
        <w:spacing w:line="360" w:lineRule="auto"/>
      </w:pPr>
      <w:r>
        <w:rPr>
          <w:rFonts w:eastAsia="Microsoft YaHei"/>
          <w:sz w:val="22"/>
          <w:b/>
        </w:rPr>
        <w:t>参数微调&lt;=10%不升版本;次版本AI建议人工确认;主版本人工审核。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第六章 数据存储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records.csv/summary.csv/issues.csv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第七章 优化决策流程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触发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标准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动作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胜率警告 连续2周&lt;40% 暂停排查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维度失效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误判率&gt;20%连3天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触发重构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Bdr>
          <w:top w:val="single" w:sz="6" w:space="4" w:color="CCCCCC"/>
        </w:pBdr>
        <w:jc w:val="center"/>
      </w:pPr>
      <w:r>
        <w:rPr>
          <w:rFonts w:eastAsia="Microsoft YaHei"/>
          <w:sz w:val="18"/>
          <w:color w:val="999999"/>
        </w:rPr>
        <w:t>铁律量化 v1.0 2026-05-21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●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eastAsia="Microsoft YaHei"/>
      <w:sz w:val="22"/>
    </w:rPr>
  </w:style>
  <w:style w:type="paragraph" w:styleId="Heading1">
    <w:name w:val="heading 1"/>
    <w:pPr>
      <w:spacing w:before="240" w:after="120"/>
    </w:pPr>
    <w:rPr>
      <w:rFonts w:eastAsia="Microsoft YaHei"/>
      <w:sz w:val="36"/>
      <w:b/>
      <w:color w:val="1A1A2E"/>
    </w:rPr>
  </w:style>
  <w:style w:type="paragraph" w:styleId="Heading2">
    <w:name w:val="heading 2"/>
    <w:pPr>
      <w:spacing w:before="200" w:after="100"/>
    </w:pPr>
    <w:rPr>
      <w:rFonts w:eastAsia="Microsoft YaHei"/>
      <w:sz w:val="28"/>
      <w:b/>
      <w:color w:val="16213E"/>
    </w:rPr>
  </w:style>
  <w:style w:type="table" w:styleId="TableGrid">
    <w:name w:val="Table Grid"/>
    <w:pPr>
      <w:spacing w:after="0"/>
    </w:pPr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