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48"/>
          <w:b/>
          <w:color w:val="1A1A2E"/>
        </w:rPr>
        <w:t>次日后评估白皮书</w:t>
      </w: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36"/>
          <w:b/>
          <w:color w:val="16213E"/>
        </w:rPr>
        <w:t>v1.3</w:t>
      </w:r>
    </w:p>
    <w:p>
      <w:pPr>
        <w:spacing w:line="360" w:lineRule="auto"/>
      </w:pPr>
    </w:p>
    <w:p>
      <w:pPr>
        <w:jc w:val="center"/>
      </w:pPr>
      <w:r>
        <w:rPr>
          <w:rFonts w:eastAsia="Microsoft YaHei"/>
          <w:sz w:val="22"/>
          <w:color w:val="666666"/>
        </w:rPr>
        <w:t>铁律量化 · 次日归因与反馈引擎 · 自我迭代</w:t>
      </w:r>
    </w:p>
    <w:p>
      <w:pPr>
        <w:jc w:val="center"/>
      </w:pPr>
      <w:r>
        <w:rPr>
          <w:rFonts w:eastAsia="Microsoft YaHei"/>
          <w:sz w:val="20"/>
          <w:color w:val="666666"/>
        </w:rPr>
        <w:t>版本：v1.3 | 2026-05-22 | 调度：N日20:00分析→N+1日19:00评估→20:00新版分析</w:t>
      </w:r>
    </w:p>
    <w:p>
      <w:pPr>
        <w:spacing w:line="360" w:lineRule="auto"/>
      </w:pP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版本历史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版本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日期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作者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变更内容</w:t>
            </w:r>
          </w:p>
        </w:tc>
        <w:tc>
          <w:tcPr>
            <w:shd w:val="clear" w:color="auto" w:fill="1A1A2E"/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变更原因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v1.3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2026-05-22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Claude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新增第7.4节外部知识融合（月度搜索+对比融合）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评估体系需要外部知识输入，避免闭门造车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v1.2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2026-05-21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Claude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新增误判子类型分拆（3.4节）；新增对照组评估（4.4节）；新增自动化回测引擎（5.5节）；更新优化决策流程（7.1节新增自我迭代触发项）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评估体系需要自我迭代能力，不能只评估推荐结果而不评估评估方法本身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v1.1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2026-05-21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Claude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对齐自动化调度时间线；新增评估报告命名规范；明确自动优化流程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配合 daily_workflow.ps1 定时调度框架，确保评估→优化→新版本分析无缝衔接</w:t>
            </w:r>
          </w:p>
        </w:tc>
      </w:tr>
      <w:tr>
        <w:trPr>
          <w:jc w:val="center"/>
        </w:trPr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v1.0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2026-05-21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Claude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初始版。基于评估白皮书v1.2重构，聚焦次日归因闭环</w:t>
            </w:r>
          </w:p>
        </w:tc>
        <w:tc>
          <w:tcPr>
            <w:tcW w:w="1900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评估v1.2缺少从评估到逻辑优化的直接反馈链路</w:t>
            </w:r>
          </w:p>
        </w:tc>
      </w:tr>
    </w:tbl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第一章 评估体系总纲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1.1 核心定位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次日后评估是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1.2 核心指标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指标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公式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目标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说明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次日胜率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盈利次数/总推荐次数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≥60%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按T+1收盘价计，含滑点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次日盈亏比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总盈利/总亏损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≥1.5:1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含次数权重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组合次日收益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Σ收益率/推荐只数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等权组合视角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超额收益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组合收益-沪深300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跑赢大盘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评分区分度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≥70分组vs&lt;70分组胜率差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≥15%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高分股确实更好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维度误判率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某维度高分但亏损&gt;3%次数/高分总次数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≤20%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识别评分偏差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否决误杀率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被否股次日涨&gt;5%只数/被否总只数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≤15%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否决是否过严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豁免成功率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豁免股盈利比例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≥65%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豁免条件是否有效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1.3 自动化调度时间线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时间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任务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模式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开盘检查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N日 20:00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每日荐股分析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daily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✅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N+1日 19:00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次日后评估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eval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✅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N+1日 20:00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每日荐股分析(新版)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daily_latest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✅</w:t>
            </w:r>
          </w:p>
        </w:tc>
      </w:tr>
    </w:tbl>
    <w:p>
      <w:pPr>
        <w:spacing w:line="360" w:lineRule="auto"/>
        <w:jc w:val="both"/>
      </w:pPr>
      <w:r>
        <w:rPr>
          <w:rFonts w:eastAsia="Microsoft YaHei"/>
          <w:sz w:val="22"/>
        </w:rPr>
        <w:t>每个任务内建开盘判断(is_market_open.ps1)，非交易日自动跳过。评估完成后自动优化白皮书，1小时后(20:00)新版分析使用优化后参数。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1.4 评估报告命名规范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评估报告统一命名为 评估报告_YYYYMMDD.docx，其中YYYYMMDD为被评估的荐股日期(N日)。存储于事后评估目录。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第二章 次日数据采集与比对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2.1 数据获取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数据项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来源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用途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T日推荐列表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T日荐股报告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评估对象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T日评分明细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评分系统输出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归因基准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T+1日开盘价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腾讯行情[1]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模拟买入价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T+1日收盘价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腾讯行情[1]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模拟卖出价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T+1日最高/最低价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腾讯行情[1]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止损触发判断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T+1日成交量/换手率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腾讯行情[1]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量能验证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T+1日沪深300涨跌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腾讯行情[1]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大盘对照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T+1日板块指数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东方财富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板块验证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2.2 模拟交易计算</w:t>
      </w:r>
    </w:p>
    <w:p>
      <w:pPr>
        <w:spacing w:line="360" w:lineRule="auto"/>
      </w:pPr>
      <w:r>
        <w:rPr>
          <w:rFonts w:eastAsia="Microsoft YaHei"/>
          <w:sz w:val="22"/>
          <w:b/>
        </w:rPr>
        <w:t>买入：正常开盘→开盘价×1.005(含0.5%滑点)。一字涨停→标记无法成交。开盘跌&gt;3%→标记异常。</w:t>
      </w:r>
    </w:p>
    <w:p>
      <w:pPr>
        <w:spacing w:line="360" w:lineRule="auto"/>
      </w:pPr>
      <w:r>
        <w:rPr>
          <w:rFonts w:eastAsia="Microsoft YaHei"/>
          <w:sz w:val="22"/>
          <w:b/>
        </w:rPr>
        <w:t>卖出(优先级)：1)止损触发→触发价卖出(止损价=买入价-2×ATR(14)，上限-8%)；2)盈利&gt;10%后收盘破MA5→次日开盘卖出；3)大盘跌&gt;3%→当日收盘卖出；4)均未触发→T+1日收盘价卖出。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第三章 评分维度回检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3.1 维度误判率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维度误判率=某维度给高分(高于满分60%)且亏损&gt;3%次数/该维度高分总次数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误判率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判定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操作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≤10% 优秀 维持权重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10-20%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正常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关注趋势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20-30%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偏高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连续5日超20%→触发维度重构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&gt;30%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失效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立即暂停维度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3.2 误判类型标记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误判维度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标记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典型场景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技术面 TECH_MISJUDGE 均线多头但破位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资金面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MONEY_MISJUDGE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资金流入但主力出货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板块面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SECTOR_MISJUDGE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判断潜伏但板块大跌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消息面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NEWS_MISJUDGE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催化预期落空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3.3 相关系数(周更)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每周计算各维度评分与次日涨跌幅的Spearman相关系数。ρ&gt;0.3有效→权重上调；0.1-0.3弱相关→维持；&lt;0.1无预测力→重构；&lt;0反向指标→立即暂停。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3.4 误判子类型分析(v1.2新增)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核心思路：同一维度内不同误判原因命中率差异很大，只有拆到子类型级别才能精准关闭失效信号。亏损&gt;3%时需同时标注维度级和子类型级误判标记。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维度级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子类型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标记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典型场景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技术面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均线多头假突破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TECH_FAKE_BREAK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均线刚多头次日破位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技术面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量价背离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TECH_DIVERGENCE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放量不涨/缩量上涨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技术面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RSI钝化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TECH_RSI_BLUNT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RSI&gt;60钝化后回落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技术面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MACD假金叉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TECH_FAKE_GOLDEN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DIF上穿DEA后立即死叉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资金面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主力假流入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MONEY_FAKE_INFLOW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大单净买但小单净卖更大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资金面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尾盘拉升出货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MONEY_CLOSE_PUMP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收盘前拉升但全天净流出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潜伏期误判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SECTOR_EARLY_MISS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判断潜伏实际仍在下跌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板块面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启动期夭折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SECTOR_ABORT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启动后立即回调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消息面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催化落空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NEWS_FAIL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催化剂取消或远低于预期</w:t>
            </w:r>
          </w:p>
        </w:tc>
      </w:tr>
    </w:tbl>
    <w:p>
      <w:pPr>
        <w:spacing w:line="360" w:lineRule="auto"/>
        <w:jc w:val="both"/>
      </w:pPr>
      <w:r>
        <w:rPr>
          <w:rFonts w:eastAsia="Microsoft YaHei"/>
          <w:sz w:val="22"/>
        </w:rPr>
        <w:t>子类型命中率=该子类型标记次数/对应评分信号出现总次数。≤10%维持，10-20%观察，20-30%信号降权50%，&gt;30%立即暂停。被暂停的信号在后续30日命中率降至≤15%后可自动恢复。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第四章 规则有效性诊断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4.1 否决规则验证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绝对否决误杀率=被否决但次日涨&gt;5%只数/被否决总只数。目标≤5%，连续3日&gt;5%审查阈值。条件否决：记录被条件否决标的次日表现，否决平均涨幅vs推荐平均涨幅，差值&gt;3%说明阈值过严。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4.2 趋势豁免评估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豁免组胜率≥65%有效；&lt;50%失效；连续3天低于非豁免组10%→暂停豁免功能。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4.3 分市场阶段分析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按牛/震荡/熊三阶段拆分胜率，识别评分体系在不同市场环境下的表现差异。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4.4 对照组评估(v1.2新增)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每日同时评估三组：推荐池(期望≥60%)、被否决池(期望≤40%)、全市场基准(≈50%)。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指标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公式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目标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预警值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否决有效度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推荐胜率-否决池胜率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≥20%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&lt;10%连续5日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评分区分度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推荐胜率-全市场胜率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≥10%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&lt;5%连续5日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否决误杀率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否决池涨&gt;5%占比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≤15%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&gt;15%连续3日</w:t>
            </w:r>
          </w:p>
        </w:tc>
      </w:tr>
    </w:tbl>
    <w:p>
      <w:pPr>
        <w:spacing w:line="360" w:lineRule="auto"/>
        <w:jc w:val="both"/>
      </w:pPr>
      <w:r>
        <w:rPr>
          <w:rFonts w:eastAsia="Microsoft YaHei"/>
          <w:sz w:val="22"/>
        </w:rPr>
        <w:t>否决有效度&lt;10%→暂停区分度最低的否决条件。评分区分度&lt;5%→全面审查六维评分。否决池跑赢推荐池→立即暂停所有否决条件。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第五章 逻辑迭代引擎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5.1 参数映射表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逻辑参数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监控指标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调整规则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推荐阈值(牛70/震65/熊60)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70-79分段胜率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连续5日&lt;55%→+3；&gt;75%→-3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涨幅否决阈值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被否决股后续表现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误杀率&gt;5%→放宽10%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PE否决阈值(科技80/消费50/金融15)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PE否决误杀率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误杀率&gt;5%→行业阈值+10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ATR止损倍数(牛2.5/震2.0/熊1.5)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止损触发率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触发率&gt;40%→扩大倍数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量比封顶阈值(当前12)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封顶误杀率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误杀≥2只/天连3天→上调至15/20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均线收敛间距(&lt;1%)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方向正确率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&lt;60%→放宽至&lt;2%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连续流入天数(3/5日)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资金面评分胜率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&lt;50%→缩短天数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5.2 版本升级决策树</w:t>
      </w:r>
    </w:p>
    <w:p>
      <w:pPr>
        <w:spacing w:line="360" w:lineRule="auto"/>
      </w:pPr>
      <w:r>
        <w:rPr>
          <w:rFonts w:eastAsia="Microsoft YaHei"/>
          <w:sz w:val="22"/>
          <w:b/>
        </w:rPr>
        <w:t>参数微调(不升版本)：单阈值调整≤10%，不改变评分逻辑结构，连续5日以上数据支撑。AI自动执行。</w:t>
      </w:r>
    </w:p>
    <w:p>
      <w:pPr>
        <w:spacing w:line="360" w:lineRule="auto"/>
      </w:pPr>
      <w:r>
        <w:rPr>
          <w:rFonts w:eastAsia="Microsoft YaHei"/>
          <w:sz w:val="22"/>
          <w:b/>
        </w:rPr>
        <w:t>次版本升级(v1.x→v1.x+1)：AI提建议人工确认。触发：维度误判率&gt;20%连续5日/评分区分度&lt;10%连续5日/胜率&lt;50%连续一周。</w:t>
      </w:r>
    </w:p>
    <w:p>
      <w:pPr>
        <w:spacing w:line="360" w:lineRule="auto"/>
      </w:pPr>
      <w:r>
        <w:rPr>
          <w:rFonts w:eastAsia="Microsoft YaHei"/>
          <w:sz w:val="22"/>
          <w:b/>
        </w:rPr>
        <w:t>主版本升级(v1.x→v2.0)：必须人工审核。触发：月度胜率&lt;45%/多维度同时失效/市场结构变化。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5.3 灰度测试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阶段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时长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操作</w:t>
            </w:r>
          </w:p>
        </w:tc>
        <w:tc>
          <w:tcPr>
            <w:shd w:val="clear" w:color="auto" w:fill="1A1A2E"/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切换条件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并行运行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5个交易日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新旧规则同时评分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-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数据对比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第6日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对比新旧规则胜率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新规则≥旧规则+5%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正式切换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对比次日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旧规则下线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人工确认</w:t>
            </w:r>
          </w:p>
        </w:tc>
      </w:tr>
      <w:tr>
        <w:trPr>
          <w:jc w:val="center"/>
        </w:trPr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跟踪确认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切换后10日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监控新规则胜率</w:t>
            </w:r>
          </w:p>
        </w:tc>
        <w:tc>
          <w:tcPr>
            <w:tcW w:w="2375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无明显下降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5.4 自动化回测引擎(v1.2新增)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每次参数修改前先用历史数据验证。回测流程：加载历史数据→用新参数重新评分→对比新旧参数结果→输出回测报告。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可回测参数：PE否决阈值、涨幅否决阈值、ATR止损倍数、量比封顶阈值、均线收敛间距、连续流入天数、子类型信号权重。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自动触发条件：维度误判率&gt;20%连3日自动回测子信号权重调整、否决有效度&lt;10%连3日自动回测否决阈值、子类型命中率&gt;30%自动回测剔除效果、每月1日全参数回测扫描。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每次回测生成回测记录(backtest_log.csv)，包含参数名称、新旧值、回测胜率对比、提升幅度。没有回测数据的参数变更不被允许。</w:t>
      </w:r>
    </w:p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第六章 数据存储与版本管理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6.1 评估记录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records.csv: 逐日评估明细(股票/评分/买入价/卖出价/收益率/误判维度/误判子类型/否决类型等)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summary.csv: 按周/月汇总(胜率/盈亏比/超额收益/各维度误判率/否决有效度/评分区分度)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issues.csv: 问题跟踪(描述/严重程度/优先级/状态/验证结果)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backtest_log.csv: 回测记录(参数名称/新旧值/数据范围/胜率对比/提升幅度/采纳状态)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6.2 数据积累里程碑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时段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最少数据量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可执行分析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第1周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≥15条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基础胜率统计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第1个月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≥60条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维度相关性分析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第2个月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≥120条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否决条件定量优化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第3个月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≥180条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权重调整+子类型命中率稳定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第6个月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≥360条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分市场阶段最优参数组合</w:t>
            </w:r>
          </w:p>
        </w:tc>
      </w:tr>
    </w:tbl>
    <w:p>
      <w:pPr>
        <w:spacing w:line="360" w:lineRule="auto"/>
      </w:pPr>
    </w:p>
    <w:p>
      <w:pPr>
        <w:pStyle w:val="Heading1"/>
      </w:pPr>
      <w:r>
        <w:rPr>
          <w:rFonts w:eastAsia="Microsoft YaHei"/>
          <w:sz w:val="36"/>
          <w:b/>
          <w:color w:val="1A1A2E"/>
        </w:rPr>
        <w:t>第七章 优化决策流程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7.1 触发条件</w:t>
      </w:r>
    </w:p>
    <w:tbl>
      <w:tblPr>
        <w:tblStyle w:val="TableGrid"/>
        <w:tblW w:w="9500" w:type="dxa"/>
        <w:jc w:val="center"/>
      </w:tblPr>
      <w:tr>
        <w:trPr>
          <w:jc w:val="center"/>
        </w:trPr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触发条件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判定标准</w:t>
            </w:r>
          </w:p>
        </w:tc>
        <w:tc>
          <w:tcPr>
            <w:shd w:val="clear" w:color="auto" w:fill="1A1A2E"/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  <w:b/>
                <w:color w:val="FFFFFF"/>
              </w:rPr>
              <w:t>响应动作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胜率警告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连续2周&lt;40%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暂停策略全面排查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回撤警告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单周组合&lt;-10%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暂停策略全面排查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维度失效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误判率&gt;20%连续3天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触发维度重构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否决有效度低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有效度&lt;10%连续5日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暂停区分度最低否决条件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评分区分度低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区分度&lt;5%连续5日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全面审查相关系数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子类型命中率偏高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命中率&gt;20%连续5日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信号降权50%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子类型命中率失效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命中率&gt;30%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立即暂停该信号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否决池跑赢推荐池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否决有效度为负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暂停所有否决条件逐一回测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全参数回测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每月1日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对所有可调参数执行回测扫描</w:t>
            </w:r>
          </w:p>
        </w:tc>
      </w:tr>
      <w:tr>
        <w:trPr>
          <w:jc w:val="center"/>
        </w:trPr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月度体检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月度胜率&lt;50%</w:t>
            </w:r>
          </w:p>
        </w:tc>
        <w:tc>
          <w:tcPr>
            <w:tcW w:w="3167" w:type="dxa"/>
          </w:tcPr>
          <w:p>
            <w:pPr>
              <w:jc w:val="center"/>
            </w:pPr>
            <w:r>
              <w:rPr>
                <w:rFonts w:eastAsia="Microsoft YaHei"/>
                <w:sz w:val="18"/>
              </w:rPr>
              <w:t>全面审视</w:t>
            </w:r>
          </w:p>
        </w:tc>
      </w:tr>
    </w:tbl>
    <w:p>
      <w:pPr>
        <w:pStyle w:val="Heading2"/>
      </w:pPr>
      <w:r>
        <w:rPr>
          <w:rFonts w:eastAsia="Microsoft YaHei"/>
          <w:sz w:val="28"/>
          <w:b/>
          <w:color w:val="16213E"/>
        </w:rPr>
        <w:t>7.2 假设-验证-切换流程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Step1假设→Step2回测(≥10日历史)→Step3灰度(新旧并行1周)→Step4切换(胜率提升≥5%且盈亏比不降)→Step5跟踪(切换后2周确认)。异常回滚：新规则胜率低于旧规则→回退参数重新分析。</w:t>
      </w:r>
    </w:p>
    <w:p>
      <w:pPr>
        <w:pStyle w:val="Heading2"/>
      </w:pPr>
      <w:r>
        <w:rPr>
          <w:rFonts w:eastAsia="Microsoft YaHei"/>
          <w:sz w:val="28"/>
          <w:b/>
          <w:color w:val="16213E"/>
        </w:rPr>
        <w:t>7.4 外部知识融合（月度大循环）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核心思路：当前评估体系的自我迭代完全依赖内部数据，月度外部知识融合打破这个闭环，主动获取外部知识。每月初搜索业界新方法，与当前体系对比融合。外部调研结果直接输入§7.2 Step1「假设」环节。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7.4.1 搜索策略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中文：A股短线技术指标有效性实证、量化选股因子衰减T+1研究、资金流向量价分析预测能力、止损策略最优参数回测对比、评分模型区分度检验方法。英文：short-term signal effectiveness A-share, technical indicator predictive power China, factor decay short-term quantitative trading.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7.4.2 融合流程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搜索→阅读摘要→对比当前体系→生成采纳建议→记录到外部知识调研日志。每种发现包含核心发现、与当前体系差异、适用性评估、对接环节、采纳建议。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7.4.3 与内部评估的协作关系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外部方法→回测验证(§5.5)→灰度测试(§5.3)→正式切换。新方法进入候选信号列表等待内部数据验证；参数优化方向直接回测验证；已在用的方法记录无需变更；冲突方法设计对照实验验证。</w:t>
      </w:r>
    </w:p>
    <w:p>
      <w:pPr>
        <w:pStyle w:val="Heading3"/>
      </w:pPr>
      <w:r>
        <w:rPr>
          <w:rFonts w:eastAsia="Microsoft YaHei"/>
          <w:sz w:val="24"/>
          <w:b/>
          <w:color w:val="333333"/>
        </w:rPr>
        <w:t>7.4.4 调度与存储</w:t>
      </w:r>
    </w:p>
    <w:p>
      <w:pPr>
        <w:spacing w:line="360" w:lineRule="auto"/>
        <w:jc w:val="both"/>
      </w:pPr>
      <w:r>
        <w:rPr>
          <w:rFonts w:eastAsia="Microsoft YaHei"/>
          <w:sz w:val="22"/>
        </w:rPr>
        <w:t>通过定时任务每月1日触发，与重点股票后评估系统共用月度调研任务。调研记录追加写入逻辑积累\元评估\外部知识调研日志.md。外部方法经初步评估后进入候选信号.json。</w:t>
      </w:r>
    </w:p>
    <w:p>
      <w:pPr>
        <w:spacing w:line="360" w:lineRule="auto"/>
      </w:pPr>
    </w:p>
    <w:p>
      <w:pPr>
        <w:spacing w:line="360" w:lineRule="auto"/>
      </w:pPr>
    </w:p>
    <w:p>
      <w:pPr>
        <w:pBdr>
          <w:top w:val="single" w:sz="6" w:space="4" w:color="CCCCCC"/>
        </w:pBdr>
        <w:jc w:val="center"/>
      </w:pPr>
      <w:r>
        <w:rPr>
          <w:rFonts w:eastAsia="Microsoft YaHei"/>
          <w:sz w:val="18"/>
          <w:color w:val="999999"/>
        </w:rPr>
        <w:t>本评估体系为铁律量化选股系统配套文档。所有优化决策必须有数据支撑。</w:t>
      </w:r>
    </w:p>
    <w:p>
      <w:pPr>
        <w:jc w:val="center"/>
      </w:pPr>
      <w:r>
        <w:rPr>
          <w:rFonts w:eastAsia="Microsoft YaHei"/>
          <w:sz w:val="18"/>
          <w:color w:val="999999"/>
        </w:rPr>
        <w:t>版本：v1.3 | 2026-05-22 | 铁律量化</w:t>
      </w:r>
    </w:p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eastAsia="Microsoft YaHei"/>
      <w:sz w:val="22"/>
    </w:rPr>
  </w:style>
  <w:style w:type="paragraph" w:styleId="Heading1">
    <w:name w:val="heading 1"/>
    <w:pPr>
      <w:spacing w:before="240" w:after="120"/>
    </w:pPr>
    <w:rPr>
      <w:rFonts w:eastAsia="Microsoft YaHei"/>
      <w:sz w:val="36"/>
      <w:b/>
      <w:color w:val="1A1A2E"/>
    </w:rPr>
  </w:style>
  <w:style w:type="paragraph" w:styleId="Heading2">
    <w:name w:val="heading 2"/>
    <w:pPr>
      <w:spacing w:before="200" w:after="100"/>
    </w:pPr>
    <w:rPr>
      <w:rFonts w:eastAsia="Microsoft YaHei"/>
      <w:sz w:val="28"/>
      <w:b/>
      <w:color w:val="16213E"/>
    </w:rPr>
  </w:style>
  <w:style w:type="paragraph" w:styleId="Heading3">
    <w:name w:val="heading 3"/>
    <w:pPr>
      <w:spacing w:before="160" w:after="80"/>
    </w:pPr>
    <w:rPr>
      <w:rFonts w:eastAsia="Microsoft YaHei"/>
      <w:sz w:val="24"/>
      <w:b/>
      <w:color w:val="333333"/>
    </w:rPr>
  </w:style>
  <w:style w:type="table" w:styleId="TableGrid">
    <w:name w:val="Table Grid"/>
    <w:pPr>
      <w:spacing w:after="0"/>
    </w:pPr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