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rFonts w:eastAsia="Microsoft YaHei"/>
          <w:sz w:val="36"/>
          <w:b/>
          <w:color w:val="1A1A2E"/>
        </w:rPr>
        <w:t>版本历史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版本</w:t>
            </w:r>
          </w:p>
        </w:tc>
        <w:tc>
          <w:tcPr>
            <w:shd w:val="clear" w:fill="1A1A2E"/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日期</w:t>
            </w:r>
          </w:p>
        </w:tc>
        <w:tc>
          <w:tcPr>
            <w:shd w:val="clear" w:fill="1A1A2E"/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作者</w:t>
            </w:r>
          </w:p>
        </w:tc>
        <w:tc>
          <w:tcPr>
            <w:shd w:val="clear" w:fill="1A1A2E"/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变更内容</w:t>
            </w:r>
          </w:p>
        </w:tc>
      </w:tr>
      <w:tr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v2.0 2026-05-21 Claude 全重构:新增股票池/板块分析/组合规则/自适应。修复6项缺陷</w:t>
            </w:r>
          </w:p>
        </w:tc>
      </w:tr>
      <w:tr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v1.0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2026-05-21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Claude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初始:六维评分/ATR止损/行业PE否决</w:t>
            </w:r>
          </w:p>
        </w:tc>
      </w:tr>
    </w:tbl>
    <w:p>
      <w:pPr>
        <w:spacing w:line="360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第一章 股票池管理体系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1.1 概述</w:t>
      </w:r>
    </w:p>
    <w:p>
      <w:pPr>
        <w:spacing w:line="360"/>
        <w:jc w:val="both"/>
      </w:pPr>
      <w:r>
        <w:rPr>
          <w:rFonts w:eastAsia="Microsoft YaHei"/>
          <w:sz w:val="22"/>
        </w:rPr>
        <w:t>股票池是量化选股基础。通过五级池分级管理，将全市场5000+只逐步缩小到可跟踪可分析范畴。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1.2 五级池架构</w:t>
      </w:r>
    </w:p>
    <w:p>
      <w:pPr>
        <w:spacing w:line="360"/>
        <w:jc w:val="both"/>
      </w:pPr>
      <w:r>
        <w:rPr>
          <w:rFonts w:eastAsia="Microsoft YaHei"/>
          <w:sz w:val="22"/>
        </w:rPr>
        <w:t>全市场池(~5100)-&gt;剔除ST/*ST/退市/停牌&gt;30日/上市&lt;60日/净资产为负/营收&lt;1亿/市值&lt;30亿-&gt;基础池(~800)-&gt;筛选市值&gt;50亿/日均成交&gt;5000万/非金融覆盖-&gt;核心观察池(80-120)-&gt;每日过筛-&gt;精选推荐池(30-50)-&gt;触发否决-&gt;剔除冻结池(季度复审)</w:t>
      </w:r>
    </w:p>
    <w:p>
      <w:pPr>
        <w:pStyle w:val="Heading3"/>
      </w:pPr>
      <w:r>
        <w:rPr>
          <w:rFonts w:eastAsia="Microsoft YaHei"/>
          <w:sz w:val="24"/>
          <w:b/>
          <w:color w:val="333"/>
        </w:rPr>
        <w:t>1.2.1 刚性剔除</w:t>
      </w:r>
    </w:p>
    <w:p>
      <w:pPr>
        <w:spacing w:line="360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ST/*ST/退市整理-&gt;剔除</w:t>
      </w:r>
    </w:p>
    <w:p>
      <w:pPr>
        <w:spacing w:line="360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连续停牌&gt;30日-&gt;剔除</w:t>
      </w:r>
    </w:p>
    <w:p>
      <w:pPr>
        <w:spacing w:line="360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上市&lt;60日(次新)-&gt;剔除</w:t>
      </w:r>
    </w:p>
    <w:p>
      <w:pPr>
        <w:spacing w:line="360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净资产为负-&gt;剔除</w:t>
      </w:r>
    </w:p>
    <w:p>
      <w:pPr>
        <w:spacing w:line="360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营收&lt;1亿(非金融)-&gt;剔除</w:t>
      </w:r>
    </w:p>
    <w:p>
      <w:pPr>
        <w:spacing w:line="360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流通市值&lt;30亿-&gt;剔除</w:t>
      </w:r>
    </w:p>
    <w:p>
      <w:pPr>
        <w:pStyle w:val="Heading3"/>
      </w:pPr>
      <w:r>
        <w:rPr>
          <w:rFonts w:eastAsia="Microsoft YaHei"/>
          <w:sz w:val="24"/>
          <w:b/>
          <w:color w:val="333"/>
        </w:rPr>
        <w:t>1.2.2 柔性筛选入核心池</w:t>
      </w:r>
    </w:p>
    <w:p>
      <w:pPr>
        <w:spacing w:line="360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净利润为正+营收正增长+毛利率&gt;15%</w:t>
      </w:r>
    </w:p>
    <w:p>
      <w:pPr>
        <w:spacing w:line="360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每个申万一级行业至少2只</w:t>
      </w:r>
    </w:p>
    <w:p>
      <w:pPr>
        <w:spacing w:line="360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量化评分&gt;50分</w:t>
      </w:r>
    </w:p>
    <w:p>
      <w:pPr>
        <w:spacing w:line="360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近20日日成交&gt;5000万</w:t>
      </w:r>
    </w:p>
    <w:p>
      <w:pPr>
        <w:spacing w:line="360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至少3家券商覆盖(辅助)</w:t>
      </w:r>
    </w:p>
    <w:p>
      <w:pPr>
        <w:pStyle w:val="Heading3"/>
      </w:pPr>
      <w:r>
        <w:rPr>
          <w:rFonts w:eastAsia="Microsoft YaHei"/>
          <w:sz w:val="24"/>
          <w:b/>
          <w:color w:val="333"/>
        </w:rPr>
        <w:t>1.2.3 精选推荐流程</w:t>
      </w:r>
    </w:p>
    <w:p>
      <w:pPr>
        <w:spacing w:line="360"/>
        <w:jc w:val="both"/>
      </w:pPr>
      <w:r>
        <w:rPr>
          <w:rFonts w:eastAsia="Microsoft YaHei"/>
          <w:sz w:val="22"/>
        </w:rPr>
        <w:t>每日收盘后执行:六维评分-&gt;否决检查-&gt;行业平衡-&gt;组合校验。&gt;=70分且未否决-&gt;推荐候选。</w:t>
      </w:r>
    </w:p>
    <w:p>
      <w:pPr>
        <w:pStyle w:val="Heading3"/>
      </w:pPr>
      <w:r>
        <w:rPr>
          <w:rFonts w:eastAsia="Microsoft YaHei"/>
          <w:sz w:val="24"/>
          <w:b/>
          <w:color w:val="333"/>
        </w:rPr>
        <w:t>1.2.4 剔除/冻结池</w:t>
      </w:r>
    </w:p>
    <w:p>
      <w:pPr>
        <w:spacing w:line="360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连续30日评分&lt;50分(季度复审)</w:t>
      </w:r>
    </w:p>
    <w:p>
      <w:pPr>
        <w:spacing w:line="360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触发绝对否决且无法修复-&gt;移入</w:t>
      </w:r>
    </w:p>
    <w:p>
      <w:pPr>
        <w:spacing w:line="360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行业景气度下行-&gt;移入</w:t>
      </w:r>
    </w:p>
    <w:p>
      <w:pPr>
        <w:spacing w:line="360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被风险警示-&gt;即时移入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1.3 核心观察池(42只)</w:t>
      </w:r>
    </w:p>
    <w:p>
      <w:pPr>
        <w:spacing w:line="360"/>
        <w:jc w:val="both"/>
      </w:pPr>
      <w:r>
        <w:rPr>
          <w:rFonts w:eastAsia="Microsoft YaHei"/>
          <w:sz w:val="22"/>
        </w:rPr>
        <w:t>覆盖算力/AI/半导体/网安/制造/新能源/消费。季度审核调整。</w:t>
      </w:r>
    </w:p>
    <w:p>
      <w:pPr>
        <w:pStyle w:val="Heading3"/>
      </w:pPr>
      <w:r>
        <w:rPr>
          <w:rFonts w:eastAsia="Microsoft YaHei"/>
          <w:sz w:val="24"/>
          <w:b/>
          <w:color w:val="333"/>
        </w:rPr>
        <w:t>算力/AI(12只)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代码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名称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行业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603019 中科曙光 算力基础设施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300502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新易盛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光模块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300308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中际旭创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光模块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688041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海光信息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芯片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300394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天孚通信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光器件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688188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柏楚电子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AI工业软件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688111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金山办公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AI办公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300624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万兴科技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AI应用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300418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昆仑万维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AI应用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002230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科大讯飞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AI语音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603986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兆易创新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存储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688008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澜起科技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接口芯片</w:t>
            </w:r>
          </w:p>
        </w:tc>
      </w:tr>
    </w:tbl>
    <w:p>
      <w:pPr>
        <w:spacing w:line="360"/>
      </w:pPr>
    </w:p>
    <w:p>
      <w:pPr>
        <w:pStyle w:val="Heading3"/>
      </w:pPr>
      <w:r>
        <w:rPr>
          <w:rFonts w:eastAsia="Microsoft YaHei"/>
          <w:sz w:val="24"/>
          <w:b/>
          <w:color w:val="333"/>
        </w:rPr>
        <w:t>半导体(8只)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代码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名称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行业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603501 韦尔股份 芯片设计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002371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北方华创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设备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688012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中微公司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设备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300661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圣邦股份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模拟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300782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卓胜微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射频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688981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中芯国际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制造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300604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长川科技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测试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000977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浪潮信息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服务器</w:t>
            </w:r>
          </w:p>
        </w:tc>
      </w:tr>
    </w:tbl>
    <w:p>
      <w:pPr>
        <w:spacing w:line="360"/>
      </w:pPr>
    </w:p>
    <w:p>
      <w:pPr>
        <w:pStyle w:val="Heading3"/>
      </w:pPr>
      <w:r>
        <w:rPr>
          <w:rFonts w:eastAsia="Microsoft YaHei"/>
          <w:sz w:val="24"/>
          <w:b/>
          <w:color w:val="333"/>
        </w:rPr>
        <w:t>网安/数字(5只)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代码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名称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行业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600845 宝信软件 工业互联网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688561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奇安信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网安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300454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深信服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网安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600570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恒生电子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金融科技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002415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海康威视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安防AI</w:t>
            </w:r>
          </w:p>
        </w:tc>
      </w:tr>
    </w:tbl>
    <w:p>
      <w:pPr>
        <w:spacing w:line="360"/>
      </w:pPr>
    </w:p>
    <w:p>
      <w:pPr>
        <w:pStyle w:val="Heading3"/>
      </w:pPr>
      <w:r>
        <w:rPr>
          <w:rFonts w:eastAsia="Microsoft YaHei"/>
          <w:sz w:val="24"/>
          <w:b/>
          <w:color w:val="333"/>
        </w:rPr>
        <w:t>高端制造(5只)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代码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名称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行业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600114 东睦股份 粉末冶金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601689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拓普集团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汽车零件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300274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阳光电源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逆变器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300750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宁德时代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电池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002594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比亚迪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新能源整车</w:t>
            </w:r>
          </w:p>
        </w:tc>
      </w:tr>
    </w:tbl>
    <w:p>
      <w:pPr>
        <w:spacing w:line="360"/>
      </w:pPr>
    </w:p>
    <w:p>
      <w:pPr>
        <w:pStyle w:val="Heading3"/>
      </w:pPr>
      <w:r>
        <w:rPr>
          <w:rFonts w:eastAsia="Microsoft YaHei"/>
          <w:sz w:val="24"/>
          <w:b/>
          <w:color w:val="333"/>
        </w:rPr>
        <w:t>消费/蓝筹(5只)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代码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名称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行业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600519 贵州茅台 白酒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000858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五粮液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白酒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000967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盈峰环境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环保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600036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招商银行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银行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301075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多瑞医药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医药</w:t>
            </w:r>
          </w:p>
        </w:tc>
      </w:tr>
    </w:tbl>
    <w:p>
      <w:pPr>
        <w:spacing w:line="360"/>
      </w:pPr>
    </w:p>
    <w:p>
      <w:pPr>
        <w:pStyle w:val="Heading3"/>
      </w:pPr>
      <w:r>
        <w:rPr>
          <w:rFonts w:eastAsia="Microsoft YaHei"/>
          <w:sz w:val="24"/>
          <w:b/>
          <w:color w:val="333"/>
        </w:rPr>
        <w:t>备用(7只)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代码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名称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行业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002439 启明星辰 网安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688256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寒武纪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AI芯片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002920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德赛西威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汽车电子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300124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汇川技术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工控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002236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大华股份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安防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603160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汇顶科技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指纹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300033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同花顺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金融数据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1.4 行业覆盖要求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板块</w:t>
            </w:r>
          </w:p>
        </w:tc>
        <w:tc>
          <w:tcPr>
            <w:shd w:val="clear" w:fill="1A1A2E"/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最低</w:t>
            </w:r>
          </w:p>
        </w:tc>
        <w:tc>
          <w:tcPr>
            <w:shd w:val="clear" w:fill="1A1A2E"/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仓位上限</w:t>
            </w:r>
          </w:p>
        </w:tc>
        <w:tc>
          <w:tcPr>
            <w:shd w:val="clear" w:fill="1A1A2E"/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说明</w:t>
            </w:r>
          </w:p>
        </w:tc>
      </w:tr>
      <w:tr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算力/AI 8只 15% 主线</w:t>
            </w:r>
          </w:p>
        </w:tc>
      </w:tr>
      <w:tr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半导体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5只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15%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国产替代</w:t>
            </w:r>
          </w:p>
        </w:tc>
      </w:tr>
      <w:tr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网安/数字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3只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15%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政策</w:t>
            </w:r>
          </w:p>
        </w:tc>
      </w:tr>
      <w:tr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高端制造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3只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15%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升级</w:t>
            </w:r>
          </w:p>
        </w:tc>
      </w:tr>
      <w:tr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消费/蓝筹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3只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20%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防御</w:t>
            </w:r>
          </w:p>
        </w:tc>
      </w:tr>
      <w:tr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其他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按需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10%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事件</w:t>
            </w:r>
          </w:p>
        </w:tc>
      </w:tr>
    </w:tbl>
    <w:p>
      <w:pPr>
        <w:spacing w:line="360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第二章 板块行业分析框架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2.1 赛道分类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赛道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申万行业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热度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算力 通信/电子/计算机 高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AI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计算机/传媒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高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半导体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电子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高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高端制造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机械/汽车/电力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中高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新能源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电力设备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中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消费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食品饮料/医药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中低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2.2 板块热度评分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因子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权重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标准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涨跌幅 25% 前5加分后5减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资金净流入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30%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前5加分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政策事件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20%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利好加分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成交占比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15%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提升加分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龙头表现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10%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指引</w:t>
            </w:r>
          </w:p>
        </w:tc>
      </w:tr>
    </w:tbl>
    <w:p>
      <w:pPr>
        <w:spacing w:line="360"/>
      </w:pPr>
      <w:r>
        <w:rPr>
          <w:rFonts w:eastAsia="Microsoft YaHei"/>
          <w:sz w:val="22"/>
          <w:b/>
        </w:rPr>
        <w:t>评级:高(&gt;=80)|中高(60-79)|中(40-59)|低(&lt;40)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2.3 行业专题分析</w:t>
      </w:r>
    </w:p>
    <w:p>
      <w:pPr>
        <w:spacing w:line="360"/>
        <w:jc w:val="both"/>
      </w:pPr>
      <w:r>
        <w:rPr>
          <w:rFonts w:eastAsia="Microsoft YaHei"/>
          <w:sz w:val="22"/>
        </w:rPr>
        <w:t>每日选取评分最高2只股票行业深度分析:政策/技术/产业链。</w:t>
      </w:r>
    </w:p>
    <w:p>
      <w:pPr>
        <w:spacing w:line="360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第三章 六维度评分体系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3.1 总览</w:t>
      </w:r>
    </w:p>
    <w:p>
      <w:pPr>
        <w:spacing w:line="360"/>
        <w:jc w:val="both"/>
      </w:pPr>
      <w:r>
        <w:rPr>
          <w:rFonts w:eastAsia="Microsoft YaHei"/>
          <w:sz w:val="22"/>
        </w:rPr>
        <w:t>总分=基础(10)+基本面(20)+技术(25)+资金(20)+消息(20)+风控(5)=100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范围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评级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操作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&gt;=90 极品 可重仓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&gt;=80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优质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积极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&gt;=70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达标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推荐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60-69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观察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不推荐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&lt;60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否决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不推荐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3.2 基础(10分)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子项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满分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条件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非ST/非亏损 5 正常5分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市值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50-2000亿3分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流动性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日成交&gt;1亿2分</w:t>
            </w:r>
          </w:p>
        </w:tc>
      </w:tr>
    </w:tbl>
    <w:p>
      <w:pPr>
        <w:spacing w:line="360"/>
      </w:pPr>
      <w:r>
        <w:rPr>
          <w:rFonts w:eastAsia="Microsoft YaHei"/>
          <w:sz w:val="22"/>
          <w:b/>
        </w:rPr>
        <w:t>否决:市值&lt;30亿或日成交&lt;3000万-&gt;直接否决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3.3 基本面(20分)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子项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满分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条件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净利润 5 &gt;5亿5分&gt;1亿3分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营收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4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同比&gt;20%4分&gt;10%2分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毛利率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4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&gt;50%4分&gt;30%2分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负债率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4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&lt;30%4分&lt;50%2分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EPS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&gt;2得3分&gt;1得2分</w:t>
            </w:r>
          </w:p>
        </w:tc>
      </w:tr>
    </w:tbl>
    <w:p>
      <w:pPr>
        <w:spacing w:line="360"/>
      </w:pPr>
      <w:r>
        <w:rPr>
          <w:rFonts w:eastAsia="Microsoft YaHei"/>
          <w:sz w:val="22"/>
          <w:b/>
        </w:rPr>
        <w:t>否决:净利连续2季为负或负债率&gt;70%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3.4 技术(25分)</w:t>
      </w:r>
    </w:p>
    <w:p>
      <w:pPr>
        <w:pStyle w:val="Heading3"/>
      </w:pPr>
      <w:r>
        <w:rPr>
          <w:rFonts w:eastAsia="Microsoft YaHei"/>
          <w:sz w:val="24"/>
          <w:b/>
          <w:color w:val="333"/>
        </w:rPr>
        <w:t>3.4.1 均线(8分)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条件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得分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判定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MA5&gt;MA10&gt;MA20&gt;MA60 8 多头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MA5&gt;MA10&gt;MA20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偏强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MA5&gt;MA10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4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中性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MA10&gt;MA5死叉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弱势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MA10&lt;=MA20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0且否决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趋势坏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"/>
        </w:rPr>
        <w:t>3.4.2 RSI(5分)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RSI</w:t>
            </w:r>
          </w:p>
        </w:tc>
        <w:tc>
          <w:tcPr>
            <w:shd w:val="clear" w:fill="1A1A2E"/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得分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40-60 5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30-40/60-70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&lt;30/&gt;70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&gt;80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"/>
        </w:rPr>
        <w:t>3.4.3 MACD(5分)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条件</w:t>
            </w:r>
          </w:p>
        </w:tc>
        <w:tc>
          <w:tcPr>
            <w:shd w:val="clear" w:fill="1A1A2E"/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得分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DIF&gt;DEA&gt;0零轴上金叉 5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DIF&gt;DEA&gt;0减弱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4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DIF&gt;DEA零轴下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DIF&lt;=DEA死叉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"/>
        </w:rPr>
        <w:t>3.4.4 量价配合(4分)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条件</w:t>
            </w:r>
          </w:p>
        </w:tc>
        <w:tc>
          <w:tcPr>
            <w:shd w:val="clear" w:fill="1A1A2E"/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得分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放量上涨(涨&gt;2%量比&gt;1.5) 4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缩量上涨(涨&gt;0量比&lt;1.2)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正常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缩量下跌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放量下跌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"/>
        </w:rPr>
        <w:t>3.4.5 布林带(3分)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条件</w:t>
            </w:r>
          </w:p>
        </w:tc>
        <w:tc>
          <w:tcPr>
            <w:shd w:val="clear" w:fill="1A1A2E"/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得分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中轨-上轨且向上 3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中轨附近走平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中轨-下轨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破下轨/上轨向下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3.5 资金(20分)</w:t>
      </w:r>
    </w:p>
    <w:p>
      <w:pPr>
        <w:spacing w:line="360"/>
      </w:pPr>
      <w:r>
        <w:rPr>
          <w:rFonts w:eastAsia="Microsoft YaHei"/>
          <w:sz w:val="22"/>
          <w:b/>
        </w:rPr>
        <w:t>优先腾讯[1]外盘/内盘(实盘)，东方财富[2]辅助。冲突以腾讯为准。</w:t>
      </w:r>
    </w:p>
    <w:p>
      <w:pPr>
        <w:pStyle w:val="Heading3"/>
      </w:pPr>
      <w:r>
        <w:rPr>
          <w:rFonts w:eastAsia="Microsoft YaHei"/>
          <w:sz w:val="24"/>
          <w:b/>
          <w:color w:val="333"/>
        </w:rPr>
        <w:t>3.5.1 买卖盘比(8分)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买卖比</w:t>
            </w:r>
          </w:p>
        </w:tc>
        <w:tc>
          <w:tcPr>
            <w:shd w:val="clear" w:fill="1A1A2E"/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得分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&gt;1.10 8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1.05-1.10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1.00-1.05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5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0.95-1.00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0.90-0.95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&lt;0.90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"/>
        </w:rPr>
        <w:t>3.5.2 量比趋势(6分)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量比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得分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说明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1.5-5.0 6 温和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1.2-1.5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5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小幅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0.8-1.2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4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正常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5.0-12.0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大幅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&lt;0.8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缩量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&gt;12.0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封顶2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极端</w:t>
            </w:r>
          </w:p>
        </w:tc>
      </w:tr>
    </w:tbl>
    <w:p>
      <w:pPr>
        <w:spacing w:line="360"/>
      </w:pPr>
      <w:r>
        <w:rPr>
          <w:rFonts w:eastAsia="Microsoft YaHei"/>
          <w:sz w:val="22"/>
          <w:b/>
        </w:rPr>
        <w:t>封顶规则:量比&gt;12按8.0-12.0档评2分，防极端量比虚高</w:t>
      </w:r>
    </w:p>
    <w:p>
      <w:pPr>
        <w:pStyle w:val="Heading3"/>
      </w:pPr>
      <w:r>
        <w:rPr>
          <w:rFonts w:eastAsia="Microsoft YaHei"/>
          <w:sz w:val="24"/>
          <w:b/>
          <w:color w:val="333"/>
        </w:rPr>
        <w:t>3.5.3 主力资金(6分)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净买入</w:t>
            </w:r>
          </w:p>
        </w:tc>
        <w:tc>
          <w:tcPr>
            <w:shd w:val="clear" w:fill="1A1A2E"/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得分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&gt;成交额*5% 6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0~5%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4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0~3%流出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&gt;3%流出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3.6 消息(20分)</w:t>
      </w:r>
    </w:p>
    <w:p>
      <w:pPr>
        <w:pStyle w:val="Heading3"/>
      </w:pPr>
      <w:r>
        <w:rPr>
          <w:rFonts w:eastAsia="Microsoft YaHei"/>
          <w:sz w:val="24"/>
          <w:b/>
          <w:color w:val="333"/>
        </w:rPr>
        <w:t>3.6.1 板块热度(8分)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条件</w:t>
            </w:r>
          </w:p>
        </w:tc>
        <w:tc>
          <w:tcPr>
            <w:shd w:val="clear" w:fill="1A1A2E"/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得分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市场主线 8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政策催化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中性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4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冷门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"/>
        </w:rPr>
        <w:t>3.6.2 RS强度(7分)</w:t>
      </w:r>
    </w:p>
    <w:p>
      <w:pPr>
        <w:spacing w:line="360"/>
        <w:jc w:val="both"/>
      </w:pPr>
      <w:r>
        <w:rPr>
          <w:rFonts w:eastAsia="Microsoft YaHei"/>
          <w:sz w:val="22"/>
        </w:rPr>
        <w:t>RS=个股30日涨幅/大盘30日涨幅*100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RS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得分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判定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&gt;120 7 强势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100-120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5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偏强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80-100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跟随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&lt;80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弱势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池后20%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候选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"/>
        </w:rPr>
        <w:t>3.6.3 新闻情绪(5分)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条件</w:t>
            </w:r>
          </w:p>
        </w:tc>
        <w:tc>
          <w:tcPr>
            <w:shd w:val="clear" w:fill="1A1A2E"/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得分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利好 5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中性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轻微利空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重大利空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否决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3.7 风控(5分)</w:t>
      </w:r>
    </w:p>
    <w:p>
      <w:pPr>
        <w:pStyle w:val="Heading3"/>
      </w:pPr>
      <w:r>
        <w:rPr>
          <w:rFonts w:eastAsia="Microsoft YaHei"/>
          <w:sz w:val="24"/>
          <w:b/>
          <w:color w:val="333"/>
        </w:rPr>
        <w:t>3.7.1 30日涨幅(3分)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涨幅</w:t>
            </w:r>
          </w:p>
        </w:tc>
        <w:tc>
          <w:tcPr>
            <w:shd w:val="clear" w:fill="1A1A2E"/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得分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&lt;30% 3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30-50%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&gt;50%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否决</w:t>
            </w:r>
          </w:p>
        </w:tc>
      </w:tr>
    </w:tbl>
    <w:p>
      <w:pPr>
        <w:spacing w:line="360"/>
        <w:jc w:val="both"/>
      </w:pPr>
      <w:r>
        <w:rPr>
          <w:rFonts w:eastAsia="Microsoft YaHei"/>
          <w:sz w:val="22"/>
        </w:rPr>
        <w:t>注:30日涨幅仅作风控评分子项和否决条件，与RS加分不矛盾(不同维度独立指标)。</w:t>
      </w:r>
    </w:p>
    <w:p>
      <w:pPr>
        <w:pStyle w:val="Heading3"/>
      </w:pPr>
      <w:r>
        <w:rPr>
          <w:rFonts w:eastAsia="Microsoft YaHei"/>
          <w:sz w:val="24"/>
          <w:b/>
          <w:color w:val="333"/>
        </w:rPr>
        <w:t>3.7.2 波动率(2分)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20日振幅</w:t>
            </w:r>
          </w:p>
        </w:tc>
        <w:tc>
          <w:tcPr>
            <w:shd w:val="clear" w:fill="1A1A2E"/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得分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&lt;40% 2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40-60%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&gt;60%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</w:t>
            </w:r>
          </w:p>
        </w:tc>
      </w:tr>
    </w:tbl>
    <w:p>
      <w:pPr>
        <w:spacing w:line="360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第四章 一票否决制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4.1 否决与评分关系</w:t>
      </w:r>
    </w:p>
    <w:p>
      <w:pPr>
        <w:spacing w:line="360"/>
        <w:jc w:val="both"/>
      </w:pPr>
      <w:r>
        <w:rPr>
          <w:rFonts w:eastAsia="Microsoft YaHei"/>
          <w:sz w:val="22"/>
        </w:rPr>
        <w:t>否决在评分前执行。触发否决标的不计算分数不推荐。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4.2 绝对否决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条件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阈值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场景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净利亏损 连续2季为负 亏损股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PE泡沫(科技)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PE&gt;80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海光260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中期空头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MA10&lt;=MA20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死叉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短期暴涨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30日涨&gt;50%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中际78%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数据异常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PE无法计算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财报缺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负面事件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立案/造假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新闻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高负债率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&gt;70%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杠杆高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流动性枯竭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日成交&lt;3000万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无人交易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退市风险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ST/*ST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警示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4.3 条件否决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条件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阈值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豁免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PE偏高(科技) PE&gt;120 总分&gt;=85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PE偏高(成长)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PE&gt;80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总分&gt;=90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均线回踩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MA5&lt;MA10*0.99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总分&gt;=85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涨幅过高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见第七章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自适应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RS后20%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RS&lt;80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总分&gt;=85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4.4 PE行业相对阈值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行业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绝对否决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条件否决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科技(AI/算力/半导体) &gt;80 &gt;80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新能源/汽车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&gt;80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&gt;80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消费/蓝筹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&gt;50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&gt;50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金融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&gt;15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&gt;15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网安(亏损)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参考PS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参考PS</w:t>
            </w:r>
          </w:p>
        </w:tc>
      </w:tr>
    </w:tbl>
    <w:p>
      <w:pPr>
        <w:spacing w:line="360"/>
      </w:pPr>
      <w:r>
        <w:rPr>
          <w:rFonts w:eastAsia="Microsoft YaHei"/>
          <w:sz w:val="22"/>
          <w:b/>
        </w:rPr>
        <w:t>PE(TTM)=股价/EPS(TTM)。基于同花顺[3]EPS计算，禁用腾讯静态PE。</w:t>
      </w:r>
    </w:p>
    <w:p>
      <w:pPr>
        <w:spacing w:line="360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第五章 操作指令引擎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5.1 建仓条件(同时满足)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条件</w:t>
            </w:r>
          </w:p>
        </w:tc>
        <w:tc>
          <w:tcPr>
            <w:shd w:val="clear" w:fill="1A1A2E"/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标准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价在建仓区间 [MA10,MA5]或[MA10,前收盘]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量能支撑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成交&gt;MA5均量*1.0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未否决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是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评分&gt;=70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是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大盘允许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非跌&gt;3%日</w:t>
            </w:r>
          </w:p>
        </w:tc>
      </w:tr>
    </w:tbl>
    <w:p>
      <w:pPr>
        <w:spacing w:line="360"/>
      </w:pPr>
      <w:r>
        <w:rPr>
          <w:rFonts w:eastAsia="Microsoft YaHei"/>
          <w:sz w:val="22"/>
          <w:b/>
        </w:rPr>
        <w:t>禁止买入:开盘&gt;MA5+3%(不追高);大盘跌&gt;3%(系统性回避);触发涨幅否决。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5.2 ATR动态止损</w:t>
      </w:r>
    </w:p>
    <w:p>
      <w:pPr>
        <w:spacing w:line="360"/>
        <w:jc w:val="both"/>
      </w:pPr>
      <w:r>
        <w:rPr>
          <w:rFonts w:eastAsia="Microsoft YaHei"/>
          <w:sz w:val="22"/>
        </w:rPr>
        <w:t>止损价=买入价-2*ATR(14)。ATR自适应波动率。硬上限:-8%。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5.3 分级止盈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层级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涨幅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操作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第一 +5% 减50%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第二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+10%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再减50%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第三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+15%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清仓</w:t>
            </w:r>
          </w:p>
        </w:tc>
      </w:tr>
    </w:tbl>
    <w:p>
      <w:pPr>
        <w:spacing w:line="360"/>
        <w:jc w:val="both"/>
      </w:pPr>
      <w:r>
        <w:rPr>
          <w:rFonts w:eastAsia="Microsoft YaHei"/>
          <w:sz w:val="22"/>
        </w:rPr>
        <w:t>移动止盈:达第一止盈后止损上移至买入价。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5.4 动态仓位</w:t>
      </w:r>
    </w:p>
    <w:p>
      <w:pPr>
        <w:spacing w:line="360"/>
        <w:jc w:val="both"/>
      </w:pPr>
      <w:r>
        <w:rPr>
          <w:rFonts w:eastAsia="Microsoft YaHei"/>
          <w:sz w:val="22"/>
        </w:rPr>
        <w:t>基础仓位=总资金*2%*波动系数。低波动(ATR/价&lt;2%)1.5,中(2-5%)1.0,高(&gt;5%)0.5。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5.5 市场调节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市态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总仓位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单只上限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牛市 100% 20%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震荡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80%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15%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熊市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50%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10%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5.6 旁路机制</w:t>
      </w:r>
    </w:p>
    <w:p>
      <w:pPr>
        <w:spacing w:line="360"/>
        <w:jc w:val="both"/>
      </w:pPr>
      <w:r>
        <w:rPr>
          <w:rFonts w:eastAsia="Microsoft YaHei"/>
          <w:sz w:val="22"/>
        </w:rPr>
        <w:t>事件驱动可临时加入。需:明确逻辑+满足刚性+评分&gt;=70+人工确认。日&lt;=2只。</w:t>
      </w:r>
    </w:p>
    <w:p>
      <w:pPr>
        <w:spacing w:line="360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第六章 组合层规则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规则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要求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目的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单行业 &lt;=总数40% 分散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板块交叉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&gt;=2板块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分散alpha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同行业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选最高1-2只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免竞争</w:t>
            </w:r>
          </w:p>
        </w:tc>
      </w:tr>
    </w:tbl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市况</w:t>
            </w:r>
          </w:p>
        </w:tc>
        <w:tc>
          <w:tcPr>
            <w:shd w:val="clear" w:fill="1A1A2E"/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推荐上限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正常 &lt;=5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震荡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3-5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熊市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2-3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特殊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&lt;=8(备注)</w:t>
            </w:r>
          </w:p>
        </w:tc>
      </w:tr>
    </w:tbl>
    <w:p>
      <w:pPr>
        <w:spacing w:line="360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持仓跟踪评分&lt;60分重评估</w:t>
      </w:r>
    </w:p>
    <w:p>
      <w:pPr>
        <w:spacing w:line="360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止损标的5日内不推荐</w:t>
      </w:r>
    </w:p>
    <w:p>
      <w:pPr>
        <w:spacing w:line="360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连续止损3次冻结2周</w:t>
      </w:r>
    </w:p>
    <w:p>
      <w:pPr>
        <w:spacing w:line="360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第七章 市场情绪自适应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7.1 阶段判定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阶段</w:t>
            </w:r>
          </w:p>
        </w:tc>
        <w:tc>
          <w:tcPr>
            <w:shd w:val="clear" w:fill="1A1A2E"/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标准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牛市 MA5&gt;MA20&gt;MA60在MA20上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震荡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均线交织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熊市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MA5&lt;MA20&lt;MA60在MA20下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7.2 自适应参数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参数</w:t>
            </w:r>
          </w:p>
        </w:tc>
        <w:tc>
          <w:tcPr>
            <w:shd w:val="clear" w:fill="1A1A2E"/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牛市</w:t>
            </w:r>
          </w:p>
        </w:tc>
        <w:tc>
          <w:tcPr>
            <w:shd w:val="clear" w:fill="1A1A2E"/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震荡</w:t>
            </w:r>
          </w:p>
        </w:tc>
        <w:tc>
          <w:tcPr>
            <w:shd w:val="clear" w:fill="1A1A2E"/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熊市</w:t>
            </w:r>
          </w:p>
        </w:tc>
      </w:tr>
      <w:tr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推荐阈值 &gt;=75 &gt;=70 &gt;=65</w:t>
            </w:r>
          </w:p>
        </w:tc>
      </w:tr>
      <w:tr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涨幅否决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&gt;80%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&gt;50%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&gt;30%</w:t>
            </w:r>
          </w:p>
        </w:tc>
      </w:tr>
      <w:tr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总仓位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100%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80%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50%</w:t>
            </w:r>
          </w:p>
        </w:tc>
      </w:tr>
      <w:tr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单只上限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20%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15%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10%</w:t>
            </w:r>
          </w:p>
        </w:tc>
      </w:tr>
      <w:tr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ATR止损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2.5x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2x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1.5x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7.3 极端应对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场景</w:t>
            </w:r>
          </w:p>
        </w:tc>
        <w:tc>
          <w:tcPr>
            <w:shd w:val="clear" w:fill="1A1A2E"/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措施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日跌&gt;3% 暂停推荐持仓不动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连3日跌&gt;1.5%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阈值降5分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反弹涨&gt;2%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价在MA10附近建仓</w:t>
            </w:r>
          </w:p>
        </w:tc>
      </w:tr>
    </w:tbl>
    <w:p>
      <w:pPr>
        <w:spacing w:line="360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第八章 数据质量与置信度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编号</w:t>
            </w:r>
          </w:p>
        </w:tc>
        <w:tc>
          <w:tcPr>
            <w:shd w:val="clear" w:fill="1A1A2E"/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来源</w:t>
            </w:r>
          </w:p>
        </w:tc>
        <w:tc>
          <w:tcPr>
            <w:shd w:val="clear" w:fill="1A1A2E"/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用途</w:t>
            </w:r>
          </w:p>
        </w:tc>
        <w:tc>
          <w:tcPr>
            <w:shd w:val="clear" w:fill="1A1A2E"/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频率</w:t>
            </w:r>
          </w:p>
        </w:tc>
      </w:tr>
      <w:tr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[1] 腾讯行情 行情/量比/买卖盘 实时</w:t>
            </w:r>
          </w:p>
        </w:tc>
      </w:tr>
      <w:tr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[2]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腾讯K线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K线/均线/指标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日</w:t>
            </w:r>
          </w:p>
        </w:tc>
      </w:tr>
      <w:tr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[3]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同花顺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财报/EPS/PE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季</w:t>
            </w:r>
          </w:p>
        </w:tc>
      </w:tr>
      <w:tr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[4]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新闻搜索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新闻/公告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每次</w:t>
            </w:r>
          </w:p>
        </w:tc>
      </w:tr>
      <w:tr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[5]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本地计算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指标/评分</w:t>
            </w:r>
          </w:p>
        </w:tc>
        <w:tc>
          <w:tcPr>
            <w:tcW w:w="2375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每次</w:t>
            </w:r>
          </w:p>
        </w:tc>
      </w:tr>
    </w:tbl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标签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含义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处理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完整 全 正常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部分缺失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辅助缺失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不计该项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严重缺失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关键缺失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冻结</w:t>
            </w:r>
          </w:p>
        </w:tc>
      </w:tr>
    </w:tbl>
    <w:p>
      <w:pPr>
        <w:spacing w:line="360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腾讯[1][2]差异&lt;0.5%-&gt;一致</w:t>
      </w:r>
    </w:p>
    <w:p>
      <w:pPr>
        <w:spacing w:line="360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同花顺[3]PE与腾讯[1]价交叉验证</w:t>
      </w:r>
    </w:p>
    <w:p>
      <w:pPr>
        <w:spacing w:line="360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东方财富仅辅助冲突以腾讯为准</w:t>
      </w:r>
    </w:p>
    <w:p>
      <w:pPr>
        <w:spacing w:line="360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第九章 报告输出规范</w:t>
      </w:r>
    </w:p>
    <w:p>
      <w:pPr>
        <w:spacing w:line="360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推荐报告(19:00前):精选推荐/过筛表/否决明细/合规声明</w:t>
      </w:r>
    </w:p>
    <w:p>
      <w:pPr>
        <w:spacing w:line="360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个股简报:行动指南/评分/否决/技术/资金/消息/策略/风险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时间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产出</w:t>
            </w:r>
          </w:p>
        </w:tc>
        <w:tc>
          <w:tcPr>
            <w:shd w:val="clear" w:fill="1A1A2E"/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说明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16-17时 个股简报 逐只分析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17-18:30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后评估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评估昨日推荐</w:t>
            </w:r>
          </w:p>
        </w:tc>
      </w:tr>
      <w:tr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18:30-19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推荐报告</w:t>
            </w:r>
          </w:p>
        </w:tc>
        <w:tc>
          <w:tcPr>
            <w:tcW w:w="3167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过筛+推荐</w:t>
            </w:r>
          </w:p>
        </w:tc>
      </w:tr>
    </w:tbl>
    <w:p>
      <w:pPr>
        <w:spacing w:line="360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第十章 文件信息</w:t>
      </w:r>
    </w:p>
    <w:tbl>
      <w:tblPr>
        <w:tblStyle w:val="TableGrid"/>
        <w:tblW w:w="9500" w:type="dxa"/>
        <w:jc w:val="center"/>
      </w:tblPr>
      <w:tr>
        <w:tc>
          <w:tcPr>
            <w:shd w:val="clear" w:fill="1A1A2E"/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项目</w:t>
            </w:r>
          </w:p>
        </w:tc>
        <w:tc>
          <w:tcPr>
            <w:shd w:val="clear" w:fill="1A1A2E"/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内容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文件名 每日荐股分析逻辑白皮书_v2.0.docx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路径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Documents\Claude\股票分析\每日荐股\分析逻辑\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上层文档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分析的规则红线--Claude v1.0</w:t>
            </w:r>
          </w:p>
        </w:tc>
      </w:tr>
      <w:tr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后续文档</w:t>
            </w:r>
          </w:p>
        </w:tc>
        <w:tc>
          <w:tcPr>
            <w:tcW w:w="4750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后评估逻辑白皮书(待重构)</w:t>
            </w:r>
          </w:p>
        </w:tc>
      </w:tr>
    </w:tbl>
    <w:p>
      <w:pPr>
        <w:spacing w:line="360"/>
      </w:pPr>
    </w:p>
    <w:p>
      <w:pPr>
        <w:spacing w:line="360"/>
      </w:pPr>
    </w:p>
    <w:p>
      <w:pPr>
        <w:jc w:val="center"/>
      </w:pPr>
      <w:r>
        <w:rPr>
          <w:rFonts w:eastAsia="Microsoft YaHei"/>
          <w:sz w:val="18"/>
          <w:color w:val="999999"/>
        </w:rPr>
        <w:t>版本:v2.0 | 2026-05-21 | 铁律量化</w:t>
      </w:r>
    </w:p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rFonts w:eastAsia="Microsoft YaHei"/>
      <w:sz w:val="22"/>
    </w:rPr>
  </w:style>
  <w:style w:type="paragraph" w:styleId="Heading1">
    <w:name w:val="heading 1"/>
    <w:pPr>
      <w:spacing w:before="240" w:after="120"/>
    </w:pPr>
    <w:rPr>
      <w:rFonts w:eastAsia="Microsoft YaHei"/>
      <w:sz w:val="36"/>
      <w:b/>
      <w:color w:val="1A1A2E"/>
    </w:rPr>
  </w:style>
  <w:style w:type="paragraph" w:styleId="Heading2">
    <w:name w:val="heading 2"/>
    <w:pPr>
      <w:spacing w:before="200" w:after="100"/>
    </w:pPr>
    <w:rPr>
      <w:rFonts w:eastAsia="Microsoft YaHei"/>
      <w:sz w:val="28"/>
      <w:b/>
      <w:color w:val="16213E"/>
    </w:rPr>
  </w:style>
  <w:style w:type="paragraph" w:styleId="Heading3">
    <w:name w:val="heading 3"/>
    <w:pPr>
      <w:spacing w:before="160" w:after="80"/>
    </w:pPr>
    <w:rPr>
      <w:rFonts w:eastAsia="Microsoft YaHei"/>
      <w:sz w:val="24"/>
      <w:b/>
      <w:color w:val="333333"/>
    </w:rPr>
  </w:style>
  <w:style w:type="table" w:styleId="TableGrid">
    <w:name w:val="Table Grid"/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</w:style>
</w:styles>
</file>

<file path=word/_rels/document.xml.rels>&#65279;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