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44"/>
          <w:b/>
          <w:color w:val="1A1A2E"/>
        </w:rPr>
        <w:t>量化分析铁律 - 分析的规则红线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32"/>
          <w:b/>
          <w:color w:val="16213E"/>
        </w:rPr>
        <w:t>v1.1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0"/>
          <w:color w:val="666666"/>
        </w:rPr>
        <w:t>当前版本: v1.1 | 最后更新: 2026-05-21 | 更新人: Claude | 生效范围: 所有A股量化分析/选股/荐股/报告生成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0"/>
          <w:color w:val="CC0000"/>
          <w:b/>
        </w:rPr>
        <w:t>违反后果: 必须立即停止并修正 | 前置要求: AI必须遵守</w:t>
      </w:r>
    </w:p>
    <w:p>
      <w:pPr>
        <w:spacing w:line="360" w:lineRule="auto"/>
      </w:pP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版本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日期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作者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修改内容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修改原因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新增数据源[6]~[12](akshare系列)；新增§1.5数据源实测状态；更新§4检查清单；逐项审计重点股票白皮书指标合规性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重点股票跟踪分析逻辑白皮书v1.0引入多维度新指标，需要明确数据源合规性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初始版本创建。基于原v1.7重构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用户要求重构规则红线文档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一、数据真实性铁律（最高优先级）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绝对禁止</w:t>
      </w:r>
    </w:p>
    <w:p>
      <w:pPr>
        <w:spacing w:line="360" w:lineRule="auto"/>
      </w:pPr>
      <w:r>
        <w:rPr>
          <w:rFonts w:eastAsia="Microsoft YaHei"/>
          <w:sz w:val="22"/>
          <w:b/>
        </w:rPr>
        <w:t>所有出现在报告中的数字，必须来自真实数据源。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允许：从腾讯行情API、同花顺(akshare)、Baostock等接口获取的真实数据；基于真实数据的本地计算（移动均线、RSI、MACD、量比等）；标注为[季报数据，非实时]的财报数据。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禁止：在没有数据时凭空赋值或编造任何数字；用AI模型推断缺失的财务指标；使用无法通过截图或链接验证的听说数据。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1.2 数据源编号与标注规则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报告中每个关键数字必须标注其数据来源：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编号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用途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实时性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调用方式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当前价/涨跌幅/外盘内盘/量比/换手率/流通市值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日K线数据(开/收/高/低/成交量)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同花顺财务摘要(akshare)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净利润/营收/毛利率/负债率/EPS/扣非净利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[4]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K线验证/净利润交叉验证/全市场股票列表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日/季度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均线/RSI/MACD/布林/PE(TTM)/支撑阻力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基于原始数据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[6]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akshare深度财务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EV/EBITDA组件/存货周转率/经营性现金流/股息率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 stock_financial_abstract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[7]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东方财富板块行业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申万行业/概念板块指数走势/成分股列表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GET(East Money push2)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[8]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东方财富北向资金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沪/深股通持股明细(个股季度持股)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GET(datacenter-web)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[9]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东方财富个股资金流向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主力净流入/超大单/大单净流入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GET(East Money push2)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[10]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东方财富行业资金流向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各行业资金净流入排名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GET(East Money push2)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[11]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东方财富研报/评级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研报标题/机构/评级/盈利预测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GET(reportapi.eastmoney.com)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[12]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东方财富融资融券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融资余额/融券余额/融资净买入/融券余量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GET(datacenter.eastmoney.com)</w:t>
            </w:r>
          </w:p>
        </w:tc>
      </w:tr>
    </w:tbl>
    <w:p>
      <w:pPr>
        <w:spacing w:line="360" w:lineRule="auto"/>
      </w:pPr>
      <w:r>
        <w:rPr>
          <w:rFonts w:eastAsia="Microsoft YaHei"/>
          <w:sz w:val="22"/>
          <w:b/>
        </w:rPr>
        <w:t>标注格式示例：[估值区间来源于同花顺深度财务数据] 估值区间[6]；[北向资金净流入来源于akshare北向资金接口] 北向资金净流入8.2亿[8]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1.3 PE(TTM) 计算红线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禁止直接使用腾讯行情API提供的静态PE作为否决依据。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PE(TTM) = 当前价[1] / TTM_EPS[3]</w:t>
      </w:r>
    </w:p>
    <w:p>
      <w:pPr>
        <w:spacing w:line="360" w:lineRule="auto"/>
      </w:pPr>
      <w:r>
        <w:rPr>
          <w:rFonts w:eastAsia="Microsoft YaHei"/>
          <w:sz w:val="22"/>
          <w:b/>
        </w:rPr>
        <w:t>TTM_EPS = 最新年报EPS - 去年同季EPS + 最新季报EPS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1.4 双源交叉验证规则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主源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辅源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偏差处理规则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净利润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&lt;5%采用同花顺;5~15%取较低值;&gt;15%需核查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营收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同上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PE(TTM)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TTM EPS计算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腾讯静PE(参考)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TTM PE为主判据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毛利率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偏差&lt;5%即可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扣非净利润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同花顺[3]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唯一来源,标注仅供参考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当前价/K线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腾讯[1][2]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已确认100%一致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外盘/内盘/买卖比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腾讯[1]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标注交易所实时数据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量比/换手率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腾讯[1]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标注交易所实时数据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板块指数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东方财富[7]HTTP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北向资金持股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东方财富[8]HTTP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✅已实测(季度数据)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资金流向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东方财富[9][10]HTTP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✅已实测,唯一来源,标注仅供参考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1.5 数据源实测状态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本表记录每个数据源的实测情况。未实测的数据源在报告中必须标注待验证，严禁将未验证的数据作为否决依据。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编号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实测状态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验证日期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覆盖</w:t>
            </w:r>
          </w:p>
        </w:tc>
        <w:tc>
          <w:tcPr>
            <w:shd w:val="clear" w:color="auto" w:fill="1A1A2E"/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备注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腾讯行情API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已在每日荐股中使用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已在每日荐股中使用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同花顺财务摘要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已在每日荐股中使用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[4]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用于交叉验证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[5]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均线/MACD/RSI等标准算法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[6]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深度财务(东财HTTP)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⚠️待验证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接口待集成测试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[7]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东方财富板块行业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行业/概念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[8]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东方财富北向资金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GET已验证(季度持股)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[9]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东方财富个股资金流向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[10]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东方财富行业资金流向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全行业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[11]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东方财富研报/评级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  <w:tr>
        <w:trPr>
          <w:jc w:val="center"/>
        </w:trPr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[12]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东方财富融资融券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全市场</w:t>
            </w:r>
          </w:p>
        </w:tc>
        <w:tc>
          <w:tcPr>
            <w:tcW w:w="158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HTTP GET已验证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1.5.1 关键指标数据来源映射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章节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测试状态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决策依据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多周期均线趋势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Wyckoff量价分析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✅底层数据可信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经典技术形态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[2]→[5]模式识别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✅底层数据可信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✅可参考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1.1.4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MACD/RSI/布林/ADX/OBV等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1.1.5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K线组合形态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✅底层数据可信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✅可参考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ROE/毛利率/增长率/负债率/PE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PE百分位(历史)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[2]+[3]→[5]计算模块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✅已开发实测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✅可输出(已验证)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PE/PB/PS/股息率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EV/EBITDA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[6]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❌未实测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⚠️不可输出数值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DCF估值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[3][6]+AI推算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❌推算类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⚠️必须标注估算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1.2.3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核心竞争力分析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AI定性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催化剂分级S/A/B/C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✅AI判断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研报覆盖数/分析师评级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[11]HTTP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✅可输出(30天内)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融资融券余额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[12]HTTP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社交媒体热度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无免费API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1.3.3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互动平台活跃度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无公开API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1.4.1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板块相位判断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[7]HTTP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1.4.2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板块轮动位置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AI定性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✅AI分析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1.4.3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行业内联动/共振度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[2][4][7]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✅板块[7]已实测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⚠️需开发批量计算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北向资金持股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[8]HTTP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✅已实测(季度)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✅可输出(季度持股)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主力净流入/超大单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[9]HTTP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机构大宗交易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无免费API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行业资金流向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[10]HTTP GET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量能分析(放量/缩量)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✅已实测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✅可决策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1.5.3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筹码分布/获利比例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需Level-2付费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❌不可获取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❌移除或人工录入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3.1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六维评分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多源融合+AI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✅技术/基本面/板块/资金已验证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⚠️消息面/宏观待验证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3.2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趋势健康度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[2]→[5]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✅可计算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✅可输出</w:t>
            </w:r>
          </w:p>
        </w:tc>
      </w:tr>
    </w:tbl>
    <w:p>
      <w:pPr>
        <w:pStyle w:val="Heading3"/>
      </w:pPr>
      <w:r>
        <w:rPr>
          <w:rFonts w:eastAsia="Microsoft YaHei"/>
          <w:sz w:val="24"/>
          <w:b/>
          <w:color w:val="333333"/>
        </w:rPr>
        <w:t>1.5.2 指标整改优先级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优先级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整改要求</w:t>
            </w:r>
          </w:p>
        </w:tc>
        <w:tc>
          <w:tcPr>
            <w:shd w:val="clear" w:color="auto" w:fill="1A1A2E"/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完成时限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P2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EV/EBITDA[6]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实测东财深度财务HTTP接口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一个月内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—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北向资金/研报/融券[8][11][12]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✅已通过HTTP GET解决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已完成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P3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筹码分布/大宗交易/社交情绪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评估替代方案或移除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待定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P3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筹码分布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评估是否购买Level-2或降级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待定</w:t>
            </w:r>
          </w:p>
        </w:tc>
      </w:tr>
      <w:tr>
        <w:trPr>
          <w:jc w:val="center"/>
        </w:trPr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P3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社交媒体/互动平台/大宗交易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评估替代方案或移除</w:t>
            </w:r>
          </w:p>
        </w:tc>
        <w:tc>
          <w:tcPr>
            <w:tcW w:w="2125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待定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二、资源节约铁律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核心原则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Token是付费资源。能用本地或免费资源完成的工作，禁止用AI Token完成。免费公开API抓取-&gt;本地计算处理-&gt;AI分析。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层级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成本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承担工作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数据获取层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零Token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API调用/数据格式化/缓存读写-由代码执行，AI不参与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分析决策层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消耗Token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评分判断/否决判定/报告文本生成-AI参与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校验层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少量Token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交叉验证/异常检测-AI参与，原始数据比对由代码完成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2.2 Token使用边界</w:t>
      </w:r>
    </w:p>
    <w:p>
      <w:pPr>
        <w:spacing w:line="360" w:lineRule="auto"/>
      </w:pPr>
      <w:r>
        <w:rPr>
          <w:rFonts w:eastAsia="Microsoft YaHei"/>
          <w:sz w:val="22"/>
          <w:b/>
        </w:rPr>
        <w:t>允许：AI处理分析逻辑判断/规则解读/报告文本生成；AI对比多个数据源做一致性校验；AI根据评估结果提出规则优化建议。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禁止：让AI用自然语言估算已有API可获取的数据；无谓的重复调用；把原始数据全文喂给AI做阅读理解。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三、API调用纪律与缓存策略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数据分层与缓存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层级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数据源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调用时机</w:t>
            </w:r>
          </w:p>
        </w:tc>
        <w:tc>
          <w:tcPr>
            <w:shd w:val="clear" w:color="auto" w:fill="1A1A2E"/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缓存策略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收盘价/涨跌幅/买卖比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腾讯行情[1]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不缓存，必须当日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120日日K线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腾讯K线[2]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不缓存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技术指标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基于K线实时计算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板块行业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东方财富[7]HTTP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北向资金(季度持股)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东方财富[8]HTTP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资金流向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东方财富[9][10]HTTP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研报/评级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东方财富[11]HTTP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融资融券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东方财富[12]HTTP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日更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消息面新闻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同花顺新闻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每次分析时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缓存24h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财务数据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[3]/Baostock[4]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季报发布后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缓存30天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深度财务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akshare[6]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季报发布后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缓存30天</w:t>
            </w:r>
          </w:p>
        </w:tc>
      </w:tr>
      <w:tr>
        <w:trPr>
          <w:jc w:val="center"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季度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PE(TTM)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本地计算[5]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财报更新日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财报不换PE不变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防封禁规则</w:t>
      </w:r>
    </w:p>
    <w:p>
      <w:pPr>
        <w:spacing w:line="360" w:lineRule="auto"/>
      </w:pPr>
      <w:r>
        <w:rPr>
          <w:rFonts w:eastAsia="Microsoft YaHei"/>
          <w:sz w:val="22"/>
          <w:b/>
        </w:rPr>
        <w:t>每次API调用后强制间隔&gt;=0.3秒；每10次调用后额外休息&gt;=2秒；同花顺/akshare财务数据仅在缓存过期时调用(每季度1次)；禁止在短时间内(&lt;5分钟)重复拉取同一只股票的同一类数据。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3.3 降级路径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主数据源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降级方案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标注要求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腾讯行情[1]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腾讯买卖五档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标注降级源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腾讯K线[2]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腾讯日K/qfqday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标注降级源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同花顺财务[3]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使用缓存数据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标注可能滞后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Baostock[4]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接受单源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标注未经交叉验证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东方财富系列[7]~[12]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降级为缓存数据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标注数据不可用，降级定性判断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3.4 调用监控与告警</w:t>
      </w:r>
    </w:p>
    <w:p>
      <w:pPr>
        <w:spacing w:line="360" w:lineRule="auto"/>
      </w:pPr>
      <w:r>
        <w:rPr>
          <w:rFonts w:eastAsia="Microsoft YaHei"/>
          <w:sz w:val="22"/>
          <w:b/>
        </w:rPr>
        <w:t>以下情况必须告警并暂停分析：单次分析API调用失败率&gt;20%；连续3次同花顺/akshare API调用失败；腾讯API响应时间异常(单次&gt;3秒)；降级路径连续2次以上仍不可用；akshare接口返回空数据或异常数据。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四、执行检查清单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所有数据有来源标记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关键财务已双源验证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无编造数据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PE(TTM)用同花顺EPS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API调用已加延迟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季度数据用缓存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报告有免责声明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一票否决已执行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降级路径已标注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数据时效已标注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未实测数据源[6]须标注待验证([1]~[5][7]~[12]已实测可用)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不可获取指标(筹码分布/大宗交易/社交情绪)不得输出具体数值</w:t>
      </w:r>
    </w:p>
    <w:p>
      <w:pPr>
        <w:spacing w:line="360" w:lineRule="auto"/>
      </w:pPr>
      <w:r>
        <w:rPr>
          <w:rFonts w:eastAsia="Microsoft YaHei"/>
          <w:sz w:val="22"/>
          <w:b/>
        </w:rPr>
        <w:t>☐ PE百分位已开发完成,可输出(需标注数据范围)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五、规则变更协议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变更权限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5.2 变更条件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变更类型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触发条件</w:t>
            </w:r>
          </w:p>
        </w:tc>
        <w:tc>
          <w:tcPr>
            <w:shd w:val="clear" w:color="auto" w:fill="1A1A2E"/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最低数据量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数据源新增/替换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实测验证通过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3只股票以上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API调用策略调整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连续3次以上失败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3次失败记录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交叉验证规则修改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5个以上样本支撑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5个样本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降级路径调整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降级连续2次仍不可用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2次不可用</w:t>
            </w:r>
          </w:p>
        </w:tc>
      </w:tr>
      <w:tr>
        <w:trPr>
          <w:jc w:val="center"/>
        </w:trPr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数据源状态变更(未实测-&gt;已实测)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接口验证通过+3只股票以上确认</w:t>
            </w:r>
          </w:p>
        </w:tc>
        <w:tc>
          <w:tcPr>
            <w:tcW w:w="2833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3只股票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5.3 变更执行流程</w:t>
      </w:r>
    </w:p>
    <w:p>
      <w:pPr>
        <w:spacing w:line="360" w:lineRule="auto"/>
      </w:pPr>
      <w:r>
        <w:rPr>
          <w:rFonts w:eastAsia="Microsoft YaHei"/>
          <w:sz w:val="22"/>
          <w:b/>
        </w:rPr>
        <w:t>每次变更必须：1)在版本历史表追加新行；2)更新CHANGELOG；3)更新文档版本索引；4)修改文件名(主版本需保留旧版存档)；5)更新数据源实测状态表。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六、文件信息</w:t>
      </w:r>
    </w:p>
    <w:tbl>
      <w:tblPr>
        <w:tblStyle w:val="TableGrid"/>
        <w:tblW w:w="8500" w:type="dxa"/>
        <w:jc w:val="center"/>
      </w:tblPr>
      <w:tr>
        <w:trPr>
          <w:jc w:val="center"/>
        </w:trPr>
        <w:tc>
          <w:tcPr>
            <w:shd w:val="clear" w:color="auto" w:fill="1A1A2E"/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项目</w:t>
            </w:r>
          </w:p>
        </w:tc>
        <w:tc>
          <w:tcPr>
            <w:shd w:val="clear" w:color="auto" w:fill="1A1A2E"/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  <w:b/>
                <w:color w:val="FFFFFF"/>
              </w:rPr>
              <w:t>内容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文件名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分析的规则红线--Claude_v1.1.docx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存储路径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C:\Users\34269\Documents\Claude\股票分析\规则红线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当前版本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v1.1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最后更新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2026-05-21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更新人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Claude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关联CHANGELOG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分析的规则红线--Claude_CHANGELOG.md</w:t>
            </w:r>
          </w:p>
        </w:tc>
      </w:tr>
      <w:tr>
        <w:trPr>
          <w:jc w:val="center"/>
        </w:trPr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文档版本索引</w:t>
            </w:r>
          </w:p>
        </w:tc>
        <w:tc>
          <w:tcPr>
            <w:tcW w:w="4250" w:type="dxa"/>
          </w:tcPr>
          <w:p>
            <w:pPr>
              <w:jc w:val="center"/>
            </w:pPr>
            <w:r>
              <w:rPr>
                <w:rFonts w:eastAsia="Microsoft YaHei"/>
                <w:sz w:val="16"/>
              </w:rPr>
              <w:t>文档版本索引.md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6" w:space="4" w:color="CCCCCC"/>
        </w:pBdr>
        <w:jc w:val="center"/>
      </w:pPr>
      <w:r>
        <w:rPr>
          <w:rFonts w:eastAsia="Microsoft YaHei"/>
          <w:sz w:val="18"/>
          <w:color w:val="999999"/>
        </w:rPr>
        <w:t>本文档为铁律量化系统最高优先级规则。其他所有分析逻辑必须在不违反本文档的前提下执行。</w:t>
      </w:r>
    </w:p>
    <w:p>
      <w:pPr>
        <w:jc w:val="center"/>
      </w:pPr>
      <w:r>
        <w:rPr>
          <w:rFonts w:eastAsia="Microsoft YaHei"/>
          <w:sz w:val="18"/>
          <w:color w:val="999999"/>
        </w:rPr>
        <w:t>版本：v1.1 | 2026-05-21 | 铁律量化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paragraph" w:styleId="Heading3">
    <w:name w:val="heading 3"/>
    <w:pPr>
      <w:spacing w:before="160" w:after="80"/>
    </w:pPr>
    <w:rPr>
      <w:rFonts w:eastAsia="Microsoft YaHei"/>
      <w:sz w:val="24"/>
      <w:b/>
      <w:color w:val="333333"/>
    </w:rPr>
  </w:style>
  <w:style w:type="table" w:styleId="TableGrid">
    <w:name w:val="Table Grid"/>
    <w:pPr>
      <w:spacing w:after="0"/>
    </w:p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