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48"/>
          <w:b/>
          <w:color w:val="1A1A2E"/>
        </w:rPr>
        <w:t>重点股票跟踪分析逻辑白皮书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36"/>
          <w:b/>
          <w:color w:val="16213E"/>
        </w:rPr>
        <w:t>v1.0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22"/>
          <w:color w:val="666666"/>
        </w:rPr>
        <w:t>铁律量化 · 重点股票深度跟踪与多周期预判引擎</w:t>
      </w:r>
    </w:p>
    <w:p>
      <w:pPr>
        <w:jc w:val="center"/>
      </w:pPr>
      <w:r>
        <w:rPr>
          <w:rFonts w:eastAsia="Microsoft YaHei"/>
          <w:sz w:val="20"/>
          <w:color w:val="666666"/>
        </w:rPr>
        <w:t>版本：v1.0 | 2026-05-21 | 体系定位：对重点标的进行多层次、多维度、多周期的深度分析</w:t>
      </w:r>
    </w:p>
    <w:p>
      <w:pPr>
        <w:spacing w:line="360" w:lineRule="auto"/>
      </w:pP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版本历史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版本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日期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作者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变更内容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变更原因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v1.0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2026-05-21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Claude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初始版。基于多周期多维度融合分析框架建立重点股票跟踪体系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需要独立的重点股票深度分析体系，与每日荐股的广度筛选形成互补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第一章 多维度分析框架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重点股票分析从六个独立维度展开，每个维度输出独立的信号（看多/中性/看空），最终通过证据加权形成综合预判。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技术面、基本面、消息面、板块行业、资金面、宏观 —— 六维融合，多周期共振。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1.1 技术面分析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技术面是判断买卖时机和趋势状态的核心手段，采用多周期趋势、量价关系、关键形态、指标组合四层递进。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1.1.1 多周期趋势判断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周期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均线体系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趋势定义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用途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短期（日线）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MA5/MA10/MA20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MA5&gt;MA10&gt;MA20多头排列→短期上升趋势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入场/离场时机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中期（周线）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MA10/MA20/MA50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周线MA10&gt;MA20且价格在MA20之上→中期上升趋势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持仓/方向判断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长期（月线）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MA20/MA50/MA120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月线级别均线多头→长期牛市格局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战略仓位判断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趋势一致性原则：三个周期趋势方向一致时趋势强劲可重仓；短期与中长期方向相反按中长期方向定战略；中期趋势不明以区间震荡对待。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1.1.2 量价关系分析（Wyckoff）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量价形态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含义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操作含义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价涨量增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需求旺盛，趋势健康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持仓或加仓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价涨量缩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上涨动力减弱，量价背离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警惕回调，减仓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价跌量缩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下跌无承接，但仍未企稳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观望，等待放量企稳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价跌量增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恐慌抛售或主力出货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区分是Selling Climax还是Distribution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放量突破压力位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Wyckoff的Sign of Strength(SOS)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确认突破有效，加仓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缩量回踩支撑位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Wyckoff的Last Point of Support(LPS)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最佳加仓点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放量跌破支撑位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趋势转弱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止损离场</w:t>
            </w:r>
          </w:p>
        </w:tc>
      </w:tr>
    </w:tbl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阶段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典型特征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操作策略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吸筹区(Accumulation)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长期下跌后横盘，成交量逐步放大，底部抬高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建立底仓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拉升区(Markup)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放量突破横盘区，均线多头排列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加仓/持仓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派发区(Distribution)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大幅上涨后横盘，高位放量滞涨，出现上冲回落的Upthrust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逐步减仓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下跌区(Markdown)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跌破派发区，均线空头排列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清仓/观望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1.1.3 经典技术形态识别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形态名称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周期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含义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目标位测算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头肩底/双底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日/周线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中期底部反转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颈线高度等距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头肩顶/双顶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日/周线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中期顶部反转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颈线高度等距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上升/下降旗形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趋势中继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旗杆高度等距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上升/下降三角形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日/周线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趋势突破在即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三角形最宽处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圆弧底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周/月线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长期底部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缓慢，持久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W底/M顶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日/周线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常见反转形态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颈线高度等距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1.1.4 技术指标组合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不依赖单一指标，采用组合确认策略。至少两个独立指标同时发出信号方可确认。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指标维度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参数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用法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趋势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MACD(12,26,9)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标准参数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DIF方向+柱状体+零轴位置判断趋势强度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趋势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均线系统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5/10/20/50/120/250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多周期趋势状态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趋势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ADX(14)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&gt;25趋势行情&lt;20震荡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判断是否为趋势市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动量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RSI(14)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超买&gt;70超卖&lt;30；底背离/顶背离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短期反转信号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动量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Stochastic(14,3,3)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%K与%D交叉，超买/超卖区域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辅助RSI确认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动量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MFI(14)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带量的RSI，&gt;80超买&lt;20超卖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量价结合的动量判断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波动率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Bollinger Bands(20,2)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触及上下轨+带宽变化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超买超卖+突破确认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波动率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ATR(14)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衡量波动幅度，设置止损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动态止损参考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成交量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OBV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趋势确认，背离信号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量先行于价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成交量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成交量均线(5/20)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放量/缩量对照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量能变化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组合确认规则：</w:t>
      </w:r>
    </w:p>
    <w:p>
      <w:pPr>
        <w:spacing w:line="360" w:lineRule="auto"/>
      </w:pPr>
      <w:r>
        <w:rPr>
          <w:rFonts w:eastAsia="Microsoft YaHei"/>
          <w:sz w:val="22"/>
          <w:b/>
        </w:rPr>
        <w:t>做多信号：均线多头+MACD零轴上方金叉/DIF向上+RSI 40-60区间向上+成交量配合</w:t>
      </w:r>
    </w:p>
    <w:p>
      <w:pPr>
        <w:spacing w:line="360" w:lineRule="auto"/>
      </w:pPr>
      <w:r>
        <w:rPr>
          <w:rFonts w:eastAsia="Microsoft YaHei"/>
          <w:sz w:val="22"/>
          <w:b/>
        </w:rPr>
        <w:t>做空信号：均线空头+MACD零轴下方死叉/DIF向下+RSI 60-80区间向下+成交量配合</w:t>
      </w:r>
    </w:p>
    <w:p>
      <w:pPr>
        <w:spacing w:line="360" w:lineRule="auto"/>
      </w:pPr>
      <w:r>
        <w:rPr>
          <w:rFonts w:eastAsia="Microsoft YaHei"/>
          <w:sz w:val="22"/>
          <w:b/>
        </w:rPr>
        <w:t>背离信号：价格新高但RSI/MACD未新高→顶背离(看空)；价格新低但RSI/MACD未新低→底背离(看多)</w:t>
      </w:r>
    </w:p>
    <w:p>
      <w:pPr>
        <w:spacing w:line="360" w:lineRule="auto"/>
      </w:pPr>
      <w:r>
        <w:rPr>
          <w:rFonts w:eastAsia="Microsoft YaHei"/>
          <w:sz w:val="22"/>
          <w:b/>
        </w:rPr>
        <w:t>震荡判断：ADX&lt;20+布林带走平+价格在上下轨之间来回→区间操作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1.1.5 K线形态分析（辅助验证）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K线形态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含义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确认要求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十字星/纺锤线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多空平衡，变盘信号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次日方向确认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锤子线/上吊线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底部/顶部反转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长下影线+放量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吞没形态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强反转信号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实体完全覆盖前一根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晨星/暮星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底部/顶部反转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三根K线组合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三白兵/三黑鸦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持续/反转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三根连续同向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1.2 基本面分析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基本面用于判断股票的内在价值和安全边际，决定中长期持仓的底气。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1.2.1 财务健康评估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计算方式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健康标准（A股）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用途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ROE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净利润/股东权益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≥15%优秀；≥10%合格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盈利能力的核心指标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毛利率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(营收-营业成本)/营收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≥30%优秀；≥20%合格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护城河与议价能力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净利润增长率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(本期净利润/上期净利润)-1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连续3年≥20%为成长股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成长性判断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营收增长率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(本期营收/上期营收)-1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收入端扩张情况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资产负债率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总负债/总资产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≤50%稳健；≤30%优秀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财务风险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经营性现金流/净利润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经营活动现金流净额/净利润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≥1优秀；≥0.8合格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利润质量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存货周转率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营业成本/平均存货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行业对比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运营效率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PE百分位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当前PE/近5年PE区间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&lt;30%低估&gt;70%高估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估值位置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PEG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PE/净利润增速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&lt;1为低估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成长性估值匹配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1.2.2 估值评估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估值方法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适用范围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判断标准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PE（市盈率）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盈利稳定的公司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与行业平均PE对比+历史百分位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PB（市净率）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金融/周期/重资产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破净&lt;1为低估信号&lt;0.8深度低估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PS（市销率）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亏损/高成长/互联网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行业对比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EV/EBITDA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跨行业比较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消除资本结构差异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DCF（现金流折现）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现金流稳定的成熟公司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内在价值vs当前市价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股息率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分红稳定的蓝筹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高于10年期国债收益率时具配置价值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1.2.3 核心竞争力分析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维度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评估内容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强度判断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护城河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品牌/专利/渠道/网络效应/成本优势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强/中/弱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行业地位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市占率排名、定价权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龙头/领先/跟随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技术壁垒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研发投入占比、专利数量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高/中/低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管理层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历史业绩、战略清晰度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优秀/合格/存疑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1.3 消息面与情绪面分析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消息面决定短期股价的核心驱动力——炒股炒预期，预期靠消息催化。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1.3.1 催化剂分级体系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级别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类型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影响周期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预期影响幅度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业绩超预期/重磅政策/行业变革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1-6个月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&gt;±20%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大订单/重大合同/股权激励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1-4周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±10-20%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B级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新产品发布/合作签约/回购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3-10日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±5-10%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行业新闻/分析师评级/传闻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1-3日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±3-5%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1.3.2 催化剂跟踪框架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对每个重点股票维护一个催化剂日历，记录未来1个月的催化剂清单及其落地跟踪状态（待落地/已兑现/落空）。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1.3.3 情绪面指标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情绪指标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数据来源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判断标准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研报覆盖数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东方财富/同花顺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近期密集覆盖→市场关注度提升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分析师评级变动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Wind/东财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上调/下调数量对比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互动平台活跃度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上证e互动/深交所互动易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提问量激增→散户关注度高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融资融券余额变化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交易所数据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融资余额大幅增加→多头情绪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社交媒体热度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雪球/微博/股吧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热度异常→短期情绪拐点信号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1.3.4 消息面验证规则</w:t>
      </w:r>
    </w:p>
    <w:p>
      <w:pPr>
        <w:spacing w:line="360" w:lineRule="auto"/>
      </w:pPr>
      <w:r>
        <w:rPr>
          <w:rFonts w:eastAsia="Microsoft YaHei"/>
          <w:sz w:val="22"/>
          <w:b/>
        </w:rPr>
        <w:t>利多消息判断：消息真伪(官方公告&gt;媒体报道&gt;传闻)→是否Price In(公布前已大涨则利好出尽)→市场反应(首日涨幅+成交量)→位置判断(低位利好积极解读，高位利好警惕出货)</w:t>
      </w:r>
    </w:p>
    <w:p>
      <w:pPr>
        <w:spacing w:line="360" w:lineRule="auto"/>
      </w:pPr>
      <w:r>
        <w:rPr>
          <w:rFonts w:eastAsia="Microsoft YaHei"/>
          <w:sz w:val="22"/>
          <w:b/>
        </w:rPr>
        <w:t>利空消息判断：实质性vs情绪性(业绩暴雷=实质，负面新闻=情绪)→是否过度反应(跌幅&gt;预期可能超跌机会)→低位利空往往最后一跌，高位利空趋势可能转势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1.4 板块与行业分析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个股走势与板块高度相关——A股中约60%的个股日涨跌幅可由板块解释。选股必须先看板块。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1.4.1 板块相位判断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相位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板块指数特征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对应操作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见底期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长期下跌后企稳，成交量开始放大，底部抬高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开始关注，选股纳入观察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启动期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板块放量突破下跌趋势线或横盘区，龙头股率先上涨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重点关注，可建仓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主升期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板块指数沿5/10周线上涨，成交量持续活跃，多只个股共振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加仓/持仓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高潮期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板块放巨量滞涨，上影线，波动加大，非龙头补涨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分批减仓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退潮期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板块跌破20周线，龙头股率先下跌，成交量萎缩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清仓回避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1.4.2 板块轮动位置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市场阶段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优势板块类型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避免板块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轮动速度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牛市初期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券商+金融+科技龙头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防御型板块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慢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牛市中期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成长+消费+赛道股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周期股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牛市末期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周期+补涨+小盘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高位白马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快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熊市初期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防御型(公用事业+消费)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高估值成长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快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熊市末期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超跌+政策受益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补跌股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慢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1.4.3 行业内个股联动分析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分析维度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方法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判断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龙头追踪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行业龙头走势vs目标股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龙头强+目标股强→板块健康；龙头弱+目标股强→个股独立行情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共振度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行业内上涨/下跌个股比例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&gt;70%个股上涨→强共振趋势可靠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分化度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行业内涨幅标准差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标准差大→内部分化，选股能力重要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资金集中度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行业内前3大成交额占比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集中度高→资金聚焦少数龙头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1.5 资金面分析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A股是资金驱动型市场，资金流向往往领先于价格变化。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1.5.1 主力资金追踪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资金类型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数据来源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判断标准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北向资金(沪/深股通)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交易所每日披露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连续3日净流入→外资看好；单日超5亿净买入→强信号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主力净流入/出(超大单)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Level-2数据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大单净买入占比&gt;30%→主力介入；连续流出→主力出货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机构大宗交易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交易所披露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折价大宗→机构调仓；溢价大宗→抢筹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行业资金流向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东方财富/同花顺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行业整体资金流入/流出对比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1.5.2 市场成交量分析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量能状态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成交额特征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含义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放量上涨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成交额&gt;5日均量2倍+涨幅&gt;3%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增量资金入场，趋势可靠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缩量上涨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成交额&lt;5日均量×0.7+上涨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存量博弈，上涨动力不足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放量下跌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成交额&gt;5日均量2倍+跌幅&gt;3%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恐慌抛售或主力出逃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缩量下跌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成交额&lt;5日均量×0.7+下跌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下跌动能衰竭，可能见底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地量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成交额创近30日新低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市场关注度极低，变盘前兆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1.5.3 筹码分布分析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筹码特征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含义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操作含义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高位套牢盘密集(&gt;30%筹码在现价上方20%内)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上方抛压较大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突破前需充分洗盘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低位筹码密集峰支撑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成本集中，有支撑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回调至密集峰上沿可买入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获利比例&gt;80%且换手率&lt;3%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持股集中度提升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主力锁仓，可能加速上涨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获利比例&lt;20%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深度套牢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抛压小但需等主力进场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第二章 三周期预判体系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对每个重点股票，必须同时给出短期/中期/长期三个时间维度的预判，形成完整的趋势意见书。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2.1 短期预判（1-5个交易日）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分析依据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权重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关键信号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日线级别技术形态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35%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K线组合+支撑/阻力位+日内量价关系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短期均线排列(5/10/20)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多头/空头/纠缠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短期技术指标(RSI/Stoch/布林带)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超买超卖+交叉信号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近3日消息面催化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是否有近期催化剂将落地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次日大盘预期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大盘短期方向影响个股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短期预判输出格式：方向(看多/偏多/中性/偏空/看空) 关键阻力位 关键支撑位 短期催化剂 置信度(高&gt;70%/中50-70%/低&lt;50%)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2.2 中期预判（1-4周）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分析依据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权重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关键信号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周线级别趋势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周线均线排列+周线MACD方向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板块相位与轮动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板块所处生命周期阶段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中期催化剂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未来1-4周内确定性催化事件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基本面趋势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业绩预期+估值水平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资金面中期趋势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北向资金/主力资金连续方向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中期预判输出格式：方向(趋势看多/区间震荡/趋势看空) 目标区间(上沿/下沿) 关键验证点 中期催化剂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2.3 长期预判（1-6个月）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分析依据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权重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关键信号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基本面价值评估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ROE趋势+营收增速+估值百分位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行业/产业趋势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25%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渗透率+替代率+市占率(三率体系)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月线级别大趋势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月线均线+长期技术形态(Wyckoff大周期位置)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宏观政策方向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政策受益/受损判断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机构共识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分析师目标价+机构持仓变化趋势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长期预判输出格式：方向(长期看好/中性/看空) Wyckoff周期阶段 合理估值区间 核心逻辑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2.4 三周期综合判断矩阵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短期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中期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长期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综合判断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建议操作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强势看多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重仓持有，每次回调都是加仓点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→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谨慎看多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持仓，关注长期逻辑是否强化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→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短期机会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可在支撑位做多，注意中期风险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反弹看待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仅做短线，中期压力大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→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等待买点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中期趋势好，等短期回调企稳介入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中期趋势中的回调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重点观察是否是健康的缩量回调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中期调整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减仓，等中期趋势明朗再回补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强势看空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清仓回避，等待反转信号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↑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↓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超跌反弹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仅做短线反弹，快进快出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→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→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→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方向不明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观望，减少交易</w:t>
            </w:r>
          </w:p>
        </w:tc>
      </w:tr>
    </w:tbl>
    <w:p>
      <w:pPr>
        <w:spacing w:line="360" w:lineRule="auto"/>
        <w:jc w:val="both"/>
      </w:pPr>
      <w:r>
        <w:rPr>
          <w:rFonts w:eastAsia="Microsoft YaHei"/>
          <w:sz w:val="22"/>
        </w:rPr>
        <w:t>↑=看多 →=中性/震荡 ↓=看空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第三章 综合评分与评级体系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3.1 六维评分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对每个重点股票，从六个维度分别打分（0-100分），汇总形成综合评分。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维度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权重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高分标准(≥70分)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低分信号(≤40分)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多周期均线多头+量价配合+指标组合看多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均线空头+量价背离+指标组合看空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基本面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ROE≥15%+营收增速≥15%+PE百分位&lt;50%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ROE&lt;8%+营收负增长+PE百分位&gt;80%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有S/A级催化剂即将落地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无催化剂+或有利空未消化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板块行业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板块处于启动/主升期+资金流入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板块处于退潮期+资金流出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主力连续净流入+量能配合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主力连续流出+缩量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宏观/大盘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大盘处于上升趋势+流动性宽松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大盘下跌+流动性收紧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3.1.1 综合评级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综合评分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评级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含义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≥85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★★★★ 强烈关注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多维度共振看多，适合重点配置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70-84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★★★ 关注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整体偏多，可以在回调时介入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55-69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★★ 观察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多空因素均衡，维持观察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40-54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★ 谨慎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偏空因素占优，仓位需控制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&lt;40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☆ 回避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多维度看空，避免介入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3.2 趋势健康度评估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追踪趋势的持续性和健康度，防止过早下车或该走不走。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健康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预警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危险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上升趋势中的回调幅度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&lt;10%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10-15%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&gt;15%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上升中的成交量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量增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缩量上涨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放量滞涨/放量下跌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均线发散状态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多头平行向上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均线开始走平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死叉/交叉向下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MACD状态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DIF在零轴上方+柱状体向上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DIF走平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DIF下穿零轴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RSI趋势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50-70之间震荡向上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70以上钝化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跌破50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板块相对强度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强于大盘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与大盘同步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弱于大盘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趋势健康度评分触发规则：≥80正常持有 → 60-79关注预警设定止损 → 40-59进入警戒准备减仓 → &lt;40立即评估是否需要清仓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第四章 跟踪与更新机制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4.1 重点股票档案结构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个重点股票建立独立档案，包含：基础信息(行业/板块/市值/股价/评分)、多维分析摘要(技术/基本面/消息面/板块/资金面)、三周期预判(短/中/长期方向与关键价位)、跟踪日志(按时间倒序)、历史预判回溯(对错归因)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4.2 更新频率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事件类型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更新频率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更新内容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每日例行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每个交易日收盘后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检查技术信号变化、消息面、板块动态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关键价位触发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即时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股价触及支撑/阻力/止损位时重新评估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催化事件前后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事件前1日+事件后1日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更新催化剂预期/落地情况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财报发布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发布后24小时内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全面更新基本面评估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板块重大变化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即时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板块相位变更、行业政策变化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完整复盘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更新综合评分、三周期预判、趋势健康度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4.3 重点股票池管理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池级别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入选条件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最多数量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更新频率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核心观察池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综合评分≥70或有S级催化即将落地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10只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每日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跟踪池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综合评分55-69或有A级催化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20只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每周2次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雷达池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综合评分40-54但基本面优秀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30只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每周1次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4.4 退出机制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退出条件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是否可重新进入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综合评分&lt;40连续5日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移出核心观察池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评分回升至≥55后可重新进入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三周期预判均转为看空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清仓并移出所有池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至少等待1个月后重新评估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基本面恶化(ROE连续2季下滑)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移除跟踪/雷达池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基本面企稳后可重新评估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触发止损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执行止损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重新形成底部结构后可再评估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第五章 数据存储与版本管理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5.1 文件结构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重点股票目录结构：分析逻辑(白皮书MD/DOCX+CHANGELOG+gen_doc.ps1) → 股票档案(每只重点股票独立MD文件) → 预判记录(predictions.csv) → 汇总(weekly_review周复盘)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5.2 版本管理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变更类型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版本号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审核要求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分析框架微调(指标参数、阈值)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不升版本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AI自动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新增/移除分析维度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v1.x→v1.(x+1)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人工确认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分析体系重构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v1.x→v2.0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人工审核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5.3 同步更新要求</w:t>
      </w:r>
    </w:p>
    <w:p>
      <w:pPr>
        <w:spacing w:line="360" w:lineRule="auto"/>
      </w:pPr>
      <w:r>
        <w:rPr>
          <w:rFonts w:eastAsia="Microsoft YaHei"/>
          <w:sz w:val="22"/>
          <w:b/>
        </w:rPr>
        <w:t>每次版本变更时同步更新：1) CHANGELOG.md  2) 文档版本索引.md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附录A：分析流程速查卡</w:t>
      </w:r>
    </w:p>
    <w:p>
      <w:pPr>
        <w:spacing w:line="360" w:lineRule="auto"/>
      </w:pPr>
      <w:r>
        <w:rPr>
          <w:rFonts w:eastAsia="Microsoft YaHei"/>
          <w:sz w:val="22"/>
          <w:b/>
        </w:rPr>
        <w:t>重点股票分析每日流程：</w:t>
      </w:r>
    </w:p>
    <w:p>
      <w:pPr>
        <w:spacing w:line="360" w:lineRule="auto"/>
      </w:pPr>
      <w:r>
        <w:rPr>
          <w:rFonts w:eastAsia="Microsoft YaHei"/>
          <w:sz w:val="22"/>
          <w:b/>
        </w:rPr>
        <w:t>1. 检查技术面(5分钟)：查看日/周/月线趋势(均线排列)→检查MACD/RSI/布林带状态→识别K线形态→判断量价关系是否健康</w:t>
      </w:r>
    </w:p>
    <w:p>
      <w:pPr>
        <w:spacing w:line="360" w:lineRule="auto"/>
      </w:pPr>
      <w:r>
        <w:rPr>
          <w:rFonts w:eastAsia="Microsoft YaHei"/>
          <w:sz w:val="22"/>
          <w:b/>
        </w:rPr>
        <w:t>2. 检查消息面(3分钟)：搜索近3日相关新闻→检查互动平台提问→查看分析师评级变动</w:t>
      </w:r>
    </w:p>
    <w:p>
      <w:pPr>
        <w:spacing w:line="360" w:lineRule="auto"/>
      </w:pPr>
      <w:r>
        <w:rPr>
          <w:rFonts w:eastAsia="Microsoft YaHei"/>
          <w:sz w:val="22"/>
          <w:b/>
        </w:rPr>
        <w:t>3. 检查板块/行业(2分钟)：板块指数走势→行业内龙头股表现</w:t>
      </w:r>
    </w:p>
    <w:p>
      <w:pPr>
        <w:spacing w:line="360" w:lineRule="auto"/>
      </w:pPr>
      <w:r>
        <w:rPr>
          <w:rFonts w:eastAsia="Microsoft YaHei"/>
          <w:sz w:val="22"/>
          <w:b/>
        </w:rPr>
        <w:t>4. 更新预判(2分钟)：三周期方向是否有变化→关键价位是否需调整→综合评分是否需修正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附录B：关键术语表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术语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解释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Wyckoff吸筹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主力在低位通过震荡建仓的过程，特征为底部抬高+量能放大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Selling Climax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下跌末期放量暴跌，意味着最后一批恐慌盘出逃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Sign of Strength(SOS)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强势信号——放量上涨突破关键阻力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Last Point of Support(LPS)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最佳买点——缩量回踩支撑后企稳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Upthrust(UTAD)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冲高回落——突破阻力后立即反转，主力出货信号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证据加权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多个独立维度发出相同信号时才形成结论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板块相位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板块所处生命周期阶段(见底/启动/主升/高潮/退潮)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三率体系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渗透率(产业生命周期)、替代率(全球竞争力)、市占率(竞争格局)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三周期预判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短期1-5日/中期1-4周/长期1-6月的趋势方向判断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六维评分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技术/基本面/消息面/板块行业/资金面/宏观六维度加权评分系统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Bdr>
          <w:top w:val="single" w:sz="6" w:space="4" w:color="CCCCCC"/>
        </w:pBdr>
        <w:jc w:val="center"/>
      </w:pPr>
      <w:r>
        <w:rPr>
          <w:rFonts w:eastAsia="Microsoft YaHei"/>
          <w:sz w:val="18"/>
          <w:color w:val="999999"/>
        </w:rPr>
        <w:t>本分析体系为铁律量化选股系统的深度分析配套文档。与《每日荐股分析逻辑白皮书》的广度筛选形成互补——广度找机会，深度做判断。</w:t>
      </w:r>
    </w:p>
    <w:p>
      <w:pPr>
        <w:jc w:val="center"/>
      </w:pPr>
      <w:r>
        <w:rPr>
          <w:rFonts w:eastAsia="Microsoft YaHei"/>
          <w:sz w:val="18"/>
          <w:color w:val="999999"/>
        </w:rPr>
        <w:t>版本：v1.0 | 2026-05-21 | 铁律量化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eastAsia="Microsoft YaHei"/>
      <w:sz w:val="22"/>
    </w:rPr>
  </w:style>
  <w:style w:type="paragraph" w:styleId="Heading1">
    <w:name w:val="heading 1"/>
    <w:pPr>
      <w:spacing w:before="240" w:after="120"/>
    </w:pPr>
    <w:rPr>
      <w:rFonts w:eastAsia="Microsoft YaHei"/>
      <w:sz w:val="36"/>
      <w:b/>
      <w:color w:val="1A1A2E"/>
    </w:rPr>
  </w:style>
  <w:style w:type="paragraph" w:styleId="Heading2">
    <w:name w:val="heading 2"/>
    <w:pPr>
      <w:spacing w:before="200" w:after="100"/>
    </w:pPr>
    <w:rPr>
      <w:rFonts w:eastAsia="Microsoft YaHei"/>
      <w:sz w:val="28"/>
      <w:b/>
      <w:color w:val="16213E"/>
    </w:rPr>
  </w:style>
  <w:style w:type="paragraph" w:styleId="Heading3">
    <w:name w:val="heading 3"/>
    <w:pPr>
      <w:spacing w:before="160" w:after="80"/>
    </w:pPr>
    <w:rPr>
      <w:rFonts w:eastAsia="Microsoft YaHei"/>
      <w:sz w:val="24"/>
      <w:b/>
      <w:color w:val="333333"/>
    </w:rPr>
  </w:style>
  <w:style w:type="table" w:styleId="TableGrid">
    <w:name w:val="Table Grid"/>
    <w:pPr>
      <w:spacing w:after="0"/>
    </w:pPr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