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</w:pPr>
      <w:r>
        <w:rPr>
          <w:b/>
          <w:color w:val="#1a1a2e"/>
          <w:sz w:val="44"/>
          <w:szCs w:val="44"/>
        </w:rPr>
        <w:t xml:space="preserve">重点股票次日后评估白皮书</w:t>
      </w:r>
    </w:p>
    <w:p>
      <w:pPr/>
      <w:r>
        <w:rPr>
          <w:color w:val="666666"/>
          <w:sz w:val="21"/>
          <w:szCs w:val="21"/>
        </w:rPr>
        <w:t xml:space="preserve">版本 v1.0 | 2026-05-21</w:t>
      </w:r>
    </w:p>
    <w:p>
      <w:pPr>
        <w:pBdr>
          <w:bottom w:val="single" w:sz="6" w:space="1" w:color="CCCCCC"/>
        </w:pBdr>
      </w:pPr>
    </w:p>
    <w:p>
      <w:pPr/>
      <w:r>
        <w:rPr>
          <w:color w:val="333333"/>
        </w:rPr>
        <w:t xml:space="preserve">生效范围：所有重点股票次日复盘评估</w:t>
      </w:r>
    </w:p>
    <w:p>
      <w:pPr/>
      <w:r>
        <w:rPr>
          <w:color w:val="333333"/>
        </w:rPr>
        <w:t xml:space="preserve">前置要求：每次盘后复盘必须先读取本文档，严格按照评估逻辑执行</w:t>
      </w:r>
    </w:p>
    <w:p>
      <w:pPr/>
      <w:r>
        <w:rPr>
          <w:color w:val="333333"/>
        </w:rPr>
        <w:t xml:space="preserve">存储路径：重点股票\次日评估\</w:t>
      </w:r>
    </w:p>
    <w:p>
      <w:pPr>
        <w:pStyle w:val="2"/>
      </w:pPr>
      <w:r>
        <w:rPr>
          <w:b/>
        </w:rPr>
        <w:t xml:space="preserve">一、评估体系概述</w:t>
      </w:r>
    </w:p>
    <w:p>
      <w:pPr>
        <w:pStyle w:val="3"/>
      </w:pPr>
      <w:r>
        <w:rPr>
          <w:b/>
        </w:rPr>
        <w:t xml:space="preserve">1.1 目的与范围</w:t>
      </w:r>
    </w:p>
    <w:p>
      <w:pPr/>
      <w:r>
        <w:rPr/>
        <w:t xml:space="preserve">对前日生成的重点股票分析报告进行系统性复盘，评估六维评分、三周期预判、趋势健康度、关键价位的准确性，持续改进分析逻辑。</w:t>
      </w:r>
    </w:p>
    <w:p>
      <w:pPr/>
      <w:r>
        <w:rPr/>
        <w:t xml:space="preserve">评估对象：前日生成的每份重点股票分析报告 | 评估频率：每个交易日盘后 | 评估数量：全部在库重点股票（当前6只）</w:t>
      </w:r>
    </w:p>
    <w:p>
      <w:pPr>
        <w:pStyle w:val="3"/>
      </w:pPr>
      <w:r>
        <w:rPr>
          <w:b/>
        </w:rPr>
        <w:t xml:space="preserve">1.2 评估触发条件</w:t>
      </w:r>
    </w:p>
    <w:tbl>
      <w:tblPr>
        <w:tblW w:w="5000" w:type="dxa"/>
        <w:tblBorders>
          <w:top w:val="single" w:sz="4" w:color="CCCCCC"/>
          <w:bottom w:val="single" w:sz="4" w:color="CCCCCC"/>
          <w:insideH w:val="single" w:sz="4" w:color="CCCCCC"/>
        </w:tblBorders>
      </w:tblPr>
      <w:tr>
        <w:tc>
          <w:tcPr>
            <w:tcW w:w="2000" w:type="dxa"/>
            <w:shd w:val="clear" w:color="auto" w:fill="True"/>
          </w:tcPr>
          <w:p>
            <w:r>
              <w:rPr>
                <w:b/>
                <w:color w:val="FFFFFF"/>
                <w:sz w:val="21"/>
                <w:szCs w:val="21"/>
              </w:rPr>
              <w:t xml:space="preserve">条件</w:t>
            </w:r>
          </w:p>
        </w:tc>
        <w:tc>
          <w:tcPr>
            <w:tcW w:w="2000" w:type="dxa"/>
            <w:shd w:val="clear" w:color="auto" w:fill="True"/>
          </w:tcPr>
          <w:p>
            <w:r>
              <w:rPr>
                <w:b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/>
              <w:t xml:space="preserve">时间条件</w:t>
            </w:r>
          </w:p>
        </w:tc>
        <w:tc>
          <w:tcPr>
            <w:tcW w:w="2000" w:type="dxa"/>
            <w:shd w:val="clear" w:color="auto" w:fill="FFFFFF"/>
          </w:tcPr>
          <w:p>
            <w:r>
              <w:rPr/>
              <w:t xml:space="preserve">每个交易日下午收盘后（15:00后）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/>
              <w:t xml:space="preserve">数据条件</w:t>
            </w:r>
          </w:p>
        </w:tc>
        <w:tc>
          <w:tcPr>
            <w:tcW w:w="2000" w:type="dxa"/>
            <w:shd w:val="clear" w:color="auto" w:fill="FFFFFF"/>
          </w:tcPr>
          <w:p>
            <w:r>
              <w:rPr/>
              <w:t xml:space="preserve">当日行情数据可获取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/>
              <w:t xml:space="preserve">前置条件</w:t>
            </w:r>
          </w:p>
        </w:tc>
        <w:tc>
          <w:tcPr>
            <w:tcW w:w="2000" w:type="dxa"/>
            <w:shd w:val="clear" w:color="auto" w:fill="FFFFFF"/>
          </w:tcPr>
          <w:p>
            <w:r>
              <w:rPr/>
              <w:t xml:space="preserve">前日已生成对应的分析报告</w:t>
            </w:r>
          </w:p>
        </w:tc>
      </w:tr>
      <w:tr>
        <w:tc>
          <w:tcPr>
            <w:tcW w:w="2000" w:type="dxa"/>
            <w:shd w:val="clear" w:color="auto" w:fill="FFFFFF"/>
          </w:tcPr>
          <w:p>
            <w:r>
              <w:rPr/>
              <w:t xml:space="preserve">特殊条件</w:t>
            </w:r>
          </w:p>
        </w:tc>
        <w:tc>
          <w:tcPr>
            <w:tcW w:w="2000" w:type="dxa"/>
            <w:shd w:val="clear" w:color="auto" w:fill="FFFFFF"/>
          </w:tcPr>
          <w:p>
            <w:r>
              <w:rPr/>
              <w:t xml:space="preserve">节假日/停牌自动跳过</w:t>
            </w:r>
          </w:p>
        </w:tc>
      </w:tr>
    </w:tbl>
    <w:p>
      <w:pPr>
        <w:pStyle w:val="3"/>
      </w:pPr>
      <w:r>
        <w:rPr>
          <w:b/>
        </w:rPr>
        <w:t xml:space="preserve">1.3 评估流程</w:t>
      </w:r>
    </w:p>
    <w:p>
      <w:pPr/>
      <w:r>
        <w:rPr/>
        <w:t xml:space="preserve">步骤：采集前日报告数据 → 采集当日行情 → 逐项对比验证 → 打分评估 → 生成复盘报告 → 更新优化记录 → 触发自优化（可选）</w:t>
      </w:r>
    </w:p>
    <w:p>
      <w:pPr/>
      <w:r>
        <w:rPr/>
        <w:t xml:space="preserve">1. 读取前日报告的关键数据（评分、预判、关键价位）</w:t>
      </w:r>
    </w:p>
    <w:p>
      <w:pPr/>
      <w:r>
        <w:rPr/>
        <w:t xml:space="preserve">2. 采集当日行情数据</w:t>
      </w:r>
    </w:p>
    <w:p>
      <w:pPr/>
      <w:r>
        <w:rPr/>
        <w:t xml:space="preserve">3. 逐项对比预测 vs 实际</w:t>
      </w:r>
    </w:p>
    <w:p>
      <w:pPr/>
      <w:r>
        <w:rPr/>
        <w:t xml:space="preserve">4. 按评估维度打分</w:t>
      </w:r>
    </w:p>
    <w:p>
      <w:pPr/>
      <w:r>
        <w:rPr/>
        <w:t xml:space="preserve">5. 生成结构化复盘报告</w:t>
      </w:r>
    </w:p>
    <w:p>
      <w:pPr/>
      <w:r>
        <w:rPr/>
        <w:t xml:space="preserve">6. 更新历史准确率跟踪表</w:t>
      </w:r>
    </w:p>
    <w:p>
      <w:pPr/>
      <w:r>
        <w:rPr/>
        <w:t xml:space="preserve">7. 判断是否触发自优化</w:t>
      </w:r>
    </w:p>
    <w:p>
      <w:pPr>
        <w:pStyle w:val="2"/>
      </w:pPr>
      <w:r>
        <w:rPr>
          <w:b/>
        </w:rPr>
        <w:t xml:space="preserve">二、评估维度与评分标准</w:t>
      </w:r>
    </w:p>
    <w:p>
      <w:pPr>
        <w:pStyle w:val="3"/>
      </w:pPr>
      <w:r>
        <w:rPr>
          <w:b/>
        </w:rPr>
        <w:t xml:space="preserve">2.1 方向预判评估（30分）</w:t>
      </w:r>
    </w:p>
    <w:p>
      <w:pPr>
        <w:pStyle w:val="4"/>
      </w:pPr>
      <w:r>
        <w:rPr>
          <w:b/>
        </w:rPr>
        <w:t xml:space="preserve">2.1.1 短期方向评估（15分）</w:t>
      </w:r>
    </w:p>
    <w:p>
      <w:pPr/>
      <w:r>
        <w:rPr/>
        <w:t xml:space="preserve">对比前日报告的短期预判与当日实际涨跌幅：</w:t>
      </w:r>
    </w:p>
    <w:p>
      <w:pPr/>
      <w:r>
        <w:rPr/>
        <w:t xml:space="preserve">看多→涨跌幅≥+0.5%得15分，+0%~+0.5%得8分，&lt;0%得0分</w:t>
      </w:r>
    </w:p>
    <w:p>
      <w:pPr/>
      <w:r>
        <w:rPr/>
        <w:t xml:space="preserve">偏多→涨跌幅&gt;0%得15分，-0.5%~0%得8分，&lt;-0.5%得0分</w:t>
      </w:r>
    </w:p>
    <w:p>
      <w:pPr/>
      <w:r>
        <w:rPr/>
        <w:t xml:space="preserve">中性→涨跌幅±1%以内得15分，±2%以内得8分，超出±2%得0分</w:t>
      </w:r>
    </w:p>
    <w:p>
      <w:pPr/>
      <w:r>
        <w:rPr/>
        <w:t xml:space="preserve">看空→涨跌幅&lt;-0.5%得15分，-0.5%~0%得8分，&gt;0%得0分</w:t>
      </w:r>
    </w:p>
    <w:p>
      <w:pPr>
        <w:pStyle w:val="4"/>
      </w:pPr>
      <w:r>
        <w:rPr>
          <w:b/>
        </w:rPr>
        <w:t xml:space="preserve">2.1.2 日内波动评估（15分）</w:t>
      </w:r>
    </w:p>
    <w:p>
      <w:pPr/>
      <w:r>
        <w:rPr/>
        <w:t xml:space="preserve">看多/偏多→最高价&gt;开盘价得15分；看空→最低价&lt;开盘价得15分；中性→振幅≤3%得15分</w:t>
      </w:r>
    </w:p>
    <w:p>
      <w:pPr>
        <w:pStyle w:val="3"/>
      </w:pPr>
      <w:r>
        <w:rPr>
          <w:b/>
        </w:rPr>
        <w:t xml:space="preserve">2.2 关键价位验证（20分）</w:t>
      </w:r>
    </w:p>
    <w:p>
      <w:pPr/>
      <w:r>
        <w:rPr/>
        <w:t xml:space="preserve">支撑位验证（8分）：最低价&gt;支撑位×0.98得8分，&gt;0.95得4分，否则0分</w:t>
      </w:r>
    </w:p>
    <w:p>
      <w:pPr/>
      <w:r>
        <w:rPr/>
        <w:t xml:space="preserve">阻力位验证（8分）：最高价&lt;阻力位×1.02得8分，&lt;1.05得4分，否则0分</w:t>
      </w:r>
    </w:p>
    <w:p>
      <w:pPr/>
      <w:r>
        <w:rPr/>
        <w:t xml:space="preserve">止损位验证（4分）：最低价&gt;止损位得4分，触发止损得0分</w:t>
      </w:r>
    </w:p>
    <w:p>
      <w:pPr>
        <w:pStyle w:val="3"/>
      </w:pPr>
      <w:r>
        <w:rPr>
          <w:b/>
        </w:rPr>
        <w:t xml:space="preserve">2.3 技术面验证（20分）</w:t>
      </w:r>
    </w:p>
    <w:p>
      <w:pPr/>
      <w:r>
        <w:rPr/>
        <w:t xml:space="preserve">MA趋势延续性（6分）：延续=6分，走弱=3分，逆转=0分</w:t>
      </w:r>
    </w:p>
    <w:p>
      <w:pPr/>
      <w:r>
        <w:rPr/>
        <w:t xml:space="preserve">MACD信号验证（6分）：增强/维持=6分，走弱=3分，逆转=0分</w:t>
      </w:r>
    </w:p>
    <w:p>
      <w:pPr/>
      <w:r>
        <w:rPr/>
        <w:t xml:space="preserve">RSI区域判断（4分）：准确=4分，偏差1区间=2分，更多=0分</w:t>
      </w:r>
    </w:p>
    <w:p>
      <w:pPr/>
      <w:r>
        <w:rPr/>
        <w:t xml:space="preserve">量能分析验证（4分）：准确=4分，部分=2分，不准确=0分</w:t>
      </w:r>
    </w:p>
    <w:p>
      <w:pPr>
        <w:pStyle w:val="3"/>
      </w:pPr>
      <w:r>
        <w:rPr>
          <w:b/>
        </w:rPr>
        <w:t xml:space="preserve">2.4 报告质量评估（30分）</w:t>
      </w:r>
    </w:p>
    <w:p>
      <w:pPr/>
      <w:r>
        <w:rPr/>
        <w:t xml:space="preserve">数据源完整性（8分）：完整=8分，部分缺失=4分，多处缺失=0分</w:t>
      </w:r>
    </w:p>
    <w:p>
      <w:pPr/>
      <w:r>
        <w:rPr/>
        <w:t xml:space="preserve">分析逻辑一致性（8分）：一致=8分，少量不一致=4分，多处矛盾=0分</w:t>
      </w:r>
    </w:p>
    <w:p>
      <w:pPr/>
      <w:r>
        <w:rPr/>
        <w:t xml:space="preserve">风险提示充分性（7分）：充分=7分，不完整=3分，无=0分</w:t>
      </w:r>
    </w:p>
    <w:p>
      <w:pPr/>
      <w:r>
        <w:rPr/>
        <w:t xml:space="preserve">格式规范性（7分）：规范=7分，基本完整=3分，混乱=0分</w:t>
      </w:r>
    </w:p>
    <w:p>
      <w:pPr>
        <w:pStyle w:val="3"/>
      </w:pPr>
      <w:r>
        <w:rPr>
          <w:b/>
        </w:rPr>
        <w:t xml:space="preserve">2.5 综合评分与评级</w:t>
      </w:r>
    </w:p>
    <w:p>
      <w:pPr/>
      <w:r>
        <w:rPr/>
        <w:t xml:space="preserve">综合评分=方向预判(30)+关键价位(20)+技术面(20)+质量评估(30)=0~100分</w:t>
      </w:r>
    </w:p>
    <w:p>
      <w:pPr/>
      <w:r>
        <w:rPr/>
        <w:t xml:space="preserve">≥85分：优秀 | ≥70分：良好 | ≥55分：一般 | ≥40分：较差 | &lt;40分：差</w:t>
      </w:r>
    </w:p>
    <w:p>
      <w:pPr/>
      <w:r>
        <w:rPr/>
        <w:t xml:space="preserve">一票否决：方向完全相反、关键价位全部失效、数据源缺失超3处→直接评差</w:t>
      </w:r>
    </w:p>
    <w:p>
      <w:pPr>
        <w:pStyle w:val="2"/>
      </w:pPr>
      <w:r>
        <w:rPr>
          <w:b/>
        </w:rPr>
        <w:t xml:space="preserve">三、评估算法</w:t>
      </w:r>
    </w:p>
    <w:p>
      <w:pPr>
        <w:pStyle w:val="3"/>
      </w:pPr>
      <w:r>
        <w:rPr>
          <w:b/>
        </w:rPr>
        <w:t xml:space="preserve">3.1 方向预判评分算法</w:t>
      </w:r>
    </w:p>
    <w:p>
      <w:pPr/>
      <w:r>
        <w:rPr/>
        <w:t xml:space="preserve">Score_Direction = Score_ShortTerm(0~15) + Score_Intraday(0~15)</w:t>
      </w:r>
    </w:p>
    <w:p>
      <w:pPr/>
      <w:r>
        <w:rPr/>
        <w:t xml:space="preserve">Score_ShortTerm：基于§2.1.1表格映射预判方向→实际涨跌幅，正确=15，部分=8，错误=0</w:t>
      </w:r>
    </w:p>
    <w:p>
      <w:pPr/>
      <w:r>
        <w:rPr/>
        <w:t xml:space="preserve">Score_Intraday：基于§2.1.2判断日内方向，正确=15，错误=0</w:t>
      </w:r>
    </w:p>
    <w:p>
      <w:pPr>
        <w:pStyle w:val="3"/>
      </w:pPr>
      <w:r>
        <w:rPr>
          <w:b/>
        </w:rPr>
        <w:t xml:space="preserve">3.2 关键价位评分算法</w:t>
      </w:r>
    </w:p>
    <w:p>
      <w:pPr/>
      <w:r>
        <w:rPr/>
        <w:t xml:space="preserve">Score_Levels = Score_Support(0~8) + Score_Resistance(0~8) + Score_StopLoss(0~4)</w:t>
      </w:r>
    </w:p>
    <w:p>
      <w:pPr/>
      <w:r>
        <w:rPr/>
        <w:t xml:space="preserve">支撑：Low&gt;Support×0.98→8分，Low&gt;Support×0.95→4分，else→0分</w:t>
      </w:r>
    </w:p>
    <w:p>
      <w:pPr/>
      <w:r>
        <w:rPr/>
        <w:t xml:space="preserve">阻力：High&lt;Resist×1.02→8分，High&lt;Resist×1.05→4分，else→0分</w:t>
      </w:r>
    </w:p>
    <w:p>
      <w:pPr/>
      <w:r>
        <w:rPr/>
        <w:t xml:space="preserve">止损：Low&gt;StopLoss→4分，else→0分</w:t>
      </w:r>
    </w:p>
    <w:p>
      <w:pPr>
        <w:pStyle w:val="3"/>
      </w:pPr>
      <w:r>
        <w:rPr>
          <w:b/>
        </w:rPr>
        <w:t xml:space="preserve">3.3 技术面评分算法</w:t>
      </w:r>
    </w:p>
    <w:p>
      <w:pPr/>
      <w:r>
        <w:rPr/>
        <w:t xml:space="preserve">Score_Tech = MA(0~6) + MACD(0~6) + RSI(0~4) + Volume(0~4)</w:t>
      </w:r>
    </w:p>
    <w:p>
      <w:pPr>
        <w:pStyle w:val="3"/>
      </w:pPr>
      <w:r>
        <w:rPr>
          <w:b/>
        </w:rPr>
        <w:t xml:space="preserve">3.4 质量评分算法</w:t>
      </w:r>
    </w:p>
    <w:p>
      <w:pPr/>
      <w:r>
        <w:rPr/>
        <w:t xml:space="preserve">Score_Quality = Source(0~8) + Logic(0~8) + Risk(0~7) + Format(0~7)</w:t>
      </w:r>
    </w:p>
    <w:p>
      <w:pPr>
        <w:pStyle w:val="3"/>
      </w:pPr>
      <w:r>
        <w:rPr>
          <w:b/>
        </w:rPr>
        <w:t xml:space="preserve">3.5 综合评分</w:t>
      </w:r>
    </w:p>
    <w:p>
      <w:pPr/>
      <w:r>
        <w:rPr/>
        <w:t xml:space="preserve">Score_Total = Score_Direction + Score_Levels + Score_Tech + Score_Quality</w:t>
      </w:r>
    </w:p>
    <w:p>
      <w:pPr/>
      <w:r>
        <w:rPr/>
        <w:t xml:space="preserve">范围0~100分，按§2.5规则评级</w:t>
      </w:r>
    </w:p>
    <w:p>
      <w:pPr>
        <w:pStyle w:val="2"/>
      </w:pPr>
      <w:r>
        <w:rPr>
          <w:b/>
        </w:rPr>
        <w:t xml:space="preserve">四、复盘报告生成规范</w:t>
      </w:r>
    </w:p>
    <w:p>
      <w:pPr>
        <w:pStyle w:val="3"/>
      </w:pPr>
      <w:r>
        <w:rPr>
          <w:b/>
        </w:rPr>
        <w:t xml:space="preserve">4.1 报告结构</w:t>
      </w:r>
    </w:p>
    <w:p>
      <w:pPr/>
      <w:r>
        <w:rPr/>
        <w:t xml:space="preserve">1. 报告头—报告名称、日期、股票清单</w:t>
      </w:r>
    </w:p>
    <w:p>
      <w:pPr/>
      <w:r>
        <w:rPr/>
        <w:t xml:space="preserve">2. 执行摘要—各股票评估评分汇总表+评级分布</w:t>
      </w:r>
    </w:p>
    <w:p>
      <w:pPr/>
      <w:r>
        <w:rPr/>
        <w:t xml:space="preserve">3. 逐股详细评估—方向预判对比、关键价位验证、技术面验证、质量评估</w:t>
      </w:r>
    </w:p>
    <w:p>
      <w:pPr/>
      <w:r>
        <w:rPr/>
        <w:t xml:space="preserve">4. 综合统计—整体准确率、平均分、最佳/最差维度</w:t>
      </w:r>
    </w:p>
    <w:p>
      <w:pPr/>
      <w:r>
        <w:rPr/>
        <w:t xml:space="preserve">5. 自优化建议（如需触发）</w:t>
      </w:r>
    </w:p>
    <w:p>
      <w:pPr/>
      <w:r>
        <w:rPr/>
        <w:t xml:space="preserve">6. 数据来源附录</w:t>
      </w:r>
    </w:p>
    <w:p>
      <w:pPr/>
      <w:r>
        <w:rPr/>
        <w:t xml:space="preserve">7. 免责声明</w:t>
      </w:r>
    </w:p>
    <w:p>
      <w:pPr>
        <w:pStyle w:val="3"/>
      </w:pPr>
      <w:r>
        <w:rPr>
          <w:b/>
        </w:rPr>
        <w:t xml:space="preserve">4.2 存储规范</w:t>
      </w:r>
    </w:p>
    <w:p>
      <w:pPr/>
      <w:r>
        <w:rPr/>
        <w:t xml:space="preserve">根目录：重点股票\次日评估\</w:t>
      </w:r>
    </w:p>
    <w:p>
      <w:pPr/>
      <w:r>
        <w:rPr/>
        <w:t xml:space="preserve">报告目录：复盘报告\复盘报告_YYYYMMDD.pdf</w:t>
      </w:r>
    </w:p>
    <w:p>
      <w:pPr/>
      <w:r>
        <w:rPr/>
        <w:t xml:space="preserve">数据文件：评估数据_YYYYMMDD.json（用于自优化）</w:t>
      </w:r>
    </w:p>
    <w:p>
      <w:pPr>
        <w:pStyle w:val="2"/>
      </w:pPr>
      <w:r>
        <w:rPr>
          <w:b/>
        </w:rPr>
        <w:t xml:space="preserve">五、自优化机制</w:t>
      </w:r>
    </w:p>
    <w:p>
      <w:pPr>
        <w:pStyle w:val="3"/>
      </w:pPr>
      <w:r>
        <w:rPr>
          <w:b/>
        </w:rPr>
        <w:t xml:space="preserve">5.1 评估指标跟踪</w:t>
      </w:r>
    </w:p>
    <w:p>
      <w:pPr/>
      <w:r>
        <w:rPr/>
        <w:t xml:space="preserve">每次评估后更新：各维度准确率、综合准确率、方向预判准确率、关键价位准确率</w:t>
      </w:r>
    </w:p>
    <w:p>
      <w:pPr/>
      <w:r>
        <w:rPr/>
        <w:t xml:space="preserve">跟踪表存储：评估准确率跟踪.csv</w:t>
      </w:r>
    </w:p>
    <w:p>
      <w:pPr>
        <w:pStyle w:val="3"/>
      </w:pPr>
      <w:r>
        <w:rPr>
          <w:b/>
        </w:rPr>
        <w:t xml:space="preserve">5.2 阈值优化</w:t>
      </w:r>
    </w:p>
    <w:p>
      <w:pPr/>
      <w:r>
        <w:rPr/>
        <w:t xml:space="preserve">累计评估≥5次后，自动分析各维度评分与次日实际走势的相关性：</w:t>
      </w:r>
    </w:p>
    <w:p>
      <w:pPr/>
      <w:r>
        <w:rPr/>
        <w:t xml:space="preserve">- 评分区分度：高分股票次日是否确实表现更好</w:t>
      </w:r>
    </w:p>
    <w:p>
      <w:pPr/>
      <w:r>
        <w:rPr/>
        <w:t xml:space="preserve">- 维度权重优化：回归分析各维度对预测准确性的贡献度</w:t>
      </w:r>
    </w:p>
    <w:p>
      <w:pPr/>
      <w:r>
        <w:rPr/>
        <w:t xml:space="preserve">- 评分阈值调整：最优评分分段阈值</w:t>
      </w:r>
    </w:p>
    <w:p>
      <w:pPr>
        <w:pStyle w:val="3"/>
      </w:pPr>
      <w:r>
        <w:rPr>
          <w:b/>
        </w:rPr>
        <w:t xml:space="preserve">5.3 权重调整</w:t>
      </w:r>
    </w:p>
    <w:p>
      <w:pPr/>
      <w:r>
        <w:rPr/>
        <w:t xml:space="preserve">触发条件：累计评估≥5次，或连续3次某维度偏差&gt;20%，或某维度准确率持续&lt;50%</w:t>
      </w:r>
    </w:p>
    <w:p>
      <w:pPr/>
      <w:r>
        <w:rPr/>
        <w:t xml:space="preserve">调整幅度：单次调整不超过±5个百分点</w:t>
      </w:r>
    </w:p>
    <w:p>
      <w:pPr>
        <w:pStyle w:val="3"/>
      </w:pPr>
      <w:r>
        <w:rPr>
          <w:b/>
        </w:rPr>
        <w:t xml:space="preserve">5.4 优化执行流程</w:t>
      </w:r>
    </w:p>
    <w:p>
      <w:pPr/>
      <w:r>
        <w:rPr/>
        <w:t xml:space="preserve">触发自优化→读取历史评估数据→统计分析各维度准确率→生成优化建议报告→人工确认→更新分析逻辑白皮书→更新后评估白皮书</w:t>
      </w:r>
    </w:p>
    <w:p>
      <w:pPr>
        <w:pStyle w:val="2"/>
      </w:pPr>
      <w:r>
        <w:rPr>
          <w:b/>
        </w:rPr>
        <w:t xml:space="preserve">六、数据来源</w:t>
      </w:r>
    </w:p>
    <w:p>
      <w:pPr/>
      <w:r>
        <w:rPr/>
        <w:t xml:space="preserve">当日行情：腾讯行情API[1] | 当日K线：新浪K线[2]</w:t>
      </w:r>
    </w:p>
    <w:p>
      <w:pPr/>
      <w:r>
        <w:rPr/>
        <w:t xml:space="preserve">前日报告数据：分析报告时保存的JSON | 板块数据：东方财富[7] | 资金流向：东方财富[9][10]</w:t>
      </w:r>
    </w:p>
    <w:p>
      <w:pPr>
        <w:pStyle w:val="2"/>
      </w:pPr>
      <w:r>
        <w:rPr>
          <w:b/>
        </w:rPr>
        <w:t xml:space="preserve">七、文件信息</w:t>
      </w:r>
    </w:p>
    <w:p>
      <w:pPr/>
      <w:r>
        <w:rPr/>
        <w:t xml:space="preserve">根目录：C:\Users\34269\Documents\Claude\股票分析\重点股票\次日评估</w:t>
      </w:r>
    </w:p>
    <w:p>
      <w:pPr/>
      <w:r>
        <w:rPr/>
        <w:t xml:space="preserve">复盘报告：复盘报告\复盘报告_YYYYMMDD.pdf</w:t>
      </w:r>
    </w:p>
    <w:p>
      <w:pPr/>
      <w:r>
        <w:rPr/>
        <w:t xml:space="preserve">评估数据：评估数据_YYYYMMDD.json</w:t>
      </w:r>
    </w:p>
    <w:p>
      <w:pPr/>
      <w:r>
        <w:rPr/>
        <w:t xml:space="preserve">准确率跟踪：评估准确率跟踪.csv</w:t>
      </w:r>
    </w:p>
    <w:p>
      <w:pPr/>
      <w:r>
        <w:rPr/>
        <w:t xml:space="preserve">关联白皮书：重点股票跟踪分析逻辑白皮书（需同步更新）</w:t>
      </w:r>
    </w:p>
  </w:body>
</w:document>
</file>

<file path=word/fontTable.xml><?xml version="1.0" encoding="utf-8"?>
<w:fonts xmlns:w="http://schemas.openxmlformats.org/wordprocessingml/2006/main">
  <w:font w:name="Microsoft YaHei">
    <w:altName w:val="微软雅黑"/>
  </w:font>
  <w:font w:name="Calibri">
    <w:altName w:val="Calibri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="Microsoft YaHei" w:hAnsi="Microsoft YaHei"/>
        <w:sz w:val="21"/>
        <w:szCs w:val="21"/>
      </w:rPr>
    </w:rPrDefault>
  </w:docDefaults>
  <w:style w:type="paragraph" w:styleId="a">
    <w:name w:val="Normal"/>
    <w:pPr>
      <w:spacing w:line="360" w:after="120"/>
    </w:pPr>
  </w:style>
  <w:style w:type="paragraph" w:styleId="1">
    <w:name w:val="heading 1"/>
    <w:basedOn w:val="a"/>
    <w:pPr>
      <w:spacing w:before="360" w:after="200"/>
    </w:pPr>
    <w:rPr>
      <w:b/>
      <w:sz w:val="36"/>
      <w:szCs w:val="36"/>
    </w:rPr>
  </w:style>
  <w:style w:type="paragraph" w:styleId="2">
    <w:name w:val="heading 2"/>
    <w:basedOn w:val="a"/>
    <w:pPr>
      <w:spacing w:before="240" w:after="120"/>
    </w:pPr>
    <w:rPr>
      <w:b/>
      <w:sz w:val="28"/>
      <w:szCs w:val="28"/>
    </w:rPr>
  </w:style>
  <w:style w:type="paragraph" w:styleId="3">
    <w:name w:val="heading 3"/>
    <w:basedOn w:val="a"/>
    <w:pPr>
      <w:spacing w:before="200" w:after="100"/>
    </w:pPr>
    <w:rPr>
      <w:b/>
      <w:sz w:val="24"/>
      <w:szCs w:val="24"/>
    </w:rPr>
  </w:style>
  <w:style w:type="paragraph" w:styleId="4">
    <w:name w:val="heading 4"/>
    <w:basedOn w:val="a"/>
    <w:pPr>
      <w:spacing w:before="160" w:after="80"/>
    </w:pPr>
    <w:rPr>
      <w:b/>
      <w:sz w:val="22"/>
      <w:szCs w:val="22"/>
    </w:rPr>
  </w:style>
  <w:style w:type="character" w:styleId="a0">
    <w:name w:val="Hyperlink"/>
    <w:rPr>
      <w:color w:val="0563C1"/>
      <w:u w:val="single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>
  <Application>Claude Code</Application>
  <DocSecurity>0</DocSecurity>
  <Lines>1</Lines>
  <Paragraphs>1</Paragraphs>
  <Template>Normal</Template>
  <TotalTime>0</TotalTime>
  <Scale>Crop</Scale>
  <HeadingPairs>(2, 1)(3, 6)(4, 2)(6, 4)(7, 3)</HeadingPai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重点股票次日后评估白皮书</dc:title>
  <dc:subject>股票分析后评估</dc:subject>
  <dc:creator>Claude</dc:creator>
  <dcterms:created>2026-05-21</dcterms:created>
</cp:coreProperties>
</file>