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﻿<?xml version="1.0" encoding="UTF-8" standalone="yes"?><w:document xmlns:w="http://schemas.openxmlformats.org/wordprocessingml/2006/main" xmlns:r="http://schemas.openxmlformats.org/officeDocument/2006/relationships"><w:body><w:p><w:pPr><w:pStyle w:val="1"/></w:pPr><w:r><w:rPr><w:b/><w:color w:val="#1a1a2e"/><w:sz w:val="44"/><w:szCs w:val="44"/></w:rPr><w:t xml:space="preserve">重点股票次日后评估白皮书</w:t></w:r></w:p><w:p><w:pPr></w:pPr><w:r><w:rPr><w:color w:val="666666"/><w:sz w:val="21"/><w:szCs w:val="21"/></w:rPr><w:t xml:space="preserve">版本 v1.2 | 2026-05-21</w:t></w:r></w:p><w:p><w:pPr><w:pStyle w:val="分析逻辑本身，不是股票涨跌对错"/><w:jc w:val="21"/></w:pPr><w:r><w:rPr><w:b/><w:color w:val="True"/><w:sz w:val="c0392b"/><w:szCs w:val="c0392b"/></w:rPr><w:t xml:space="preserve">核心原则：复盘的是</w:t></w:r></w:p><w:p><w:pPr><w:pBdr><w:bottom w:val="single" w:sz="6" w:space="1" w:color="CCCCCC"/></w:pBdr></w:pPr></w:p><w:p><w:pPr></w:pPr><w:r><w:rPr><w:color w:val="333333"/></w:rPr><w:t xml:space="preserve">生效范围：所有重点股票分析逻辑的后评估</w:t></w:r></w:p><w:p><w:pPr></w:pPr><w:r><w:rPr><w:color w:val="333333"/></w:rPr><w:t xml:space="preserve">前置要求：每次盘后复盘必须先读取本文档，严格按照本文档的评估逻辑执行</w:t></w:r></w:p><w:p><w:pPr></w:pPr><w:r><w:rPr><w:color w:val="333333"/></w:rPr><w:t xml:space="preserve">存储路径：重点股票\次日评估\</w:t></w:r></w:p><w:p><w:pPr><w:pStyle w:val="2"/></w:pPr><w:r><w:rPr><w:b/></w:rPr><w:t xml:space="preserve">一、评估体系概述</w:t></w:r></w:p><w:p><w:pPr><w:pStyle w:val="3"/></w:pPr><w:r><w:rPr><w:b/></w:rPr><w:t xml:space="preserve">1.1 目的与范围</w:t></w:r></w:p><w:p><w:pPr><w:pStyle w:val="这只股票预测对了吗，而是我们的分析方法有效吗。"/></w:pPr><w:r><w:rPr><w:b/></w:rPr><w:t xml:space="preserve">目的：对重点股票分析框架进行系统性复盘，评估六维评分模型、各子指标信号、阈值设定的有效性，持续改进分析逻辑。核心问题不是</w:t></w:r></w:p><w:p><w:pPr></w:pPr><w:r><w:rPr><w:b/></w:rPr><w:t xml:space="preserve">核心问题：</w:t></w:r></w:p><w:p><w:pPr></w:pPr><w:r><w:rPr></w:rPr><w:t xml:space="preserve">1. 六维评分框架是否有效？哪些维度有真正的预测能力？</w:t></w:r></w:p><w:p><w:pPr></w:pPr><w:r><w:rPr></w:rPr><w:t xml:space="preserve">2. 每个子指标（MA排列、MACD、RSI、ROE等）的信号准确率如何？</w:t></w:r></w:p><w:p><w:pPr></w:pPr><w:r><w:rPr></w:rPr><w:t xml:space="preserve">3. 评分阈值（优秀/良好/一般/差）是否合理？能否区分好坏？</w:t></w:r></w:p><w:p><w:pPr></w:pPr><w:r><w:rPr></w:rPr><w:t xml:space="preserve">4. 分析框架是否自洽？评分与结论是否一致？</w:t></w:r></w:p><w:p><w:pPr></w:pPr><w:r><w:rPr></w:rPr><w:t xml:space="preserve">5. 随着时间推移，我们的分析是否在进步？</w:t></w:r></w:p><w:p><w:pPr></w:pPr><w:r><w:rPr></w:rPr><w:t xml:space="preserve">评估频率：每个交易日盘后执行（累积数据）| 评估数量：全部在库重点股票每次分析的数据点</w:t></w:r></w:p><w:p><w:pPr><w:pStyle w:val="3"/></w:pPr><w:r><w:rPr><w:b/></w:rPr><w:t xml:space="preserve">1.2 评估流程</w:t></w:r></w:p><w:p><w:pPr></w:pPr><w:r><w:rPr></w:rPr><w:t xml:space="preserve">采集当日行情 → 读取历史评估数据 → 各维度相关性分析 → 各指标信号胜率计算 → 阈值有效性检验 → 趋势分析 → 生成逻辑诊断报告 → 更新知识积累 → 产出优化建议</w:t></w:r></w:p><w:p><w:pPr><w:pStyle w:val="2"/></w:pPr><w:r><w:rPr><w:b/></w:rPr><w:t xml:space="preserve">二、评估维度</w:t></w:r></w:p><w:p><w:pPr><w:pStyle w:val="3"/></w:pPr><w:r><w:rPr><w:b/></w:rPr><w:t xml:space="preserve">2.1 维度有效性（30分）</w:t></w:r></w:p><w:p><w:pPr></w:pPr><w:r><w:rPr><w:color w:val="666666"/></w:rPr><w:t xml:space="preserve">核心问题：六维评分框架的每个维度是否真的有预测能力？</w:t></w:r></w:p><w:p><w:pPr><w:pStyle w:val="4"/></w:pPr><w:r><w:rPr><w:b/></w:rPr><w:t xml:space="preserve">相关性分析（15分）：</w:t></w:r></w:p><w:p><w:pPr></w:pPr><w:r><w:rPr></w:rPr><w:t xml:space="preserve">对每个维度，计算评分与次日涨跌幅的Pearson相关系数r：r≥0.3（强相关→15分），0.15≤r&lt;0.3（弱相关→8分），0≤r&lt;0.15（不相关→3分），r&lt;0（反向→0分）</w:t></w:r></w:p><w:p><w:pPr><w:pStyle w:val="4"/></w:pPr><w:r><w:rPr><w:b/></w:rPr><w:t xml:space="preserve">区分度分析（15分）：</w:t></w:r></w:p><w:p><w:pPr></w:pPr><w:r><w:rPr></w:rPr><w:t xml:space="preserve">按评分分为高分组(≥60)和低分组(&lt;40)，比较次日平均收益差异：差异≥1%（有效→15分），0.5%~1%（部分→8分），&lt;0.5%（无效→3分），反向→0分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维度</w:t></w:r></w:p></w:tc><w:tc><w:tcPr><w:tcW w:w="2000" w:type="dxa"/><w:shd w:val="clear" w:color="auto" w:fill="1a1a2e"/></w:tcPr><w:p><w:r><w:rPr><w:b/><w:color w:val="21"/></w:rPr><w:t xml:space="preserve">相关系数r</w:t></w:r></w:p></w:tc><w:tc><w:tcPr><w:tcW w:w="2000" w:type="dxa"/><w:shd w:val="clear" w:color="auto" w:fill="1a1a2e"/></w:tcPr><w:p><w:r><w:rPr><w:b/><w:color w:val="21"/></w:rPr><w:t xml:space="preserve">有效性评级</w:t></w:r></w:p></w:tc></w:tr><w:tr><w:tc><w:tcPr><w:tcW w:w="2000" w:type="dxa"/><w:shd w:val="clear" w:color="auto" w:fill="FFFFFF"/></w:tcPr><w:p><w:r><w:rPr></w:rPr><w:t xml:space="preserve">技术面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基本面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消息面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板块面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资金面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w:tr><w:tc><w:tcPr><w:tcW w:w="2000" w:type="dxa"/><w:shd w:val="clear" w:color="auto" w:fill="FFFFFF"/></w:tcPr><w:p><w:r><w:rPr></w:rPr><w:t xml:space="preserve">宏观面</w:t></w:r></w:p></w:tc><w:tc><w:tcPr><w:tcW w:w="2000" w:type="dxa"/><w:shd w:val="clear" w:color="auto" w:fill="FFFFFF"/></w:tcPr><w:p><w:r><w:rPr></w:rPr><w:t xml:space="preserve">r值</w:t></w:r></w:p></w:tc><w:tc><w:tcPr><w:tcW w:w="2000" w:type="dxa"/><w:shd w:val="clear" w:color="auto" w:fill="FFFFFF"/></w:tcPr><w:p><w:r><w:rPr></w:rPr><w:t xml:space="preserve">有效/参考/无效</w:t></w:r></w:p></w:tc></w:tr></w:tbl><w:p><w:pPr><w:pStyle w:val="3"/></w:pPr><w:r><w:rPr><w:b/></w:rPr><w:t xml:space="preserve">2.2 指标有效性（30分）</w:t></w:r></w:p><w:p><w:pPr></w:pPr><w:r><w:rPr></w:rPr><w:t xml:space="preserve">核心问题：每个具体指标发出的信号准确率如何？采用胜率评估：≥65%（强有效），50-65%（参考），40-50%（随机），&lt;40%（反向信号）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编号</w:t></w:r></w:p></w:tc><w:tc><w:tcPr><w:tcW w:w="2000" w:type="dxa"/><w:shd w:val="clear" w:color="auto" w:fill="1a1a2e"/></w:tcPr><w:p><w:r><w:rPr><w:b/><w:color w:val="21"/></w:rPr><w:t xml:space="preserve">信号名称</w:t></w:r></w:p></w:tc><w:tc><w:tcPr><w:tcW w:w="2000" w:type="dxa"/><w:shd w:val="clear" w:color="auto" w:fill="1a1a2e"/></w:tcPr><w:p><w:r><w:rPr><w:b/><w:color w:val="21"/></w:rPr><w:t xml:space="preserve">来源维度</w:t></w:r></w:p></w:tc></w:tr><w:tr><w:tc><w:tcPr><w:tcW w:w="2000" w:type="dxa"/><w:shd w:val="clear" w:color="auto" w:fill="FFFFFF"/></w:tcPr><w:p><w:r><w:rPr></w:rPr><w:t xml:space="preserve">S01</w:t></w:r></w:p></w:tc><w:tc><w:tcPr><w:tcW w:w="2000" w:type="dxa"/><w:shd w:val="clear" w:color="auto" w:fill="FFFFFF"/></w:tcPr><w:p><w:r><w:rPr></w:rPr><w:t xml:space="preserve">MA多头排列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S02</w:t></w:r></w:p></w:tc><w:tc><w:tcPr><w:tcW w:w="2000" w:type="dxa"/><w:shd w:val="clear" w:color="auto" w:fill="FFFFFF"/></w:tcPr><w:p><w:r><w:rPr></w:rPr><w:t xml:space="preserve">MA空头排列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S03</w:t></w:r></w:p></w:tc><w:tc><w:tcPr><w:tcW w:w="2000" w:type="dxa"/><w:shd w:val="clear" w:color="auto" w:fill="FFFFFF"/></w:tcPr><w:p><w:r><w:rPr></w:rPr><w:t xml:space="preserve">MACD零轴上金叉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S04</w:t></w:r></w:p></w:tc><w:tc><w:tcPr><w:tcW w:w="2000" w:type="dxa"/><w:shd w:val="clear" w:color="auto" w:fill="FFFFFF"/></w:tcPr><w:p><w:r><w:rPr></w:rPr><w:t xml:space="preserve">MACD死叉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S05</w:t></w:r></w:p></w:tc><w:tc><w:tcPr><w:tcW w:w="2000" w:type="dxa"/><w:shd w:val="clear" w:color="auto" w:fill="FFFFFF"/></w:tcPr><w:p><w:r><w:rPr></w:rPr><w:t xml:space="preserve">RSI超买(≥70)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S06</w:t></w:r></w:p></w:tc><w:tc><w:tcPr><w:tcW w:w="2000" w:type="dxa"/><w:shd w:val="clear" w:color="auto" w:fill="FFFFFF"/></w:tcPr><w:p><w:r><w:rPr></w:rPr><w:t xml:space="preserve">RSI超卖(&lt;30)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S07</w:t></w:r></w:p></w:tc><w:tc><w:tcPr><w:tcW w:w="2000" w:type="dxa"/><w:shd w:val="clear" w:color="auto" w:fill="FFFFFF"/></w:tcPr><w:p><w:r><w:rPr></w:rPr><w:t xml:space="preserve">RSI中性偏强(50-70)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S08</w:t></w:r></w:p></w:tc><w:tc><w:tcPr><w:tcW w:w="2000" w:type="dxa"/><w:shd w:val="clear" w:color="auto" w:fill="FFFFFF"/></w:tcPr><w:p><w:r><w:rPr></w:rPr><w:t xml:space="preserve">布林触及上轨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S09</w:t></w:r></w:p></w:tc><w:tc><w:tcPr><w:tcW w:w="2000" w:type="dxa"/><w:shd w:val="clear" w:color="auto" w:fill="FFFFFF"/></w:tcPr><w:p><w:r><w:rPr></w:rPr><w:t xml:space="preserve">布林触及下轨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S10</w:t></w:r></w:p></w:tc><w:tc><w:tcPr><w:tcW w:w="2000" w:type="dxa"/><w:shd w:val="clear" w:color="auto" w:fill="FFFFFF"/></w:tcPr><w:p><w:r><w:rPr></w:rPr><w:t xml:space="preserve">放量上涨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S11</w:t></w:r></w:p></w:tc><w:tc><w:tcPr><w:tcW w:w="2000" w:type="dxa"/><w:shd w:val="clear" w:color="auto" w:fill="FFFFFF"/></w:tcPr><w:p><w:r><w:rPr></w:rPr><w:t xml:space="preserve">缩量下跌</w:t></w:r></w:p></w:tc><w:tc><w:tcPr><w:tcW w:w="2000" w:type="dxa"/><w:shd w:val="clear" w:color="auto" w:fill="FFFFFF"/></w:tcPr><w:p><w:r><w:rPr></w:rPr><w:t xml:space="preserve">技术面</w:t></w:r></w:p></w:tc></w:tr><w:tr><w:tc><w:tcPr><w:tcW w:w="2000" w:type="dxa"/><w:shd w:val="clear" w:color="auto" w:fill="FFFFFF"/></w:tcPr><w:p><w:r><w:rPr></w:rPr><w:t xml:space="preserve">S12</w:t></w:r></w:p></w:tc><w:tc><w:tcPr><w:tcW w:w="2000" w:type="dxa"/><w:shd w:val="clear" w:color="auto" w:fill="FFFFFF"/></w:tcPr><w:p><w:r><w:rPr></w:rPr><w:t xml:space="preserve">ROE≥15%</w:t></w:r></w:p></w:tc><w:tc><w:tcPr><w:tcW w:w="2000" w:type="dxa"/><w:shd w:val="clear" w:color="auto" w:fill="FFFFFF"/></w:tcPr><w:p><w:r><w:rPr></w:rPr><w:t xml:space="preserve">基本面</w:t></w:r></w:p></w:tc></w:tr><w:tr><w:tc><w:tcPr><w:tcW w:w="2000" w:type="dxa"/><w:shd w:val="clear" w:color="auto" w:fill="FFFFFF"/></w:tcPr><w:p><w:r><w:rPr></w:rPr><w:t xml:space="preserve">S13</w:t></w:r></w:p></w:tc><w:tc><w:tcPr><w:tcW w:w="2000" w:type="dxa"/><w:shd w:val="clear" w:color="auto" w:fill="FFFFFF"/></w:tcPr><w:p><w:r><w:rPr></w:rPr><w:t xml:space="preserve">PE百分位&lt;20%</w:t></w:r></w:p></w:tc><w:tc><w:tcPr><w:tcW w:w="2000" w:type="dxa"/><w:shd w:val="clear" w:color="auto" w:fill="FFFFFF"/></w:tcPr><w:p><w:r><w:rPr></w:rPr><w:t xml:space="preserve">基本面</w:t></w:r></w:p></w:tc></w:tr><w:tr><w:tc><w:tcPr><w:tcW w:w="2000" w:type="dxa"/><w:shd w:val="clear" w:color="auto" w:fill="FFFFFF"/></w:tcPr><w:p><w:r><w:rPr></w:rPr><w:t xml:space="preserve">S14</w:t></w:r></w:p></w:tc><w:tc><w:tcPr><w:tcW w:w="2000" w:type="dxa"/><w:shd w:val="clear" w:color="auto" w:fill="FFFFFF"/></w:tcPr><w:p><w:r><w:rPr></w:rPr><w:t xml:space="preserve">PE百分位&gt;80%</w:t></w:r></w:p></w:tc><w:tc><w:tcPr><w:tcW w:w="2000" w:type="dxa"/><w:shd w:val="clear" w:color="auto" w:fill="FFFFFF"/></w:tcPr><w:p><w:r><w:rPr></w:rPr><w:t xml:space="preserve">基本面</w:t></w:r></w:p></w:tc></w:tr><w:tr><w:tc><w:tcPr><w:tcW w:w="2000" w:type="dxa"/><w:shd w:val="clear" w:color="auto" w:fill="FFFFFF"/></w:tcPr><w:p><w:r><w:rPr></w:rPr><w:t xml:space="preserve">S15</w:t></w:r></w:p></w:tc><w:tc><w:tcPr><w:tcW w:w="2000" w:type="dxa"/><w:shd w:val="clear" w:color="auto" w:fill="FFFFFF"/></w:tcPr><w:p><w:r><w:rPr></w:rPr><w:t xml:space="preserve">主力持续流入</w:t></w:r></w:p></w:tc><w:tc><w:tcPr><w:tcW w:w="2000" w:type="dxa"/><w:shd w:val="clear" w:color="auto" w:fill="FFFFFF"/></w:tcPr><w:p><w:r><w:rPr></w:rPr><w:t xml:space="preserve">资金面</w:t></w:r></w:p></w:tc></w:tr><w:tr><w:tc><w:tcPr><w:tcW w:w="2000" w:type="dxa"/><w:shd w:val="clear" w:color="auto" w:fill="FFFFFF"/></w:tcPr><w:p><w:r><w:rPr></w:rPr><w:t xml:space="preserve">S16</w:t></w:r></w:p></w:tc><w:tc><w:tcPr><w:tcW w:w="2000" w:type="dxa"/><w:shd w:val="clear" w:color="auto" w:fill="FFFFFF"/></w:tcPr><w:p><w:r><w:rPr></w:rPr><w:t xml:space="preserve">主力持续流出</w:t></w:r></w:p></w:tc><w:tc><w:tcPr><w:tcW w:w="2000" w:type="dxa"/><w:shd w:val="clear" w:color="auto" w:fill="FFFFFF"/></w:tcPr><w:p><w:r><w:rPr></w:rPr><w:t xml:space="preserve">资金面</w:t></w:r></w:p></w:tc></w:tr><w:tr><w:tc><w:tcPr><w:tcW w:w="2000" w:type="dxa"/><w:shd w:val="clear" w:color="auto" w:fill="FFFFFF"/></w:tcPr><w:p><w:r><w:rPr></w:rPr><w:t xml:space="preserve">S17</w:t></w:r></w:p></w:tc><w:tc><w:tcPr><w:tcW w:w="2000" w:type="dxa"/><w:shd w:val="clear" w:color="auto" w:fill="FFFFFF"/></w:tcPr><w:p><w:r><w:rPr></w:rPr><w:t xml:space="preserve">北向持股&gt;3%</w:t></w:r></w:p></w:tc><w:tc><w:tcPr><w:tcW w:w="2000" w:type="dxa"/><w:shd w:val="clear" w:color="auto" w:fill="FFFFFF"/></w:tcPr><w:p><w:r><w:rPr></w:rPr><w:t xml:space="preserve">资金面</w:t></w:r></w:p></w:tc></w:tr><w:tr><w:tc><w:tcPr><w:tcW w:w="2000" w:type="dxa"/><w:shd w:val="clear" w:color="auto" w:fill="FFFFFF"/></w:tcPr><w:p><w:r><w:rPr></w:rPr><w:t xml:space="preserve">S18</w:t></w:r></w:p></w:tc><w:tc><w:tcPr><w:tcW w:w="2000" w:type="dxa"/><w:shd w:val="clear" w:color="auto" w:fill="FFFFFF"/></w:tcPr><w:p><w:r><w:rPr></w:rPr><w:t xml:space="preserve">有研报覆盖</w:t></w:r></w:p></w:tc><w:tc><w:tcPr><w:tcW w:w="2000" w:type="dxa"/><w:shd w:val="clear" w:color="auto" w:fill="FFFFFF"/></w:tcPr><w:p><w:r><w:rPr></w:rPr><w:t xml:space="preserve">消息面</w:t></w:r></w:p></w:tc></w:tr></w:tbl><w:p><w:pPr><w:pStyle w:val="3"/></w:pPr><w:r><w:rPr><w:b/></w:rPr><w:t xml:space="preserve">2.3 阈值有效性（20分）</w:t></w:r></w:p><w:p><w:pPr></w:pPr><w:r><w:rPr></w:rPr><w:t xml:space="preserve">核心问题：评分分段（优秀≥80 / 良好60-79 / 一般40-59 / 差&lt;40）是否合理？理想状态：评分越高，次日平均收益和正收益比例越高。优秀段收益&gt;差段收益≥2%（20分）、≥1%（12分）、≥0%（5分）、反向（0分）。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评分段</w:t></w:r></w:p></w:tc><w:tc><w:tcPr><w:tcW w:w="2000" w:type="dxa"/><w:shd w:val="clear" w:color="auto" w:fill="1a1a2e"/></w:tcPr><w:p><w:r><w:rPr><w:b/><w:color w:val="21"/></w:rPr><w:t xml:space="preserve">样本数</w:t></w:r></w:p></w:tc><w:tc><w:tcPr><w:tcW w:w="2000" w:type="dxa"/><w:shd w:val="clear" w:color="auto" w:fill="1a1a2e"/></w:tcPr><w:p><w:r><w:rPr><w:b/><w:color w:val="21"/></w:rPr><w:t xml:space="preserve">平均收益%</w:t></w:r></w:p></w:tc><w:tc><w:tcPr><w:tcW w:w="2000" w:type="dxa"/><w:shd w:val="clear" w:color="auto" w:fill="1a1a2e"/></w:tcPr><w:p><w:r><w:rPr><w:b/><w:color w:val="21"/></w:rPr><w:t xml:space="preserve">正收益%</w:t></w:r></w:p></w:tc></w:tr><w:tr><w:tc><w:tcPr><w:tcW w:w="2000" w:type="dxa"/><w:shd w:val="clear" w:color="auto" w:fill="FFFFFF"/></w:tcPr><w:p><w:r><w:rPr></w:rPr><w:t xml:space="preserve">≥80（优秀）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w:tr><w:tc><w:tcPr><w:tcW w:w="2000" w:type="dxa"/><w:shd w:val="clear" w:color="auto" w:fill="FFFFFF"/></w:tcPr><w:p><w:r><w:rPr></w:rPr><w:t xml:space="preserve">60-79（良好）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w:tr><w:tc><w:tcPr><w:tcW w:w="2000" w:type="dxa"/><w:shd w:val="clear" w:color="auto" w:fill="FFFFFF"/></w:tcPr><w:p><w:r><w:rPr></w:rPr><w:t xml:space="preserve">40-59（一般）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w:tr><w:tc><w:tcPr><w:tcW w:w="2000" w:type="dxa"/><w:shd w:val="clear" w:color="auto" w:fill="FFFFFF"/></w:tcPr><w:p><w:r><w:rPr></w:rPr><w:t xml:space="preserve">&lt;40（差）</w:t></w:r></w:p></w:tc><w:tc><w:tcPr><w:tcW w:w="2000" w:type="dxa"/><w:shd w:val="clear" w:color="auto" w:fill="FFFFFF"/></w:tcPr><w:p><w:r><w:rPr></w:rPr><w:t xml:space="preserve">N</w:t></w:r></w:p></w:tc><w:tc><w:tcPr><w:tcW w:w="2000" w:type="dxa"/><w:shd w:val="clear" w:color="auto" w:fill="FFFFFF"/></w:tcPr><w:p><w:r><w:rPr></w:rPr><w:t xml:space="preserve">X%</w:t></w:r></w:p></w:tc><w:tc><w:tcPr><w:tcW w:w="2000" w:type="dxa"/><w:shd w:val="clear" w:color="auto" w:fill="FFFFFF"/></w:tcPr><w:p><w:r><w:rPr></w:rPr><w:t xml:space="preserve">Y%</w:t></w:r></w:p></w:tc></w:tr></w:tbl><w:p><w:pPr><w:pStyle w:val="3"/></w:pPr><w:r><w:rPr><w:b/></w:rPr><w:t xml:space="preserve">2.4 框架一致性（20分）</w:t></w:r></w:p><w:p><w:pPr></w:pPr><w:r><w:rPr><w:color w:val="666666"/></w:rPr><w:t xml:space="preserve">核心问题：分析框架内部是否自洽、稳定？</w:t></w:r></w:p><w:p><w:pPr></w:pPr><w:r><w:rPr></w:rPr><w:t xml:space="preserve">评分-结论一致性（8分）：高分(≥70)应搭配看多，低分(&lt;40)应搭配看空，统计不一致比例</w:t></w:r></w:p><w:p><w:pPr></w:pPr><w:r><w:rPr></w:rPr><w:t xml:space="preserve">置信度校准（6分）：高置信度预判实际准确率≥70%，中置信度≥50%</w:t></w:r></w:p><w:p><w:pPr></w:pPr><w:r><w:rPr></w:rPr><w:t xml:space="preserve">多期稳定性（6分）：各维度评分标准差、准确率的逐期波动、极端值出现频率</w:t></w:r></w:p><w:p><w:pPr><w:pStyle w:val="2"/></w:pPr><w:r><w:rPr><w:b/></w:rPr><w:t xml:space="preserve">三、知识积累</w:t></w:r></w:p><w:p><w:pPr><w:pStyle w:val="3"/></w:pPr><w:r><w:rPr><w:b/></w:rPr><w:t xml:space="preserve">3.1 指标有效性跟踪表</w:t></w:r></w:p><w:p><w:pPr></w:pPr><w:r><w:rPr></w:rPr><w:t xml:space="preserve">存储位置：逻辑积累\指标有效性跟踪.csv，逐日累积各信号的出现次数和胜率</w:t></w:r></w:p><w:p><w:pPr><w:pStyle w:val="3"/></w:pPr><w:r><w:rPr><w:b/></w:rPr><w:t xml:space="preserve">3.2 改进日志</w:t></w:r></w:p><w:p><w:pPr></w:pPr><w:r><w:rPr></w:rPr><w:t xml:space="preserve">存储位置：逻辑积累\改进日志.md，每条记录包含：发现、证据、建议、状态</w:t></w:r></w:p><w:p><w:pPr><w:pStyle w:val="3"/></w:pPr><w:r><w:rPr><w:b/></w:rPr><w:t xml:space="preserve">3.3 优化建议</w:t></w:r></w:p><w:p><w:pPr></w:pPr><w:r><w:rPr></w:rPr><w:t xml:space="preserve">存储位置：逻辑积累\优化建议.json，结构化输出建议目标和修改方案</w:t></w:r></w:p><w:p><w:pPr><w:pStyle w:val="2"/></w:pPr><w:r><w:rPr><w:b/></w:rPr><w:t xml:space="preserve">四、自优化机制</w:t></w:r></w:p><w:p><w:pPr><w:pStyle w:val="3"/></w:pPr><w:r><w:rPr><w:b/></w:rPr><w:t xml:space="preserve">触发条件与建议动作：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条件</w:t></w:r></w:p></w:tc><w:tc><w:tcPr><w:tcW w:w="2000" w:type="dxa"/><w:shd w:val="clear" w:color="auto" w:fill="1a1a2e"/></w:tcPr><w:p><w:r><w:rPr><w:b/><w:color w:val="21"/></w:rPr><w:t xml:space="preserve">建议动作</w:t></w:r></w:p></w:tc></w:tr><w:tr><w:tc><w:tcPr><w:tcW w:w="2000" w:type="dxa"/><w:shd w:val="clear" w:color="auto" w:fill="FFFFFF"/></w:tcPr><w:p><w:r><w:rPr></w:rPr><w:t xml:space="preserve">某信号胜率&lt;45%且样本≥10</w:t></w:r></w:p></w:tc><w:tc><w:tcPr><w:tcW w:w="2000" w:type="dxa"/><w:shd w:val="clear" w:color="auto" w:fill="FFFFFF"/></w:tcPr><w:p><w:r><w:rPr></w:rPr><w:t xml:space="preserve">调整该信号评分权重</w:t></w:r></w:p></w:tc></w:tr><w:tr><w:tc><w:tcPr><w:tcW w:w="2000" w:type="dxa"/><w:shd w:val="clear" w:color="auto" w:fill="FFFFFF"/></w:tcPr><w:p><w:r><w:rPr></w:rPr><w:t xml:space="preserve">某维度r&lt;0.1且样本≥15</w:t></w:r></w:p></w:tc><w:tc><w:tcPr><w:tcW w:w="2000" w:type="dxa"/><w:shd w:val="clear" w:color="auto" w:fill="FFFFFF"/></w:tcPr><w:p><w:r><w:rPr></w:rPr><w:t xml:space="preserve">审视该维度评分逻辑</w:t></w:r></w:p></w:tc></w:tr><w:tr><w:tc><w:tcPr><w:tcW w:w="2000" w:type="dxa"/><w:shd w:val="clear" w:color="auto" w:fill="FFFFFF"/></w:tcPr><w:p><w:r><w:rPr></w:rPr><w:t xml:space="preserve">优秀段收益≤差段收益</w:t></w:r></w:p></w:tc><w:tc><w:tcPr><w:tcW w:w="2000" w:type="dxa"/><w:shd w:val="clear" w:color="auto" w:fill="FFFFFF"/></w:tcPr><w:p><w:r><w:rPr></w:rPr><w:t xml:space="preserve">全面审视阈值设定</w:t></w:r></w:p></w:tc></w:tr><w:tr><w:tc><w:tcPr><w:tcW w:w="2000" w:type="dxa"/><w:shd w:val="clear" w:color="auto" w:fill="FFFFFF"/></w:tcPr><w:p><w:r><w:rPr></w:rPr><w:t xml:space="preserve">准确率连续3期下降</w:t></w:r></w:p></w:tc><w:tc><w:tcPr><w:tcW w:w="2000" w:type="dxa"/><w:shd w:val="clear" w:color="auto" w:fill="FFFFFF"/></w:tcPr><w:p><w:r><w:rPr></w:rPr><w:t xml:space="preserve">方法论整体审视</w:t></w:r></w:p></w:tc></w:tr><w:tr><w:tc><w:tcPr><w:tcW w:w="2000" w:type="dxa"/><w:shd w:val="clear" w:color="auto" w:fill="FFFFFF"/></w:tcPr><w:p><w:r><w:rPr></w:rPr><w:t xml:space="preserve">累积评估≥5次</w:t></w:r></w:p></w:tc><w:tc><w:tcPr><w:tcW w:w="2000" w:type="dxa"/><w:shd w:val="clear" w:color="auto" w:fill="FFFFFF"/></w:tcPr><w:p><w:r><w:rPr></w:rPr><w:t xml:space="preserve">触发首次全面优化分析</w:t></w:r></w:p></w:tc></w:tr></w:tbl><w:p><w:pPr></w:pPr><w:r><w:rPr></w:rPr><w:t xml:space="preserve">优化执行流程：触发条件→读取逻辑积累数据→生成优化建议→人工确认→更新白皮书→记录改进日志→效果跟踪</w:t></w:r></w:p><w:p><w:pPr><w:pStyle w:val="3"/></w:pPr><w:r><w:rPr><w:b/></w:rPr><w:t xml:space="preserve">设计权衡说明：</w:t></w:r></w:p><w:p><w:pPr></w:pPr><w:r><w:rPr><w:color w:val="666666"/></w:rPr><w:t xml:space="preserve">自优化机制需平衡三个内在矛盾：</w:t></w:r></w:p><w:p><w:pPr></w:pPr><w:r><w:rPr></w:rPr><w:t xml:space="preserve">快速反应 vs 避免过拟合：单日涨跌噪音大，不同触发条件设不同样本门槛。信号胜率&lt;45%需样本≥10（约两周数据），维度r&lt;0.1需样本≥15（约三周），框架级问题不设门槛立即触发。门槛高低对应动作的严重程度——P0提个醒，P1才建议改权重。</w:t></w:r></w:p><w:p><w:pPr></w:pPr><w:r><w:rPr></w:rPr><w:t xml:space="preserve">自动化 vs 人工把控：优化流程设计为建议→确认→执行三段式，不让系统自行修改分析逻辑。原因：后评估是质检员不是厂长，它发现问题但不做决策；某些维度失效可能是市场风格切换而非权重问题，需要人的判断。</w:t></w:r></w:p><w:p><w:pPr></w:pPr><w:r><w:rPr></w:rPr><w:t xml:space="preserve">短期波动 vs 长期趋势：不关注单日胜率，关注累积胜率的变化趋势。单日数据意义有限，累积胜率匀速下降才是真警报。准确率连续3期下降才触发最高优先级，约一周时间窗，能看出方向性变化但不至于等太久。</w:t></w:r></w:p><w:p><w:pPr><w:pStyle w:val="3"/></w:pPr><w:r><w:rPr><w:b/></w:rPr><w:t xml:space="preserve">已知局限：</w:t></w:r></w:p><w:p><w:pPr></w:pPr><w:r><w:rPr></w:rPr><w:t xml:space="preserve">当前系统计算维度有效性时不分市场环境。牛市里技术面可能很准，熊市里资金面可能更有效。计划在积累2-3个月数据后引入市场状态分类（上涨/震荡/下跌），分场景计算维度有效性。另外Pearson相关系数只衡量线性关系，长期可引入分位数回归等方法。</w:t></w:r></w:p><w:p><w:pPr><w:pStyle w:val="2"/></w:pPr><w:r><w:rPr><w:b/></w:rPr><w:t xml:space="preserve">五、逻辑诊断报告结构</w:t></w:r></w:p><w:p><w:pPr></w:pPr><w:r><w:rPr></w:rPr><w:t xml:space="preserve">1. 报告头—报告名称、评估时间范围、累积数据量</w:t></w:r></w:p><w:p><w:pPr></w:pPr><w:r><w:rPr></w:rPr><w:t xml:space="preserve">2. 逻辑诊断摘要—核心发现一句话总结</w:t></w:r></w:p><w:p><w:pPr></w:pPr><w:r><w:rPr></w:rPr><w:t xml:space="preserve">3. 维度有效性—各维度评分-收益相关系数排名、区分度</w:t></w:r></w:p><w:p><w:pPr></w:pPr><w:r><w:rPr></w:rPr><w:t xml:space="preserve">4. 指标有效性—各信号胜率排名（最佳/最差信号）</w:t></w:r></w:p><w:p><w:pPr></w:pPr><w:r><w:rPr></w:rPr><w:t xml:space="preserve">5. 阈值有效性—评分分段收益对比、阈值调整建议</w:t></w:r></w:p><w:p><w:pPr></w:pPr><w:r><w:rPr></w:rPr><w:t xml:space="preserve">6. 趋势分析—准确率随时间变化、进步/退步判断</w:t></w:r></w:p><w:p><w:pPr></w:pPr><w:r><w:rPr></w:rPr><w:t xml:space="preserve">7. 优化建议—具体可执行的逻辑改进建议</w:t></w:r></w:p><w:p><w:pPr></w:pPr><w:r><w:rPr></w:rPr><w:t xml:space="preserve">8. 知识积累更新—新增/更新的积累记录</w:t></w:r></w:p><w:p><w:pPr><w:pStyle w:val="2"/></w:pPr><w:r><w:rPr><w:b/></w:rPr><w:t xml:space="preserve">七、自我进化机制</w:t></w:r></w:p><w:p><w:pPr></w:pPr><w:r><w:rPr><w:color w:val="666666"/></w:rPr><w:t xml:space="preserve">后评估体系自身也需要持续进化。设计了三条进化回路，分别在不同时间尺度上运行。</w:t></w:r></w:p><w:p><w:pPr><w:pStyle w:val="3"/></w:pPr><w:r><w:rPr><w:b/></w:rPr><w:t xml:space="preserve">7.1 三条进化回路</w:t></w:r></w:p><w:tbl><w:tblPr><w:tblW w:w="5000" w:type="dxa"/><w:tblBorders><w:top w:val="single" w:sz="4" w:color="CCCCCC"/><w:bottom w:val="single" w:sz="4" w:color="CCCCCC"/><w:insideH w:val="single" w:sz="4" w:color="CCCCCC"/></w:tblBorders></w:tblPr><w:tr><w:tc><w:tcPr><w:tcW w:w="2000" w:type="dxa"/><w:shd w:val="clear" w:color="auto" w:fill="1a1a2e"/></w:tcPr><w:p><w:r><w:rPr><w:b/><w:color w:val="21"/></w:rPr><w:t xml:space="preserve">回路</w:t></w:r></w:p></w:tc><w:tc><w:tcPr><w:tcW w:w="2000" w:type="dxa"/><w:shd w:val="clear" w:color="auto" w:fill="1a1a2e"/></w:tcPr><w:p><w:r><w:rPr><w:b/><w:color w:val="21"/></w:rPr><w:t xml:space="preserve">周期</w:t></w:r></w:p></w:tc><w:tc><w:tcPr><w:tcW w:w="2000" w:type="dxa"/><w:shd w:val="clear" w:color="auto" w:fill="1a1a2e"/></w:tcPr><w:p><w:r><w:rPr><w:b/><w:color w:val="21"/></w:rPr><w:t xml:space="preserve">机制</w:t></w:r></w:p></w:tc><w:tc><w:tcPr><w:tcW w:w="2000" w:type="dxa"/><w:shd w:val="clear" w:color="auto" w:fill="1a1a2e"/></w:tcPr><w:p><w:r><w:rPr><w:b/><w:color w:val="21"/></w:rPr><w:t xml:space="preserve">产出</w:t></w:r></w:p></w:tc></w:tr><w:tr><w:tc><w:tcPr><w:tcW w:w="2000" w:type="dxa"/><w:shd w:val="clear" w:color="auto" w:fill="FFFFFF"/></w:tcPr><w:p><w:r><w:rPr></w:rPr><w:t xml:space="preserve">微循环</w:t></w:r></w:p></w:tc><w:tc><w:tcPr><w:tcW w:w="2000" w:type="dxa"/><w:shd w:val="clear" w:color="auto" w:fill="FFFFFF"/></w:tcPr><w:p><w:r><w:rPr></w:rPr><w:t xml:space="preserve">每个评估日</w:t></w:r></w:p></w:tc><w:tc><w:tcPr><w:tcW w:w="2000" w:type="dxa"/><w:shd w:val="clear" w:color="auto" w:fill="FFFFFF"/></w:tcPr><w:p><w:r><w:rPr></w:rPr><w:t xml:space="preserve">信号发现 + 元评估数据采集</w:t></w:r></w:p></w:tc><w:tc><w:tcPr><w:tcW w:w="2000" w:type="dxa"/><w:shd w:val="clear" w:color="auto" w:fill="FFFFFF"/></w:tcPr><w:p><w:r><w:rPr></w:rPr><w:t xml:space="preserve">发现新信号候选、记录评估系统表现</w:t></w:r></w:p></w:tc></w:tr><w:tr><w:tc><w:tcPr><w:tcW w:w="2000" w:type="dxa"/><w:shd w:val="clear" w:color="auto" w:fill="FFFFFF"/></w:tcPr><w:p><w:r><w:rPr></w:rPr><w:t xml:space="preserve">中循环</w:t></w:r></w:p></w:tc><w:tc><w:tcPr><w:tcW w:w="2000" w:type="dxa"/><w:shd w:val="clear" w:color="auto" w:fill="FFFFFF"/></w:tcPr><w:p><w:r><w:rPr></w:rPr><w:t xml:space="preserve">每5次评估</w:t></w:r></w:p></w:tc><w:tc><w:tcPr><w:tcW w:w="2000" w:type="dxa"/><w:shd w:val="clear" w:color="auto" w:fill="FFFFFF"/></w:tcPr><w:p><w:r><w:rPr></w:rPr><w:t xml:space="preserve">评估系统自检</w:t></w:r></w:p></w:tc><w:tc><w:tcPr><w:tcW w:w="2000" w:type="dxa"/><w:shd w:val="clear" w:color="auto" w:fill="FFFFFF"/></w:tcPr><w:p><w:r><w:rPr></w:rPr><w:t xml:space="preserve">权重优化建议、信号列表增删建议</w:t></w:r></w:p></w:tc></w:tr><w:tr><w:tc><w:tcPr><w:tcW w:w="2000" w:type="dxa"/><w:shd w:val="clear" w:color="auto" w:fill="FFFFFF"/></w:tcPr><w:p><w:r><w:rPr></w:rPr><w:t xml:space="preserve">大循环</w:t></w:r></w:p></w:tc><w:tc><w:tcPr><w:tcW w:w="2000" w:type="dxa"/><w:shd w:val="clear" w:color="auto" w:fill="FFFFFF"/></w:tcPr><w:p><w:r><w:rPr></w:rPr><w:t xml:space="preserve">每月1次</w:t></w:r></w:p></w:tc><w:tc><w:tcPr><w:tcW w:w="2000" w:type="dxa"/><w:shd w:val="clear" w:color="auto" w:fill="FFFFFF"/></w:tcPr><w:p><w:r><w:rPr></w:rPr><w:t xml:space="preserve">外部知识融合</w:t></w:r></w:p></w:tc><w:tc><w:tcPr><w:tcW w:w="2000" w:type="dxa"/><w:shd w:val="clear" w:color="auto" w:fill="FFFFFF"/></w:tcPr><w:p><w:r><w:rPr></w:rPr><w:t xml:space="preserve">新方法引入、评估框架升级</w:t></w:r></w:p></w:tc></w:tr></w:tbl><w:p><w:pPr></w:pPr><w:r><w:rPr><w:color w:val="666666"/></w:rPr><w:t xml:space="preserve">边界约定：元评估不自循环（不评估&apos;元评估做得好不好&apos;）——那会无限嵌套。系统只采集数据和提建议，不做自动修改。修改与否由人判断。</w:t></w:r></w:p><w:p><w:pPr><w:pStyle w:val="3"/></w:pPr><w:r><w:rPr><w:b/></w:rPr><w:t xml:space="preserve">7.2 微循环：每日元评估与信号发现</w:t></w:r></w:p><w:p><w:pPr></w:pPr><w:r><w:rPr></w:rPr><w:t xml:space="preserve">每日评估时自动执行两项工作：</w:t></w:r></w:p><w:p><w:pPr></w:pPr><w:r><w:rPr></w:rPr><w:t xml:space="preserve">1. 元评估数据采集：记录本次评估各维度得分、样本量、综合评分、建议数、置信度标记。写入 逻辑积累\元评估\评估系统有效性跟踪.csv</w:t></w:r></w:p><w:p><w:pPr><w:pStyle w:val="中轨上方、中轨下方等）。对每个值计算胜率（出现次数≥3的）。与当前跟踪列表对比：胜率≥60%且不在跟踪列表中→候选信号；跟踪列表中胜率持续<40%且样本≥10→已淘汰信号。写入 逻辑积累\信号发现\候选信号.json 和 已淘汰信号.json"/></w:pPr><w:r><w:rPr></w:rPr><w:t xml:space="preserve">2. 自动信号发现：遍历累积数据中Signals字段的所有值（如Bollinger_Position的</w:t></w:r></w:p><w:p><w:pPr><w:pStyle w:val="3"/></w:pPr><w:r><w:rPr><w:b/></w:rPr><w:t xml:space="preserve">7.3 中循环：评估系统自检</w:t></w:r></w:p><w:p><w:pPr></w:pPr><w:r><w:rPr></w:rPr><w:t xml:space="preserve">每累积5次评估后触发（或手动运行 run_meta_evaluation.ps1），执行三项分析：</w:t></w:r></w:p><w:p><w:pPr></w:pPr><w:r><w:rPr></w:rPr><w:t xml:space="preserve">维度权重合理性分析：检查每个评估维度的得分方差。方差太小（&lt;1）说明该维度没有区分度、阈值可能过于宽松；方差合理则说明有区分度。输出权重调整建议。</w:t></w:r></w:p><w:p><w:pPr></w:pPr><w:r><w:rPr></w:rPr><w:t xml:space="preserve">信号列表管理：从候选信号中选取胜率≥60%且样本≥10的加入跟踪列表；跟踪信号中累积胜率长期在40-60%区间徘徊且样本≥20的建议淘汰。</w:t></w:r></w:p><w:p><w:pPr></w:pPr><w:r><w:rPr></w:rPr><w:t xml:space="preserve">评估阈值校验：需累积样本≥50才有意义。分析评分分段（优秀/良好/一般/差）的收益区分度是否合理。</w:t></w:r></w:p><w:p><w:pPr></w:pPr><w:r><w:rPr></w:rPr><w:t xml:space="preserve">输出报告：复盘报告\评估系统自检报告_YYYYMMDD.md</w:t></w:r></w:p><w:p><w:pPr><w:pStyle w:val="3"/></w:pPr><w:r><w:rPr><w:b/></w:rPr><w:t xml:space="preserve">7.4 大循环：月度外部知识融合</w:t></w:r></w:p><w:p><w:pPr></w:pPr><w:r><w:rPr></w:rPr><w:t xml:space="preserve">每月1次，通过WebSearch搜索量化交易、信号评估、多因子模型等领域的最新方法。搜索关键词包括：量化交易因子有效性评估方法、quantitative analysis signal evaluation methodology、A股多因子模型因子衰减研究、技术指标统计显著性检验。</w:t></w:r></w:p><w:p><w:pPr></w:pPr><w:r><w:rPr></w:rPr><w:t xml:space="preserve">输出格式：逻辑积累\元评估\外部知识调研日志.md，记录来源、核心发现、与当前系统的差异、采纳建议。</w:t></w:r></w:p><w:p><w:pPr><w:pStyle w:val="3"/></w:pPr><w:r><w:rPr><w:b/></w:rPr><w:t xml:space="preserve">7.5 自我进化记录</w:t></w:r></w:p><w:p><w:pPr></w:pPr><w:r><w:rPr></w:rPr><w:t xml:space="preserve">评估系统有效性跟踪：逻辑积累\元评估\评估系统有效性跟踪.csv</w:t></w:r></w:p><w:p><w:pPr></w:pPr><w:r><w:rPr></w:rPr><w:t xml:space="preserve">评估系统变更日志：逻辑积累\元评估\评估系统变更日志.md</w:t></w:r></w:p><w:p><w:pPr></w:pPr><w:r><w:rPr></w:rPr><w:t xml:space="preserve">外部知识调研日志：逻辑积累\元评估\外部知识调研日志.md</w:t></w:r></w:p><w:p><w:pPr></w:pPr><w:r><w:rPr></w:rPr><w:t xml:space="preserve">候选信号：逻辑积累\信号发现\候选信号.json</w:t></w:r></w:p><w:p><w:pPr></w:pPr><w:r><w:rPr></w:rPr><w:t xml:space="preserve">已淘汰信号：逻辑积累\信号发现\已淘汰信号.json</w:t></w:r></w:p><w:p><w:pPr></w:pPr><w:r><w:rPr></w:rPr><w:t xml:space="preserve">评估系统自检报告：复盘报告\评估系统自检报告_YYYYMMDD.md</w:t></w:r></w:p><w:p><w:pPr><w:pStyle w:val="2"/></w:pPr><w:r><w:rPr><w:b/></w:rPr><w:t xml:space="preserve">八、数据来源</w:t></w:r></w:p><w:p><w:pPr></w:pPr><w:r><w:rPr></w:rPr><w:t xml:space="preserve">各维度评分：分析报告中JSON保存 | 指标信号状态：JSON.Signals字段 | 次日涨跌幅：腾讯行情API[1] | 历史评估数据：所有历史评估JSON | 知识积累文件：逻辑积累\*.*</w:t></w:r></w:p><w:p><w:pPr><w:pStyle w:val="2"/></w:pPr><w:r><w:rPr><w:b/></w:rPr><w:t xml:space="preserve">九、文件信息</w:t></w:r></w:p><w:p><w:pPr></w:pPr><w:r><w:rPr></w:rPr><w:t xml:space="preserve">根目录：C:\Users\34269\Documents\Claude\股票分析\重点股票\次日评估</w:t></w:r></w:p><w:p><w:pPr></w:pPr><w:r><w:rPr></w:rPr><w:t xml:space="preserve">逻辑诊断报告：复盘报告\逻辑诊断报告_YYYYMMDD.pdf</w:t></w:r></w:p><w:p><w:pPr></w:pPr><w:r><w:rPr></w:rPr><w:t xml:space="preserve">评估数据：评估数据_YYYYMMDD.json</w:t></w:r></w:p><w:p><w:pPr></w:pPr><w:r><w:rPr></w:rPr><w:t xml:space="preserve">评估结果：评估结果\评估结果_YYYYMMDD.json</w:t></w:r></w:p><w:p><w:pPr></w:pPr><w:r><w:rPr></w:rPr><w:t xml:space="preserve">指标有效性跟踪：逻辑积累\指标有效性跟踪.csv</w:t></w:r></w:p><w:p><w:pPr></w:pPr><w:r><w:rPr></w:rPr><w:t xml:space="preserve">改进日志：逻辑积累\改进日志.md</w:t></w:r></w:p><w:p><w:pPr></w:pPr><w:r><w:rPr></w:rPr><w:t xml:space="preserve">优化建议：逻辑积累\优化建议.json</w:t></w:r></w:p><w:p><w:pPr></w:pPr><w:r><w:rPr></w:rPr><w:t xml:space="preserve">评估系统有效性跟踪：逻辑积累\元评估\评估系统有效性跟踪.csv</w:t></w:r></w:p><w:p><w:pPr></w:pPr><w:r><w:rPr></w:rPr><w:t xml:space="preserve">评估系统变更日志：逻辑积累\元评估\评估系统变更日志.md</w:t></w:r></w:p><w:p><w:pPr></w:pPr><w:r><w:rPr></w:rPr><w:t xml:space="preserve">外部知识调研日志：逻辑积累\元评估\外部知识调研日志.md</w:t></w:r></w:p><w:p><w:pPr></w:pPr><w:r><w:rPr></w:rPr><w:t xml:space="preserve">候选信号：逻辑积累\信号发现\候选信号.json</w:t></w:r></w:p><w:p><w:pPr></w:pPr><w:r><w:rPr></w:rPr><w:t xml:space="preserve">已淘汰信号：逻辑积累\信号发现\已淘汰信号.json</w:t></w:r></w:p><w:p><w:pPr></w:pPr><w:r><w:rPr></w:rPr><w:t xml:space="preserve">评估系统自检报告：复盘报告\评估系统自检报告_YYYYMMDD.md</w:t></w:r></w:p><w:p><w:pPr></w:pPr><w:r><w:rPr></w:rPr><w:t xml:space="preserve">关联白皮书：重点股票跟踪分析逻辑白皮书（需同步更新）</w:t></w:r></w:p></w:body></w:document>
</file>

<file path=word/fontTable.xml><?xml version="1.0" encoding="utf-8"?>
<w:fonts xmlns:w="http://schemas.openxmlformats.org/wordprocessingml/2006/main">
  <w:font w:name="Microsoft YaHei">
    <w:altName w:val="微软雅黑"/>
  </w:font>
  <w:font w:name="Calibri">
    <w:altName w:val="Calibri"/>
  </w:font>
</w:fonts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="Microsoft YaHei" w:hAnsi="Microsoft YaHei"/>
        <w:sz w:val="21"/>
        <w:szCs w:val="21"/>
      </w:rPr>
    </w:rPrDefault>
  </w:docDefaults>
  <w:style w:type="paragraph" w:styleId="a">
    <w:name w:val="Normal"/>
    <w:pPr>
      <w:spacing w:line="360" w:after="120"/>
    </w:pPr>
  </w:style>
  <w:style w:type="paragraph" w:styleId="1">
    <w:name w:val="heading 1"/>
    <w:basedOn w:val="a"/>
    <w:pPr>
      <w:spacing w:before="360" w:after="200"/>
    </w:pPr>
    <w:rPr>
      <w:b/>
      <w:sz w:val="36"/>
      <w:szCs w:val="36"/>
    </w:rPr>
  </w:style>
  <w:style w:type="paragraph" w:styleId="2">
    <w:name w:val="heading 2"/>
    <w:basedOn w:val="a"/>
    <w:pPr>
      <w:spacing w:before="240" w:after="120"/>
    </w:pPr>
    <w:rPr>
      <w:b/>
      <w:sz w:val="28"/>
      <w:szCs w:val="28"/>
    </w:rPr>
  </w:style>
  <w:style w:type="paragraph" w:styleId="3">
    <w:name w:val="heading 3"/>
    <w:basedOn w:val="a"/>
    <w:pPr>
      <w:spacing w:before="200" w:after="100"/>
    </w:pPr>
    <w:rPr>
      <w:b/>
      <w:sz w:val="24"/>
      <w:szCs w:val="24"/>
    </w:rPr>
  </w:style>
  <w:style w:type="paragraph" w:styleId="4">
    <w:name w:val="heading 4"/>
    <w:basedOn w:val="a"/>
    <w:pPr>
      <w:spacing w:before="160" w:after="80"/>
    </w:pPr>
    <w:rPr>
      <w:b/>
      <w:sz w:val="22"/>
      <w:szCs w:val="22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>
  <Application>Claude Code</Application>
  <DocSecurity>0</DocSecurity>
  <Lines>1</Lines>
  <Paragraphs>1</Paragraphs>
  <Template>Normal</Template>
  <TotalTime>0</TotalTime>
  <Scale>Crop</Scal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重点股票次日后评估白皮书 v1.2</dc:title>
  <dc:subject>股票分析逻辑后评估</dc:subject>
  <dc:creator>Claude</dc:creator>
  <dcterms:created>2026-05-21</dcterms:created>
</cp:coreProperties>
</file>