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<w:document xmlns:w="http://schemas.openxmlformats.org/wordprocessingml/2006/main"><w:body><w:p><w:pPr><w:pStyle w:val='Heading1'/></w:pPr><w:r><w:t>量化分析铁律 - 分析的规则红线</w:t></w:r></w:p><w:p><w:pPr><w:pStyle w:val='Quote'/></w:pPr><w:r><w:rPr><w:i/></w:rPr><w:t>当前版本: v1.3 | 最后更新: 2026-05-22 | 更新人: Claude</w:t></w:r></w:p><w:p><w:pPr><w:pStyle w:val='Quote'/></w:pPr><w:r><w:rPr><w:i/></w:rPr><w:t>生效范围: 所有A股量化分析/选股/荐股/报告生成/白皮书版本管理</w:t></w:r></w:p><w:p><w:pPr><w:pStyle w:val='Quote'/></w:pPr><w:r><w:rPr><w:i/></w:rPr><w:t>违反后果: 必须立即停止并修正 ⚠</w:t></w:r></w:p><w:p><w:pPr><w:pStyle w:val='Quote'/></w:pPr><w:r><w:rPr><w:i/></w:rPr><w:t>前置要求: AI必须遵守 — 任何AI在执行分析任务(选股/评分/荐股/报告生成/后评估/白皮书更新)前，必须先读取本文档并完全遵照执行。本文档为最高优先级规则，其他所有分析逻辑必须在不违反本文档的前提下执行。</w:t></w:r></w:p><w:p><w:pPr><w:pStyle w:val='Quote'/></w:pPr><w:r><w:rPr><w:i/></w:rPr><w:t>存储路径: C:\Users\34269\Documents\Claude\股票分析\规则红线\分析的规则红线--Claude_v1.3.docx</w:t></w:r></w:p><w:p><w:pPr><w:pStyle w:val='Heading2'/></w:pPr><w:r><w:t>版本历史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版本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日期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作者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修改内容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修改原因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---------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Claude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重构全章数据源架构为1+2主备体系（主API→备API→缓存兜底）；更新§1.2数据源编号表补充主备标记；更新§1.4双源交叉验证为腾讯+新浪+东方财富架构；更新§3.1缓存策略TTL与实际实现一致；更新§3.3降级路径补充缓存兜底；更新§4检查清单新增1+2合规项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用户要求所有数据指标必须1主+2备保障，确保东方财富接口被封时数据不中断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v1.2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Claude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新增§5.4全分析白皮书版本管理要求：覆盖4份白皮书，明确版本号规则/变更流程/归档策略/修改权限；更新前置要求范围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用户要求所有分析白皮书更新必须执行版本管理流程，不允许无版本号的直接修改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Claude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新增数据源[6]~[12]（akshare系列）；新增§1.5数据源实测状态；更新§4检查清单；逐项审计重点股票白皮书指标合规性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重点股票跟踪分析逻辑白皮书v1.0引入多维度新指标，需要明确数据源合规性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v1.0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Claude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初始版本创建。基于原v1.7重构：移除评分体系/一票否决阈值/报告格式等分析逻辑内容。新增前置要求(AI预读规则)，新增执行检查清单，新增API调用监控告警，新增规则变更协议，新增版本管理。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用户要求重构规则红线文档，将分析逻辑剥离至独立文档，建立版本管理体系。</w:t></w:r></w:p></w:tc></w:tr><w:p><w:pPr><w:pStyle w:val='Heading1'/></w:pPr><w:r><w:t>一、数据真实性铁律（最高优先级）</w:t></w:r></w:p><w:p><w:pPr><w:pStyle w:val='Heading2'/></w:pPr><w:r><w:t>1.1 绝对禁止</w:t></w:r></w:p><w:p><w:r><w:t>所有出现在报告中的数字，必须来自真实数据源。</w:t></w:r></w:p><w:p><w:r><w:t></w:t></w:r><w:r><w:rPr><w:b/><w:sz w:val='20'/></w:rPr><w:t>允许：</w:t></w:r><w:r><w:t></w:t></w:r></w:p><w:p><w:pPr><w:ind w:left='400' w:hanging='200'/></w:pPr><w:r><w:t>- 从腾讯行情API、新浪财经、东方财富API等接口获取的真实数据</w:t></w:r></w:p><w:p><w:pPr><w:ind w:left='400' w:hanging='200'/></w:pPr><w:r><w:t>- 基于真实数据的本地计算（移动均线、RSI、MACD、量比等）</w:t></w:r></w:p><w:p><w:pPr><w:ind w:left='400' w:hanging='200'/></w:pPr><w:r><w:t>- 标注为[季报数据，非实时]的财报数据</w:t></w:r></w:p><w:p><w:r><w:t></w:t></w:r><w:r><w:rPr><w:b/><w:sz w:val='20'/></w:rPr><w:t>禁止：</w:t></w:r><w:r><w:t></w:t></w:r></w:p><w:p><w:pPr><w:ind w:left='400' w:hanging='200'/></w:pPr><w:r><w:t>- 在没有数据时凭空赋值或编造任何数字</w:t></w:r></w:p><w:p><w:pPr><w:ind w:left='400' w:hanging='200'/></w:pPr><w:r><w:t>- 用AI模型推断缺失的财务指标</w:t></w:r></w:p><w:p><w:pPr><w:ind w:left='400' w:hanging='200'/></w:pPr><w:r><w:t>- 使用无法通过截图或链接验证的&quot;听说&quot;数据</w:t></w:r></w:p><w:p><w:pPr><w:pStyle w:val='Heading2'/></w:pPr><w:r><w:t>1.2 数据源编号与标注规则</w:t></w:r></w:p><w:p><w:r><w:t>报告中每个关键数字必须标注其数据来源：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编号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角色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用途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缓存TTL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腾讯行情API qt.gtimg.cn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当前价/涨跌幅/换手率/PE/流通市值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新浪行情 hq.sinajs.cn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当前价/涨跌幅/成交量（腾讯失败时启用）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新浪K线 money.finance.sina.com.cn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日K线数据(开/收/高/低/成交量)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腾讯K线 web.ifzq.gtimg.cn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日K线qfq数据（新浪失败时启用）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[3]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东方财富财务 datacenter.eastmoney.com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EPS/ROE/营收/净利润/毛利率等74字段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[5]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本地计算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均线/RSI/MACD/布林/PE(TTM)/支撑阻力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[7]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东方财富板块行业 push2.eastmoney.com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申万行业/概念板块指数走势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[8]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东方财富北向资金 datacenter-web.eastmoney.com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沪股通/深股通持股明细（季度）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[9]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东方财富个股资金流向 push2.eastmoney.com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主力净流入/超大单/大单/小单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[10]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东方财富行业资金流向 push2.eastmoney.com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各行业资金净流入排名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东方财富研报/评级 reportapi.eastmoney.com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研报标题/机构/评级/盈利预测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东方财富融资融券 datacenter.eastmoney.com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融资余额、融券余额、融资净买入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本地文件缓存 data_cache/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兜底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上述所有数据API不可用时的最终保障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见各源TTL</w:t></w:r></w:p></w:tc></w:tr><w:p><w:r><w:t></w:t></w:r><w:r><w:rPr><w:b/><w:sz w:val='20'/></w:rPr><w:t>调用优先级：</w:t></w:r><w:r><w:t> 主API → 备API(有[B]标记的) → 缓存[C] → 返回$null(标注数据不可用)</w:t></w:r></w:p><w:p><w:r><w:t></w:t></w:r><w:r><w:rPr><w:b/><w:sz w:val='20'/></w:rPr><w:t>标注格式示例：</w:t></w:r><w:r><w:t> `估值区间[3]`、`北向资金净流入8.2亿[8]`、`主力净流入占比12%[9]`</w:t></w:r></w:p><w:p><w:r><w:t></w:t></w:r><w:r><w:rPr><w:b/><w:sz w:val='20'/></w:rPr><w:t>数据源不可用时的标注规则：</w:t></w:r><w:r><w:t></w:t></w:r></w:p><w:p><w:pPr><w:ind w:left='400' w:hanging='200'/></w:pPr><w:r><w:t>- 使用了备源：标注 `[1B]` 等，并在报告中注明&quot;备源数据&quot;</w:t></w:r></w:p><w:p><w:pPr><w:ind w:left='400' w:hanging='200'/></w:pPr><w:r><w:t>- 使用了缓存：标注 `[C]`，并在报告中注明&quot;缓存数据，可能滞后&quot;</w:t></w:r></w:p><w:p><w:pPr><w:pStyle w:val='Heading2'/></w:pPr><w:r><w:t>1.3 PE(TTM) 计算红线</w:t></w:r></w:p><w:p><w:r><w:t>禁止直接使用腾讯行情API提供的静态PE作为否决依据。</w:t></w:r></w:p><w:p><w:pPr><w:pStyle w:val="Code"/></w:pPr><w:r><w:rPr><w:rFonts w:ascii='Consolas' w:hAnsi='Consolas'/><w:sz w:val='16'/></w:rPr><w:t>PE(TTM) = 当前价[1] / TTM_EPS[3]</w:t></w:r><w:br/><w:r><w:rPr><w:rFonts w:ascii='Consolas' w:hAnsi='Consolas'/><w:sz w:val='16'/></w:rPr><w:t>TTM_EPS = 最新年报EPS - 去年同季EPS + 最新季报EPS</w:t></w:r><w:br/></w:p><w:p><w:pPr><w:pStyle w:val='Heading2'/></w:pPr><w:r><w:t>1.4 双源交叉验证与故障降级规则</w:t></w:r></w:p><w:p><w:pPr><w:pStyle w:val='Heading3'/></w:pPr><w:r><w:t>1.4.1 数据获取优先级</w:t></w:r></w:p><w:p><w:r><w:t>每个数据获取函数按以下顺序自动尝试，调用方无需感知：</w:t></w:r></w:p><w:p><w:pPr><w:pStyle w:val="Code"/></w:pPr><w:r><w:rPr><w:rFonts w:ascii='Consolas' w:hAnsi='Consolas'/><w:sz w:val='16'/></w:rPr><w:t>主API → 备API(如有) → 本地缓存 → 返回null(上报告警)</w:t></w:r><w:br/></w:p><w:p><w:pPr><w:pStyle w:val='Heading3'/></w:pPr><w:r><w:t>1.4.2 主备分配矩阵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数据类别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主(Primary)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备(Backup)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缓存兜底(TTL)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实现函数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实时行情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 qt.gtimg.cn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 hq.sinajs.cn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Get-StockQuote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K线数据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 money.finance.sina.com.cn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 web.ifzq.gtimg.cn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Get-StockKLine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财务数据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datacenter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Get-StockFinancial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PE百分位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本地计算(K线+EPS)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Get-PEPercentile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板块行情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push2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Get-SectorData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板块资金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push2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Get-SectorFundFlow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个股资金流向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push2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Get-StockFundFlow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北向资金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datacenter-web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Get-NorthboundHold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研报/评级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reportapi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Get-StockResearch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融资融券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 datacenter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Get-MarginData</w:t></w:r></w:p></w:tc></w:tr><w:p><w:pPr><w:pStyle w:val='Heading3'/></w:pPr><w:r><w:t>1.4.3 故障处理流程</w:t></w:r></w:p><w:p><w:pPr><w:pStyle w:val="Code"/></w:pPr><w:r><w:rPr><w:rFonts w:ascii='Consolas' w:hAnsi='Consolas'/><w:sz w:val='16'/></w:rPr><w:t>主API超时/报错 → 写Warning日志</w:t></w:r><w:br/><w:r><w:rPr><w:rFonts w:ascii='Consolas' w:hAnsi='Consolas'/><w:sz w:val='16'/></w:rPr><w:t>    ↓</w:t></w:r><w:br/><w:r><w:rPr><w:rFonts w:ascii='Consolas' w:hAnsi='Consolas'/><w:sz w:val='16'/></w:rPr><w:t>  有备API？ → 是 → 调用备API</w:t></w:r><w:br/><w:r><w:rPr><w:rFonts w:ascii='Consolas' w:hAnsi='Consolas'/><w:sz w:val='16'/></w:rPr><w:t>    ↓ 否          ↓ 成功？→ 返回数据，记录源为&quot;备&quot;</w:t></w:r><w:br/><w:r><w:rPr><w:rFonts w:ascii='Consolas' w:hAnsi='Consolas'/><w:sz w:val='16'/></w:rPr><w:t>    ↓             ↓ 失败？→ 继续</w:t></w:r><w:br/><w:r><w:rPr><w:rFonts w:ascii='Consolas' w:hAnsi='Consolas'/><w:sz w:val='16'/></w:rPr><w:t>    ↓</w:t></w:r><w:br/><w:r><w:rPr><w:rFonts w:ascii='Consolas' w:hAnsi='Consolas'/><w:sz w:val='16'/></w:rPr><w:t>  有缓存？ → 是 → 返回缓存数据，标记&quot;缓存可能滞后&quot;</w:t></w:r><w:br/><w:r><w:rPr><w:rFonts w:ascii='Consolas' w:hAnsi='Consolas'/><w:sz w:val='16'/></w:rPr><w:t>    ↓ 否</w:t></w:r><w:br/><w:r><w:rPr><w:rFonts w:ascii='Consolas' w:hAnsi='Consolas'/><w:sz w:val='16'/></w:rPr><w:t>  返回$null，调用方自行处理</w:t></w:r><w:br/></w:p><w:p><w:pPr><w:pStyle w:val='Heading2'/></w:pPr><w:r><w:t>1.5 数据源实测状态</w:t></w:r></w:p><w:p><w:pPr><w:pStyle w:val='Quote'/></w:pPr><w:r><w:rPr><w:i/></w:rPr><w:t>本表记录每个数据源的实测情况。**未实测的数据源在报告中必须标注&quot;待验证&quot;**，严禁将未验证的数据作为否决依据。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编号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角色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实测状态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验证日期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缓存兜底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腾讯行情API qt.gtimg.cn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新浪行情 hq.sinajs.cn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新浪K线 money.finance.sina.com.cn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腾讯K线 web.ifzq.gtimg.cn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[3]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东方财富财务 datacenter.eastmoney.com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[5]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本地计算（均线/RSI/MACD/布林/PE百分位）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[7]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东方财富板块行业 push2.eastmoney.com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[8]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东方财富北向资金 datacenter-web.eastmoney.com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[9]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东方财富个股资金流向 push2.eastmoney.com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[10]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东方财富行业资金流向 push2.eastmoney.com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东方财富研报/评级 reportapi.eastmoney.com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东方财富融资融券 datacenter.eastmoney.com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 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本地文件缓存 data_cache/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兜底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已实测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/w:tr><w:p><w:pPr><w:pStyle w:val='Heading3'/></w:pPr><w:r><w:t>1.5.1 关键指标数据来源映射（重点股票白皮书）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白皮书章节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指标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主备状态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能否作为决策依据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1.1.1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多周期均线趋势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[2/2B]→[5]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可决策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1.1.2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Wyckoff量价分析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[2/2B]→[5]AI分析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可决策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1.1.3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经典技术形态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[2/2B]→[5]模式识别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可参考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1.1.4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MACD/RSI/布林/ADX/OBV等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[2/2B]→[5]本地计算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可决策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1.1.5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K线组合形态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[2/2B]→[5]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可参考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1.2.1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ROE/毛利率/增长率/负债率/PE(TTM)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[3]→[C]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可决策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1.2.1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PE百分位（历史）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[2/2B]+[3]→[5]→[C]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1.2.2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PE/PB/PS/股息率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[3]→[C]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可决策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1.2.2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EV/EBITDA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暂无可实现HTTP接口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未实现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⚠️ 不可输出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1.2.2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DCF估值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[3]→[5]估算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⚠️ 必须标注&quot;估算&quot;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1.3.1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催化剂分级S/A/B/C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AI分析（基于财务/资金/板块）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AI判断可输出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1.3.3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研报覆盖数/分析师评级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[11]→[C]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1.3.3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融资融券余额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[12]→[C]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1.3.3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社交媒体热度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无免费API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不可获取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移除或标注&quot;人工录入&quot;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1.3.3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互动平台活跃度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无公开API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不可获取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移除或标注&quot;人工录入&quot;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1.4.1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板块相位判断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[7]→[C]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1.4.2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板块轮动位置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AI分析（基于市场）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定性分析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1.4.3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行业内联动/共振度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[2/2B]+[7]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双源+缓存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⚠️ 需开发批量计算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1.5.1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北向资金持股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[8]→[C]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1.5.1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主力净流入/超大单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[9]→[C]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1.5.1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机构大宗交易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无免费API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不可获取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❌ 移除或标注&quot;人工录入&quot;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1.5.1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行业资金流向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[10]→[C]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单源+缓存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可输出</w:t></w:r></w:p></w:tc></w:tr><w:p><w:pPr><w:pStyle w:val='Quote'/></w:pPr><w:r><w:rPr><w:i/></w:rPr><w:t>**主备状态说明：** 「双源+缓存」= 有两个不同厂商API + 本地缓存兜底；「单源+缓存」= 仅一个厂商API + 本地缓存兜底（因数据源垄断，无免费替代）</w:t></w:r></w:p><w:p><w:pPr><w:pStyle w:val='Heading3'/></w:pPr><w:r><w:t>1.5.2 指标整改优先级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优先级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指标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整改要求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完成时限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:--------: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EV/EBITDA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实测东财深度财务HTTP接口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一个月内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北向资金/研报/融资融券[8][11][12]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✅ 已通过HTTP GET解决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已完成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筹码分布/大宗交易/社交情绪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评估替代方案或移除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待定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筹码分布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评估是否购买Level-2数据或降级移除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待定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社交媒体/互动平台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评估替代方案或移除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待定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机构大宗交易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评估替代方案或移除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待定</w:t></w:r></w:p></w:tc></w:tr><w:p><w:pPr><w:pStyle w:val='Heading1'/></w:pPr><w:r><w:t>二、资源节约铁律</w:t></w:r></w:p><w:p><w:pPr><w:pStyle w:val='Heading2'/></w:pPr><w:r><w:t>2.1 核心原则</w:t></w:r></w:p><w:p><w:r><w:t>Token是付费资源。能用本地或免费资源完成的工作，禁止用AI Token完成。免费公开API抓取 -&gt; 本地计算处理 -&gt; AI分析。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层级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成本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承担工作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:----: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数据获取层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零Token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API调用/数据格式化/缓存读写 — 由代码执行，AI不参与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分析决策层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消耗Token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评分判断/否决判定/报告文本生成 — AI参与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校验层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少量Token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交叉验证/异常检测 — AI参与，原始数据比对由代码完成</w:t></w:r></w:p></w:tc></w:tr><w:p><w:pPr><w:pStyle w:val='Heading2'/></w:pPr><w:r><w:t>2.2 Token使用边界</w:t></w:r></w:p><w:p><w:r><w:t></w:t></w:r><w:r><w:rPr><w:b/><w:sz w:val='20'/></w:rPr><w:t>允许：</w:t></w:r><w:r><w:t></w:t></w:r></w:p><w:p><w:pPr><w:ind w:left='400' w:hanging='200'/></w:pPr><w:r><w:t>- AI处理分析逻辑判断/规则解读/报告文本生成</w:t></w:r></w:p><w:p><w:pPr><w:ind w:left='400' w:hanging='200'/></w:pPr><w:r><w:t>- AI对比多个数据源做一致性校验</w:t></w:r></w:p><w:p><w:pPr><w:ind w:left='400' w:hanging='200'/></w:pPr><w:r><w:t>- AI根据评估结果提出规则优化建议</w:t></w:r></w:p><w:p><w:r><w:t></w:t></w:r><w:r><w:rPr><w:b/><w:sz w:val='20'/></w:rPr><w:t>禁止：</w:t></w:r><w:r><w:t></w:t></w:r></w:p><w:p><w:pPr><w:ind w:left='400' w:hanging='200'/></w:pPr><w:r><w:t>- 让AI用自然语言估算已有API可获取的数据</w:t></w:r></w:p><w:p><w:pPr><w:ind w:left='400' w:hanging='200'/></w:pPr><w:r><w:t>- 无谓的重复调用</w:t></w:r></w:p><w:p><w:pPr><w:ind w:left='400' w:hanging='200'/></w:pPr><w:r><w:t>- 把原始数据全文喂给AI做阅读理解</w:t></w:r></w:p><w:p><w:pPr><w:pStyle w:val='Heading1'/></w:pPr><w:r><w:t>三、API调用纪律与缓存策略</w:t></w:r></w:p><w:p><w:pPr><w:pStyle w:val='Heading2'/></w:pPr><w:r><w:t>3.1 数据分层与缓存</w:t></w:r></w:p><w:p><w:r><w:t>所有数据获取函数内置本地缓存层，API成功调用后自动写入缓存，API失败时自动读取缓存兜底。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层级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缓存TTL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缓存文件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实时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当前价/涨跌幅/换手率/PE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腾讯[1]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新浪[1B]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Quote_{Code}.json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120日日K线(OHLCV)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新浪[2]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腾讯[2B]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KLine_{Code}_240.json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技术指标(均线/RSI/MACD/布林)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本地计算[5]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基于K线实时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板块行业TOP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东方财富[7]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Sector_{Top}.json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个股资金流向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东方财富[9]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FundFlow_{Code}_{Days}.json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行业资金流向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东方财富[10]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6h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SectorFundFlow_{Top}.json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研报/评级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东方财富[11]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Research_{Code}_{Count}_{DaysBack}.json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日更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融资融券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东方财富[12]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24h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Margin_{Code}_{Days}.json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季度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财务数据(EPS/ROE/营收)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东方财富[3]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Financial_{Code}.json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低频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PE百分位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本地计算(K线+EPS)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PEPercentile_{Code}.json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低频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北向资金持股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东方财富[8]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168h(7天)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Northbound_{Code}.json</w:t></w:r></w:p></w:tc></w:tr><w:p><w:r><w:t></w:t></w:r><w:r><w:rPr><w:b/><w:sz w:val='20'/></w:rPr><w:t>缓存读写规则：</w:t></w:r><w:r><w:t></w:t></w:r></w:p><w:p><w:pPr><w:ind w:left='400' w:hanging='200'/></w:pPr><w:r><w:t>- 写：API返回有效数据后立即写入 `Save-DataCache -Key &quot;类型_标识&quot; -Data $result`</w:t></w:r></w:p><w:p><w:pPr><w:ind w:left='400' w:hanging='200'/></w:pPr><w:r><w:t>- 读：API全部失败后 `Load-DataCache -Key &quot;类型_标识&quot; -TTLHours N`，缓存过期不读取</w:t></w:r></w:p><w:p><w:pPr><w:ind w:left='400' w:hanging='200'/></w:pPr><w:r><w:t>- 缓存目录：`股票分析/data_cache/`，自动创建，归入gitignore不进版本控制</w:t></w:r></w:p><w:p><w:pPr><w:pStyle w:val='Heading2'/></w:pPr><w:r><w:t>3.2 防封禁规则</w:t></w:r></w:p><w:p><w:pPr><w:ind w:left='400' w:hanging='200'/></w:pPr><w:r><w:t>- 每次API调用后强制间隔 &gt;= 0.3秒</w:t></w:r></w:p><w:p><w:pPr><w:ind w:left='400' w:hanging='200'/></w:pPr><w:r><w:t>- 每10次调用后额外休息 &gt;= 2秒</w:t></w:r></w:p><w:p><w:pPr><w:ind w:left='400' w:hanging='200'/></w:pPr><w:r><w:t>- 财务数据仅在缓存过期时重新拉取（每7天1次）</w:t></w:r></w:p><w:p><w:pPr><w:ind w:left='400' w:hanging='200'/></w:pPr><w:r><w:t>- 禁止在短时间内(&lt;5分钟)重复拉取同一只股票的同一类数据</w:t></w:r></w:p><w:p><w:pPr><w:ind w:left='400' w:hanging='200'/></w:pPr><w:r><w:t>- 同一数据类别内，主源失败→备源时，间隔 &gt;= 1秒再试</w:t></w:r></w:p><w:p><w:pPr><w:pStyle w:val='Heading2'/></w:pPr><w:r><w:t>3.3 降级路径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主数据源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备数据源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缓存兜底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报告中标注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腾讯行情[1]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新浪行情[1B]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备源/缓存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新浪K线[2]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腾讯K线[2B]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备源/缓存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东方财富财务[3]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缓存数据，可能滞后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东方财富板块[7]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缓存数据，可能滞后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东方财富资金[9][10]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缓存数据，可能滞后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东方财富北向[8]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缓存数据，可能滞后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东方财富研报[11]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缓存数据，可能滞后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东方财富融券[12]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—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缓存[C]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缓存数据，可能滞后</w:t></w:r></w:p></w:tc></w:tr><w:p><w:pPr><w:pStyle w:val='Quote'/></w:pPr><w:r><w:rPr><w:i/></w:rPr><w:t>**独有数据说明：** 资金流向[9][10]、北向资金[8]、研报[11]、融资融券[12]为东方财富垄断数据，无免费备API。1+2架构中备源为缓存兜底，数据可用性依赖本地缓存。发现可用的免费备API后必须补充。</w:t></w:r></w:p><w:p><w:pPr><w:pStyle w:val='Heading2'/></w:pPr><w:r><w:t>3.4 调用监控与告警</w:t></w:r></w:p><w:p><w:r><w:t>以下情况必须告警并暂停分析：</w:t></w:r></w:p><w:p><w:pPr><w:ind w:left='400' w:hanging='200'/></w:pPr><w:r><w:t>- 单次分析API调用失败率 &gt; 20%</w:t></w:r></w:p><w:p><w:pPr><w:ind w:left='400' w:hanging='200'/></w:pPr><w:r><w:t>- 同一类数据主API+备API(如有)+缓存全部失败</w:t></w:r></w:p><w:p><w:pPr><w:ind w:left='400' w:hanging='200'/></w:pPr><w:r><w:t>- 腾讯/新浪API响应时间异常(单次 &gt; 3秒)</w:t></w:r></w:p><w:p><w:pPr><w:ind w:left='400' w:hanging='200'/></w:pPr><w:r><w:t>- 降级路径连续2次以上仍不可用</w:t></w:r></w:p><w:p><w:pPr><w:ind w:left='400' w:hanging='200'/></w:pPr><w:r><w:t>- 东方财富接口连续返回空数据或异常数据带有相同特征</w:t></w:r></w:p><w:p><w:pPr><w:pStyle w:val='Heading1'/></w:pPr><w:r><w:t>四、执行检查清单</w:t></w:r></w:p><w:p><w:pPr><w:ind w:left='400' w:hanging='200'/></w:pPr><w:r><w:t>- ☐ 所有数据有来源标记（含主/备/缓存标注）</w:t></w:r></w:p><w:p><w:pPr><w:ind w:left='400' w:hanging='200'/></w:pPr><w:r><w:t>- ☐ 关键数据满足1+2架构（主API+备API+缓存兜底）</w:t></w:r></w:p><w:p><w:pPr><w:ind w:left='400' w:hanging='200'/></w:pPr><w:r><w:t>- ☐ **双源数据(行情/K线)必须实际尝试主和备两个API**</w:t></w:r></w:p><w:p><w:pPr><w:ind w:left='400' w:hanging='200'/></w:pPr><w:r><w:t>- ☐ 无编造数据</w:t></w:r></w:p><w:p><w:pPr><w:ind w:left='400' w:hanging='200'/></w:pPr><w:r><w:t>- ☐ API调用已加延迟(&gt;=0.3s间隔)</w:t></w:r></w:p><w:p><w:pPr><w:ind w:left='400' w:hanging='200'/></w:pPr><w:r><w:t>- ☐ 缓存已自动填充（API成功调用后写缓存）</w:t></w:r></w:p><w:p><w:pPr><w:ind w:left='400' w:hanging='200'/></w:pPr><w:r><w:t>- ☐ 报告有免责声明</w:t></w:r></w:p><w:p><w:pPr><w:ind w:left='400' w:hanging='200'/></w:pPr><w:r><w:t>- ☐ 降级路径已标注（标注备源/缓存数据）</w:t></w:r></w:p><w:p><w:pPr><w:ind w:left='400' w:hanging='200'/></w:pPr><w:r><w:t>- ☐ 数据时效已标注</w:t></w:r></w:p><w:p><w:pPr><w:ind w:left='400' w:hanging='200'/></w:pPr><w:r><w:t>- ☐ **独有数据(资金/北向/研报/融券)须标注&quot;仅供参考&quot;**</w:t></w:r></w:p><w:p><w:pPr><w:ind w:left='400' w:hanging='200'/></w:pPr><w:r><w:t>- ☐ **不可获取指标(筹码分布/大宗交易/社交情绪)不得输出具体数值**</w:t></w:r></w:p><w:p><w:pPr><w:pStyle w:val='Heading1'/></w:pPr><w:r><w:t>五、规则变更协议</w:t></w:r></w:p><w:p><w:pPr><w:pStyle w:val='Heading2'/></w:pPr><w:r><w:t>5.1 变更权限</w:t></w:r></w:p><w:p><w:r><w:t>红线规则修改需人工确认，AI不可直接执行。变更前必须读取当前版本和同级CHANGELOG.md。</w:t></w:r></w:p><w:p><w:pPr><w:pStyle w:val='Heading2'/></w:pPr><w:r><w:t>5.2 变更条件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变更类型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触发条件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最低数据量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:----------: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数据源新增/替换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实测验证通过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3只股票以上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API调用策略调整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连续3次以上失败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3次失败记录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交叉验证规则修改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5个以上样本支撑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5个样本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降级路径调整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降级连续2次仍不可用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2次不可用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数据源状态变更(未实测→已实测)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接口验证通过 + 3只股票以上数据确认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3只股票</w:t></w:r></w:p></w:tc></w:tr><w:p><w:pPr><w:pStyle w:val='Heading2'/></w:pPr><w:r><w:t>5.3 变更执行流程</w:t></w:r></w:p><w:p><w:r><w:t>每次变更必须：</w:t></w:r></w:p><w:p><w:r><w:t>1. 在版本历史表追加新行</w:t></w:r></w:p><w:p><w:r><w:t>2. 更新CHANGELOG</w:t></w:r></w:p><w:p><w:r><w:t>3. 更新文档版本索引</w:t></w:r></w:p><w:p><w:r><w:t>4. 修改文件名（主版本需保留旧版存档）</w:t></w:r></w:p><w:p><w:r><w:t>5. 更新数据源实测状态表</w:t></w:r></w:p><w:p><w:pPr><w:pStyle w:val='Heading2'/></w:pPr><w:r><w:t>5.4 全分析白皮书版本管理要求（红线）</w:t></w:r></w:p><w:p><w:pPr><w:pStyle w:val='Quote'/></w:pPr><w:r><w:rPr><w:i/></w:rPr><w:t>⛔ **红线**：以下4份白皮书只要有内容更新，必须执行本版本管理流程。不允许无版本号的直接修改。</w:t></w:r></w:p><w:p><w:r><w:t>适用白皮书清单：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白皮书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存储路径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重点股票次日后评估白皮书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重点股票\次日评估\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重点股票跟踪分析逻辑白皮书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重点股票\分析逻辑\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每日荐股分析逻辑白皮书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每日荐股\分析逻辑\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次日后评估白皮书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每日荐股\事后评估\</w:t></w:r></w:p></w:tc></w:tr><w:p><w:pPr><w:pStyle w:val='Heading3'/></w:pPr><w:r><w:t>5.4.1 版本号规则</w:t></w:r></w:p><w:p><w:r><w:t>格式 `v&lt;主版本&gt;.&lt;次版本&gt;`：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变更类型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版本号变化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举例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主版本：评估维度重构、核心方法论变更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 → v2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从&quot;逐股预测准确率&quot;重构为&quot;分析逻辑有效性&quot;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次版本：新增/删除章节、调整阈值权重、信号列表管理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v1.2 → v1.3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新增自我进化机制章节、新增版本管理章节</w:t></w:r></w:p></w:tc></w:tr><w:p><w:r><w:t>不设 patch 级别，对白皮书文档粒度够用。</w:t></w:r></w:p><w:p><w:pPr><w:pStyle w:val='Heading3'/></w:pPr><w:r><w:t>5.4.2 版本载体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载体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位置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用途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文档头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`&gt; 当前版本: vX.Y \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最后更新: YYYY-MM-DD`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一眼看到当前版本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版本历史表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文档开头版本历史表格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快速回顾，保留最近 10 条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CHANGELOG.md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同目录独立文件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完整永久记录，每条含文件变更清单</w:t></w:r></w:p></w:tc></w:tr><w:p><w:pPr><w:pStyle w:val='Heading3'/></w:pPr><w:r><w:t>5.4.3 变更流程</w:t></w:r></w:p><w:p><w:pPr><w:pStyle w:val="Code"/></w:pPr><w:r><w:rPr><w:rFonts w:ascii='Consolas' w:hAnsi='Consolas'/><w:sz w:val='16'/></w:rPr><w:t>AI或人发现需要改 → 记录到改进日志.md（含证据） → 人工确认 →</w:t></w:r><w:br/><w:r><w:rPr><w:rFonts w:ascii='Consolas' w:hAnsi='Consolas'/><w:sz w:val='16'/></w:rPr><w:t>[确认采纳] → 升版本号 + 更新日期 → 修改文档正文 →</w:t></w:r><w:br/><w:r><w:rPr><w:rFonts w:ascii='Consolas' w:hAnsi='Consolas'/><w:sz w:val='16'/></w:rPr><w:t>更新版本历史表 → 更新CHANGELOG.md → 生成新版DOCX</w:t></w:r><w:br/></w:p><w:p><w:pPr><w:pStyle w:val='Heading3'/></w:pPr><w:r><w:t>5.4.4 归档策略</w:t></w:r></w:p><w:p><w:pPr><w:ind w:left='400' w:hanging='200'/></w:pPr><w:r><w:t>- 每个版本独立文件：`白皮书名称_vX.Y.md` + `.docx`</w:t></w:r></w:p><w:p><w:pPr><w:ind w:left='400' w:hanging='200'/></w:pPr><w:r><w:t>- 旧版本保留不删，历史可追溯</w:t></w:r></w:p><w:p><w:pPr><w:ind w:left='400' w:hanging='200'/></w:pPr><w:r><w:t>- CHANGELOG.md 是权威变更记录，文档内版本历史表是快速索引</w:t></w:r></w:p><w:p><w:pPr><w:pStyle w:val='Heading3'/></w:pPr><w:r><w:t>5.4.5 修改权限</w:t></w:r></w:p><w:p><w:pPr><w:ind w:left='400' w:hanging='200'/></w:pPr><w:r><w:t>- **人**：任何时候可发起、审批、执行版本变更</w:t></w:r></w:p><w:p><w:pPr><w:ind w:left='400' w:hanging='200'/></w:pPr><w:r><w:t>- **AI**：只能**提议**变更（写入改进日志），经人确认后才能执行版本修改</w:t></w:r></w:p><w:p><w:pPr><w:pStyle w:val='Heading1'/></w:pPr><w:r><w:t>六、文件信息</w:t></w:r></w:p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项目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内容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:-----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文件名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分析的规则红线--Claude_v1.3.docx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存储路径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C:\Users\34269\Documents\Claude\股票分析\规则红线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当前版本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v1.3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最后更新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2026-05-22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更新人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Claude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关联CHANGELOG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分析的规则红线--Claude_CHANGELOG.md</w:t></w:r></w:p></w:tc></w:tr><w:tbl><w:tblPr><w:tblW w:w="5000" w:type="pct"/><w:tblBorders><w:top w:val="single" w:sz="4" w:space="0" w:color="999999"/><w:left w:val="single" w:sz="4" w:space="0" w:color="999999"/><w:bottom w:val="single" w:sz="4" w:space="0" w:color="999999"/><w:right w:val="single" w:sz="4" w:space="0" w:color="999999"/><w:insideH w:val="single" w:sz="4" w:space="0" w:color="999999"/><w:insideV w:val="single" w:sz="4" w:space="0" w:color="999999"/></w:tblBorders></w:tblPr><w:tr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文档版本索引</w:t></w:r></w:p></w:tc><w:tc><w:tcPr><w:tcBorders><w:top w:val='single' w:sz='4' w:space='0' w:color='999999'/><w:left w:val='single' w:sz='4' w:space='0' w:color='999999'/><w:bottom w:val='single' w:sz='4' w:space='0' w:color='999999'/><w:right w:val='single' w:sz='4' w:space='0' w:color='999999'/></w:tcBorders></w:tcPr><w:p><w:r><w:rPr><w:b/><w:sz w:val='16'/></w:rPr><w:t>文档版本索引.md</w:t></w:r></w:p></w:tc></w:tr></w:body></w:document>
</file>

<file path=word/settings.xml><?xml version="1.0" encoding="utf-8"?>
<w:settings xmlns:w="http://schemas.openxmlformats.org/wordprocessingml/2006/main">
  <w:defaultTabStop w:val="420"/>
  <w:zoom w:percent="100"/>
</w:settings>
</file>

<file path=word/styles.xml><?xml version="1.0" encoding="utf-8"?>
<w:styles xmlns:w="http://schemas.openxmlformats.org/wordprocessingml/2006/main">
  <w:style w:type="paragraph" w:styleId="Normal">
    <w:name w:val="Normal"/>
    <w:rPr>
      <w:rFonts w:ascii="SimSun" w:hAnsi="SimSun"/>
      <w:sz w:val="20"/>
      <w:szCs w:val="20"/>
    </w:rPr>
  </w:style>
  <w:style w:type="paragraph" w:styleId="Heading1">
    <w:name w:val="heading 1"/>
    <w:basedOn w:val="Normal"/>
    <w:pPr>
      <w:spacing w:before="240" w:after="60"/>
    </w:pPr>
    <w:rPr>
      <w:b/>
      <w:sz w:val="32"/>
    </w:rPr>
  </w:style>
  <w:style w:type="paragraph" w:styleId="Heading2">
    <w:name w:val="heading 2"/>
    <w:basedOn w:val="Normal"/>
    <w:pPr>
      <w:spacing w:before="200" w:after="40"/>
      <w:pBdr>
        <w:bottom w:val="single" w:sz="4" w:space="1" w:color="999999"/>
      </w:pBdr>
    </w:pPr>
    <w:rPr>
      <w:b/>
      <w:sz w:val="26"/>
    </w:rPr>
  </w:style>
  <w:style w:type="paragraph" w:styleId="Heading3">
    <w:name w:val="heading 3"/>
    <w:basedOn w:val="Normal"/>
    <w:rPr>
      <w:b/>
      <w:sz w:val="22"/>
    </w:rPr>
  </w:style>
  <w:style w:type="paragraph" w:styleId="Heading4">
    <w:name w:val="heading 4"/>
    <w:basedOn w:val="Normal"/>
    <w:rPr>
      <w:b/>
      <w:sz w:val="20"/>
    </w:rPr>
  </w:style>
  <w:style w:type="paragraph" w:styleId="Code">
    <w:name w:val="Code"/>
    <w:basedOn w:val="Normal"/>
    <w:pPr>
      <w:shd w:val="clear" w:color="auto" w:fill="F5F5F5"/>
      <w:spacing w:before="60" w:after="60"/>
    </w:pPr>
    <w:rPr>
      <w:rFonts w:ascii="Consolas" w:hAnsi="Consolas"/>
      <w:sz w:val="16"/>
    </w:rPr>
  </w:style>
  <w:style w:type="paragraph" w:styleId="Quote">
    <w:name w:val="Quote"/>
    <w:basedOn w:val="Normal"/>
    <w:pPr>
      <w:ind w:left="240"/>
      <w:pBdr>
        <w:left w:val="single" w:sz="12" w:space="4" w:color="CCCCCC"/>
      </w:pBdr>
    </w:pPr>
    <w:rPr>
      <w:i/>
      <w:color w:val="66666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