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每日荐股分析逻辑白皮书</w:t>
      </w:r>
    </w:p>
    <w:p>
      <w:r>
        <w:t>**铁律量化 · 核心分析引擎**</w:t>
        <w:br/>
        <w:t>**版本：v2.4 | 2026-05-22 | 文档状态：正式发布**</w:t>
      </w:r>
    </w:p>
    <w:p>
      <w:pPr>
        <w:ind w:left="432"/>
      </w:pPr>
      <w:r>
        <w:rPr>
          <w:color w:val="666666"/>
          <w:sz w:val="20"/>
        </w:rPr>
        <w:t>**【重要声明】本文件受《分析的规则红线--Claude》约束，AI在分析前必须先读取该文档。**</w:t>
      </w: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变更概要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变更原因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**v2.4**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**否决规则引入板块动量双层判断（主线板块豁免否决）；新增板块趋势持续性评分(5分)；评分权重重构(基本面20→15、技术面25→30、消息面20→15)；C5豁免条件放宽(1.05→1.03)；新增板块指数历史K线采集[6/6]**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**v1.5后评估：Spearman=-0.436(评分反向)、否决误杀率36.6%、否决有效度-2.0%。根因：否决规则未考虑板块动量——有色板块大涨时PE/均线否决全部误杀**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v2.3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基于v1.4后评估的P1参数微调。C3阈值放宽(0.97→0.95)+豁免分降至70；C5增加价格&gt;MA20×1.05豁免；技术分分母31→27扩大区分度；S2均线收敛降权(5→3)+S8趋势动量升权(4→6)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v1.4后评估：否决误杀率40.4%、评分区分度为负-10.3%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v2.2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修复K线数据采集+技术评分优化。移除-SkipKLine恢复K线采集；修复均线收敛误判；新增趋势动量评分；修正量价评分权重；新增双底/横盘整理检测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用户指出华钰矿业排名第一但日K大跌，东睦股份大涨却不在前25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v2.1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板块动量改用东方财富真实市场数据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池内84只样本不具备统计行业能力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v2.0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全面重构。动态池替代固定池；否决制替代评分优先；科技PE阈值放宽至300；推荐上限25只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用户反馈69%偏科科技、通过率13.1%过严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2026-05-21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初始版本。六维度评分体系、固定42只池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基于原v5.4重构</w:t>
            </w:r>
          </w:p>
        </w:tc>
      </w:tr>
    </w:tbl>
    <w:p/>
    <w:p>
      <w:r>
        <w:t>之前版本作者均为Claude。</w:t>
      </w:r>
    </w:p>
    <w:p>
      <w:pPr>
        <w:pStyle w:val="Heading2"/>
      </w:pPr>
      <w:r>
        <w:t>第一章 推荐哲学</w:t>
      </w:r>
    </w:p>
    <w:p>
      <w:r>
        <w:t>**核心信念：推荐不是"今天谁涨得好就选谁"，而是"谁在未来一段时间最有可能上涨"。**</w:t>
      </w:r>
    </w:p>
    <w:p>
      <w:r>
        <w:t>股票推荐的目的是提前发现价值，而非追逐已经发生的价格变动。推荐哲学贯穿整个分析逻辑，是评判所有规则合理性的最终依据。</w:t>
      </w:r>
    </w:p>
    <w:p>
      <w:r>
        <w:t>**第一条 逻辑层级**</w:t>
      </w:r>
    </w:p>
    <w:p>
      <w:pPr>
        <w:ind w:left="432"/>
      </w:pPr>
      <w:r>
        <w:rPr>
          <w:color w:val="666666"/>
          <w:sz w:val="20"/>
        </w:rPr>
        <w:t>政策/产业趋势（宏观）→ 行业景气度判断（中观）→ 板块轮动相位（中观）→ 精选蓄势个股（微观技术）→ 择机埋伏（执行）</w:t>
      </w:r>
    </w:p>
    <w:p>
      <w:r>
        <w:t>**第二条 追涨与埋伏的区分**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错误做法（追涨）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正确做法（埋伏）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技术面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今日大涨→高分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均线多头排列、底部抬高、放量突破→高分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资金面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今日主力净流入→高分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连续小单吸纳、成交额温和放大但价格未涨→高分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板块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今日热点板块→超配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轮动早期/中期板块→超配；过热板块→减配</w:t>
            </w:r>
          </w:p>
        </w:tc>
      </w:tr>
    </w:tbl>
    <w:p/>
    <w:p>
      <w:r>
        <w:t>**第三条 推荐四问**</w:t>
      </w:r>
    </w:p>
    <w:p>
      <w:r>
        <w:t>一个好的推荐必须回答以下四个问题：</w:t>
      </w:r>
    </w:p>
    <w:p>
      <w:r>
        <w:t>（一）为什么是这个行业？——板块轮动到哪个阶段了？</w:t>
        <w:br/>
        <w:t>（二）为什么是这只股票？——技术面蓄势充分了吗？</w:t>
        <w:br/>
        <w:t>（三）为什么是现在？——有什么即将发生的催化剂？</w:t>
        <w:br/>
        <w:t>（四）空间和风险如何？——向上空间是否大于向下空间？</w:t>
      </w:r>
    </w:p>
    <w:p>
      <w:pPr>
        <w:pStyle w:val="Heading2"/>
      </w:pPr>
      <w:r>
        <w:t>第二章 流水线总览</w:t>
      </w:r>
    </w:p>
    <w:p>
      <w:r>
        <w:t>**第四条 每日流水线**</w:t>
      </w:r>
    </w:p>
    <w:p>
      <w:r>
        <w:t>```</w:t>
        <w:br/>
        <w:t>build_dynamic_pool.ps1    →  动态池构建</w:t>
        <w:br/>
        <w:t xml:space="preserve">         ↓</w:t>
        <w:br/>
        <w:t>batch_data_collector.ps1  →  批量数据采集（行情/财务/资金流/K线/板块指数K线）</w:t>
        <w:br/>
        <w:t xml:space="preserve">         ↓</w:t>
        <w:br/>
        <w:t>scoring_engine_v2.py      →  否决→评分→排序（绝对否决→六维评分+板块持续性→条件否决→取前25）</w:t>
        <w:br/>
        <w:t xml:space="preserve">         ↓</w:t>
        <w:br/>
        <w:t>gen_daily_html.ps1        →  报告生成（HTML + PDF）</w:t>
        <w:br/>
        <w:t>```</w:t>
      </w:r>
    </w:p>
    <w:p>
      <w:r>
        <w:t>调度入口：`daily_workflow.ps1 -Mode daily`</w:t>
      </w:r>
    </w:p>
    <w:p>
      <w:r>
        <w:t>**第五条 退出机制（独立模块）**</w:t>
      </w:r>
    </w:p>
    <w:p>
      <w:r>
        <w:t>EUS（Exit Urgency Score）退出急迫度评分独立运行，不纳入每日荐股流水线：</w:t>
      </w:r>
    </w:p>
    <w:p>
      <w:r>
        <w:t>（一）四维度加权：时间因子25% + 盈亏状态30% + 技术面25% + 资金面20%</w:t>
        <w:br/>
        <w:t>（二）决策规则：EUS&lt;20持有 / 20-35减半仓 / 35-50退2/3 / &gt;50全面退出</w:t>
        <w:br/>
        <w:t>（三）一票退出：-7%硬止损 / 超15天且亏&gt;5% / 价&lt;MA20×0.95</w:t>
        <w:br/>
        <w:t>（四）输出路径：`临时回溯/` 目录</w:t>
      </w:r>
    </w:p>
    <w:p>
      <w:pPr>
        <w:pStyle w:val="Heading2"/>
      </w:pPr>
      <w:r>
        <w:t>第三章 动态池构建</w:t>
      </w:r>
    </w:p>
    <w:p>
      <w:r>
        <w:t>**第六条 核心思想**</w:t>
      </w:r>
    </w:p>
    <w:p>
      <w:r>
        <w:t>每日根据板块轮动数据动态构建股票池，替代传统的固定池模式：</w:t>
      </w:r>
    </w:p>
    <w:p>
      <w:r>
        <w:t>（一）扫描全市场板块，识别当前热门板块（潜伏期/主升期）</w:t>
        <w:br/>
        <w:t>（二）从热门板块中提取成分股</w:t>
        <w:br/>
        <w:t>（三）合并核心底仓（28只长期跟踪标的）</w:t>
        <w:br/>
        <w:t>（四）输出去重动态池（80-120只）</w:t>
      </w:r>
    </w:p>
    <w:p>
      <w:r>
        <w:t>**第七条 执行流程**</w:t>
      </w:r>
    </w:p>
    <w:p>
      <w:r>
        <w:t>```</w:t>
        <w:br/>
        <w:t>Get-SectorData + Get-SectorFundFlow → 板块五因子评分 → 选择 Top 5 热门板块</w:t>
        <w:br/>
        <w:t xml:space="preserve">    → 对每个热门板块提取前20只成分股 → 合并核心底仓（28只）→ 去重输出 dynamic_pool.json</w:t>
        <w:br/>
        <w:t>```</w:t>
      </w:r>
    </w:p>
    <w:p>
      <w:r>
        <w:t>**第八条 板块相位判定**</w:t>
      </w:r>
    </w:p>
    <w:p>
      <w:r>
        <w:t>基于实时数据，将每个板块归入以下相位：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相位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判定条件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潜伏期（accum）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涨跌幅≥-1.5%且换手率≤4%；或≥-2%且换手率≤2%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+10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主升调整（rise）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换手率&gt;3%且涨幅&gt;0%；或换手率&gt;2%且跌幅&lt;-1%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+5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高潮期（peak）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换手率&gt;5%且涨幅&gt;2%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衰退期（decline）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换手率&gt;3%且跌幅&lt;-3%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-10</w:t>
            </w:r>
          </w:p>
        </w:tc>
      </w:tr>
    </w:tbl>
    <w:p/>
    <w:p>
      <w:r>
        <w:t>**第九条 板块综合评分**</w:t>
      </w:r>
    </w:p>
    <w:p>
      <w:r>
        <w:t>四个因子加权：相位分 + 涨跌幅分 + 换手率分 + 资金流分。取总分前5名的板块，每个板块提取前20只成分股。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因子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评分规则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相位分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潜伏期+10 / 主升调整+5 / 高潮期-5 / 衰退期-10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涨跌幅分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-2%~3%得+5；&gt;5%得-5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换手率分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2%~6%得+5；&gt;10%得-3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资金流分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净流入&gt;0得+5；净流出&lt;-1亿得-3</w:t>
            </w:r>
          </w:p>
        </w:tc>
      </w:tr>
    </w:tbl>
    <w:p/>
    <w:p>
      <w:r>
        <w:t>**第十条 核心底仓**</w:t>
      </w:r>
    </w:p>
    <w:p>
      <w:r>
        <w:t>`core_stocks.json` 包含28只长期跟踪标的：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行业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代表标的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食品饮料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贵州茅台、五粮液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银行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招商银行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电力设备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宁德时代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有色金属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紫金矿业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家用电器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美的集团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医药生物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恒瑞医药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汽车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比亚迪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非银金融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中国平安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计算机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中科曙光、同花顺、恒生电子、金山办公、科大讯飞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电子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中芯国际、豪威集团、北方华创、海光信息、立讯精密、三安光电、澜起科技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通信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中际旭创、天孚通信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机械设备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东睦股份、汇川技术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传媒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昆仑万维</w:t>
            </w:r>
          </w:p>
        </w:tc>
      </w:tr>
    </w:tbl>
    <w:p/>
    <w:p>
      <w:r>
        <w:t>核心底仓始终纳入动态池（去重后），确保覆盖长期跟踪标的。</w:t>
      </w:r>
    </w:p>
    <w:p>
      <w:pPr>
        <w:pStyle w:val="Heading2"/>
      </w:pPr>
      <w:r>
        <w:t>第四章 批量数据采集</w:t>
      </w:r>
    </w:p>
    <w:p>
      <w:r>
        <w:t>**第十一条 数据采集流水线**</w:t>
      </w:r>
    </w:p>
    <w:p>
      <w:r>
        <w:t>```</w:t>
        <w:br/>
        <w:t>batch_data_collector.ps1</w:t>
        <w:br/>
        <w:t xml:space="preserve">    ├── [1/6] 批量行情 → Get-StockQuoteBatch（腾讯多代码API）</w:t>
        <w:br/>
        <w:t xml:space="preserve">    ├── [2/6] 财务数据 → Get-StockFinancial（缓存为主，4个季度）</w:t>
        <w:br/>
        <w:t xml:space="preserve">    ├── [3/6] 资金流向 → Get-StockFundFlow（缓存为主，5日）</w:t>
        <w:br/>
        <w:t xml:space="preserve">    ├── [4/6] K线数据   → Get-StockKLine（60日，限速逐只，v2.2起每日采集）</w:t>
        <w:br/>
        <w:t xml:space="preserve">    ├── [5/6] 板块行情  → Get-SectorData + Get-SectorFundFlow（东方财富行业板块真实数据）</w:t>
        <w:br/>
        <w:t xml:space="preserve">    └── [6/6] 板块指数K线 → Get-SectorKLine（板块指数60日K线，v2.4新增）</w:t>
      </w:r>
    </w:p>
    <w:p>
      <w:r>
        <w:t>输出格式：{ Stocks, SectorData, SectorFundFlow, SectorKLine }</w:t>
        <w:br/>
        <w:t>```</w:t>
      </w:r>
    </w:p>
    <w:p>
      <w:pPr>
        <w:ind w:left="432"/>
      </w:pPr>
      <w:r>
        <w:rPr>
          <w:color w:val="666666"/>
          <w:sz w:val="20"/>
        </w:rPr>
        <w:t>v2.4新增：板块指数历史K线采集。否决规则需要区分"长期主线"和"短期脉冲"，必须依赖板块指数历史走势数据（20-60日K线）。</w:t>
      </w:r>
    </w:p>
    <w:p>
      <w:r>
        <w:t>**第十二条 数据源策略**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主源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备源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缓存TTL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行情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腾讯 qt.gtimg.cn（批量）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新浪 hq.sinajs.cn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个股K线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新浪 money.finance.sina.com.cn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腾讯 web.ifzq.gtimg.cn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24h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板块行情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东方财富 push2.eastmoney.com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缓存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板块指数K线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东方财富 push2.eastmoney.com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新浪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24h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财务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东方财富 datacenter.eastmoney.com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缓存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168h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资金流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东方财富 push2.eastmoney.com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缓存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6h</w:t>
            </w:r>
          </w:p>
        </w:tc>
      </w:tr>
    </w:tbl>
    <w:p/>
    <w:p>
      <w:r>
        <w:t>**第十三条 限速策略**</w:t>
      </w:r>
    </w:p>
    <w:p>
      <w:r>
        <w:t>内置在 `Invoke-ThrottledApiCall`，全局生效：</w:t>
      </w:r>
    </w:p>
    <w:p>
      <w:r>
        <w:t>（一）每次API调用间隔 ≥ 300ms</w:t>
        <w:br/>
        <w:t>（二）每10次调用额外休息2s</w:t>
        <w:br/>
        <w:t>（三）缓存命中不计入调用计数</w:t>
      </w:r>
    </w:p>
    <w:p>
      <w:pPr>
        <w:pStyle w:val="Heading2"/>
      </w:pPr>
      <w:r>
        <w:t>第五章 否决体系</w:t>
      </w:r>
    </w:p>
    <w:p>
      <w:r>
        <w:t>**第十四条 执行流程**</w:t>
      </w:r>
    </w:p>
    <w:p>
      <w:pPr>
        <w:ind w:left="432"/>
      </w:pPr>
      <w:r>
        <w:rPr>
          <w:color w:val="666666"/>
          <w:sz w:val="20"/>
        </w:rPr>
        <w:t>绝对否决 → 六维评分+板块趋势持续性 → 条件否决（含板块动量双层判断）→ 按总分降序排序 → 取前25只推荐</w:t>
      </w:r>
    </w:p>
    <w:p>
      <w:r>
        <w:t>说明：绝对否决在评分之前执行；条件否决允许高分豁免+板块动量豁免。v2.4新增板块动量双层判断机制，区分"长期主线"和"短期脉冲"以差异化执行否决规则。</w:t>
      </w:r>
    </w:p>
    <w:p>
      <w:r>
        <w:t>**第十五条 绝对否决（一条触发即否决，不再评分）**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否决条件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阈值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ST股票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名称含"ST"、"*ST"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带帽风险股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PE估值泡沫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按行业不同（见第十七条）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超出行业合理估值范围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短期暴涨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30日涨幅 &gt; 50%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追高风险极大（需≥30日K线）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财务数据异常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EPS≤0且PE无法计算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财报数据不足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流动性枯竭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成交额&lt;1500万且换手率&lt;0.5%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无人交易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高负债率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资产负债率&gt;70%（预留）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财务风险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严重负面事件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立案调查等（预留）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黑天鹅</w:t>
            </w:r>
          </w:p>
        </w:tc>
      </w:tr>
    </w:tbl>
    <w:p/>
    <w:p>
      <w:r>
        <w:t>**第十六条 条件否决（先评分，分不够则否决）**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否决条件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阈值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豁免条件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科技PE偏高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PE&gt;120（电子/计算机/通信等）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总分≥85，或板块动量豁免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高成长PE偏高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PE&gt;80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总分≥85，或板块动量豁免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短期均线回踩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MA5 &lt; MA10×0.95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总分≥70，或板块动量豁免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30日涨幅过高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30日涨幅&gt;50%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无豁免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均线死叉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MA10≤MA20（原V1降级）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总分≥75，或MA5&gt;MA10，或价格&gt;MA20×1.03，或板块动量豁免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PE板块调整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PE&gt;行业阈值且板块处于衰退期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板块为长期主线</w:t>
            </w:r>
          </w:p>
        </w:tc>
      </w:tr>
    </w:tbl>
    <w:p/>
    <w:p>
      <w:pPr>
        <w:ind w:left="432"/>
      </w:pPr>
      <w:r>
        <w:rPr>
          <w:color w:val="666666"/>
          <w:sz w:val="20"/>
        </w:rPr>
        <w:t>v2.4变更：① C5豁免从price&gt;MA20×1.05放宽至1.03；② 新增C6（仅衰退期触发PE否决）；③ C1/C2/C3/C5新增板块动量双层判断作为通用豁免。</w:t>
      </w:r>
    </w:p>
    <w:p>
      <w:r>
        <w:t>**第十七条 PE估值阈值（行业相对估值）**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行业类型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绝对否决（PE&gt;）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电子、计算机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科技成长股，高PE是常态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通信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高研发投入行业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汽车、电力设备、机械设备、传媒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制造业+科技转型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医药生物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创新药估值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食品饮料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消费龙头适度放宽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非银金融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金融行业低估值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银行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银行天然低PE</w:t>
            </w:r>
          </w:p>
        </w:tc>
      </w:tr>
    </w:tbl>
    <w:p/>
    <w:p>
      <w:r>
        <w:t>**第十八条 板块动量双层判断（v2.4新增）**</w:t>
      </w:r>
    </w:p>
    <w:p>
      <w:r>
        <w:t>（一）**设计背景**</w:t>
      </w:r>
    </w:p>
    <w:p>
      <w:r>
        <w:t>v1.5后评估显示：5月22日有色板块整体大涨，导致所有基于PE和均线的否决条件全部误杀（15只涨&gt;5%被否决）。根因是否决规则只看了个股技术形态，没有考虑板块整体动量。同一只股票同样的技术形态，在主线板块和冷门板块中的后续表现截然不同。</w:t>
      </w:r>
    </w:p>
    <w:p>
      <w:r>
        <w:t>（二）**第一层：当日板块动量**（详见第二十六条）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条件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板块强势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高潮期/主升调整（turn&gt;3%且chg&gt;0%或&gt;-1%）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板块中性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潜伏期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板块弱势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衰退期（turn&gt;3%且chg&lt;-3%）</w:t>
            </w:r>
          </w:p>
        </w:tc>
      </w:tr>
    </w:tbl>
    <w:p/>
    <w:p>
      <w:r>
        <w:t>（三）**第二层：板块趋势持续性**（详见第二十七条）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条件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强主线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20日涨幅&gt;10% + 上涨天数占比&gt;60% + 持续跑赢大盘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弱轮动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当日大涨但20日趋势不足</w:t>
            </w:r>
          </w:p>
        </w:tc>
      </w:tr>
    </w:tbl>
    <w:p/>
    <w:p>
      <w:r>
        <w:t>（四）**双层判定矩阵**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当日动量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长期趋势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C1/C2（PE）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C3/C5（均线）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强（主线）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主线加速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豁免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豁免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弱（轮动）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短期脉冲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豁免分降至70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豁免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强（主线）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主线回调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豁免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仅C3豁免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弱（冷门）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冷门板块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正常执行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正常执行</w:t>
            </w:r>
          </w:p>
        </w:tc>
      </w:tr>
    </w:tbl>
    <w:p/>
    <w:p>
      <w:r>
        <w:t>（五）**实现逻辑**</w:t>
      </w:r>
    </w:p>
    <w:p>
      <w:r>
        <w:t>```</w:t>
        <w:br/>
        <w:t>should_exempt_by_sector(industry, sector_phases, sector_trends):</w:t>
        <w:br/>
        <w:t xml:space="preserve">    is_strong_day = phase in ("高潮期", "主升调整")</w:t>
        <w:br/>
        <w:t xml:space="preserve">    is_strong_trend = trend.is_long_term_main_line</w:t>
        <w:br/>
        <w:t xml:space="preserve">    if is_strong_day and is_strong_trend:    → 全面豁免</w:t>
        <w:br/>
        <w:t xml:space="preserve">    if is_strong_day and not is_strong_trend: → 部分豁免</w:t>
        <w:br/>
        <w:t xml:space="preserve">    if not is_strong_day and is_strong_trend: → 仅豁免C3</w:t>
        <w:br/>
        <w:t xml:space="preserve">    否则 → 不豁免</w:t>
        <w:br/>
        <w:t>```</w:t>
      </w:r>
    </w:p>
    <w:p>
      <w:pPr>
        <w:pStyle w:val="Heading2"/>
      </w:pPr>
      <w:r>
        <w:t>第六章 评分体系</w:t>
      </w:r>
    </w:p>
    <w:p>
      <w:r>
        <w:t>**第十九条 评分总览**</w:t>
      </w:r>
    </w:p>
    <w:p>
      <w:r>
        <w:t>总分 = 基础（10分）+ 基本面（15分）+ 技术面（30分）+ 资金面（20分）+ 消息面（15分）+ 风控（5分）+ 板块趋势持续性（5分）= **100分**</w:t>
      </w:r>
    </w:p>
    <w:p>
      <w:pPr>
        <w:ind w:left="432"/>
      </w:pPr>
      <w:r>
        <w:rPr>
          <w:color w:val="666666"/>
          <w:sz w:val="20"/>
        </w:rPr>
        <w:t>v2.4权重调整：基本面20→15（负相关-0.182）、技术面25→30（正相关+0.199）、消息面20→15（负相关-0.124）、新增板块趋势持续性5分。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总分范围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评级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操作建议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≥ 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极品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蓄势充分+催化明确+板块主线，优先推荐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≥ 75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优质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蓄势良好，积极推荐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≥ 65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达标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可推荐，适合轻仓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55-64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观察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蓄势中，仅纳入跟踪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&lt; 55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否决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不推荐</w:t>
            </w:r>
          </w:p>
        </w:tc>
      </w:tr>
    </w:tbl>
    <w:p/>
    <w:p>
      <w:r>
        <w:t>**第二十条 基础门槛（10分）**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子项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分值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评分标准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非ST/非亏损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ST直接否决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市值评分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100-1000亿得4分；50-100亿或1000-3000亿得2分；&lt;50亿得1分；&gt;3000亿得0分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流动性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日成交额&gt;1亿得3分；&gt;5000万得2分；&gt;3000万得1分</w:t>
            </w:r>
          </w:p>
        </w:tc>
      </w:tr>
    </w:tbl>
    <w:p/>
    <w:p>
      <w:r>
        <w:t>**第二十一条 基本面（15分）**</w:t>
      </w:r>
    </w:p>
    <w:p>
      <w:pPr>
        <w:ind w:left="432"/>
      </w:pPr>
      <w:r>
        <w:rPr>
          <w:color w:val="666666"/>
          <w:sz w:val="20"/>
        </w:rPr>
        <w:t>v2.4降权：基本面得分与次日收益呈负相关（Spearman=-0.182），压缩权重至15分。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子项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评分标准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PE估值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PE≤15得13分；15&lt;PE≤30得11分；30&lt;PE≤80得9分；PE&gt;80得7分；大盘股+2分（归一化至15分）</w:t>
            </w:r>
          </w:p>
        </w:tc>
      </w:tr>
    </w:tbl>
    <w:p/>
    <w:p>
      <w:r>
        <w:t>**第二十二条 技术面（30分）**</w:t>
      </w:r>
    </w:p>
    <w:p>
      <w:pPr>
        <w:ind w:left="432"/>
      </w:pPr>
      <w:r>
        <w:rPr>
          <w:color w:val="666666"/>
          <w:sz w:val="20"/>
        </w:rPr>
        <w:t>v2.4升权：技术面是唯一与次日收益正相关的维度（Spearman=+0.199），扩大权重。</w:t>
      </w:r>
    </w:p>
    <w:p>
      <w:r>
        <w:t>8个子项评分后归一化（raw_tech最大值27分→归一化至30分）：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子项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评分核心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S1 均线系统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MA5&gt;MA10&gt;MA20+价格站上MA20得6分；均线收敛（间距&lt;1%）得4分；死叉得1分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S2 均线收敛发散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从收敛开始发散向上得3分；持续收敛得2分；发散向下得0分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S3 量价蓄势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横盘后放量突破得5分；洗盘后突破得4分；放量上涨得4分；底部连阳得4分；温和上涨得3分；高位放量滞涨得1分；放量暴跌得0分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S4 底部支撑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底部抬高/双底/突破前高得4分；回踩MA20/横盘整理得3分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S5 RSI位置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RSI 40-55得3分；突破形态RSI&gt;70也得2分；&gt;70得0分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S6 MACD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金叉得2分；多头运行得1分；死叉得0分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S7 突破确认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震荡洗盘（近10日≥3日振幅&gt;5%）+放量突破前高得2分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S8 趋势动量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最近5日涨幅&gt;10%+2分；&gt;15%额外+1分；价格&gt;MA20×1.08+1分；5日≥3阳线+1分；MA20斜率向上+1分</w:t>
            </w:r>
          </w:p>
        </w:tc>
      </w:tr>
    </w:tbl>
    <w:p/>
    <w:p>
      <w:r>
        <w:t>突破形态判定：`近10日振幅&gt;5%的天数≥3天 + 当日涨幅&gt;3% + 量比&gt;1.5 → has_breakout = True`</w:t>
      </w:r>
    </w:p>
    <w:p>
      <w:r>
        <w:t>归一化公式：`tech = round(raw_tech / 27 * 30)`，上限30分，下限1分。</w:t>
      </w:r>
    </w:p>
    <w:p>
      <w:r>
        <w:t>**第二十三条 资金面（20分）**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子项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评分核心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换手率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2%-5%活跃区间+4分；&gt;8%过热-2分；&lt;1%冷清-2分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振幅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3%-7%合理波动+3分；&gt;10%异常-2分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资金流向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主力净流入&gt;0+2分；净流出&lt;-1000万-2分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板块动量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高潮期+4分；主升调整+2~3分；潜伏期+1分；衰退期-3分（见第二十六条）</w:t>
            </w:r>
          </w:p>
        </w:tc>
      </w:tr>
    </w:tbl>
    <w:p/>
    <w:p>
      <w:r>
        <w:t>**第二十四条 消息面（15分）**</w:t>
      </w:r>
    </w:p>
    <w:p>
      <w:pPr>
        <w:ind w:left="432"/>
      </w:pPr>
      <w:r>
        <w:rPr>
          <w:color w:val="666666"/>
          <w:sz w:val="20"/>
        </w:rPr>
        <w:t>v2.4降权：消息面得分与次日收益呈负相关（Spearman=-0.124），单日涨跌幅噪声大，压缩权重至15分。</w:t>
      </w:r>
    </w:p>
    <w:p>
      <w:r>
        <w:t>（一）今日涨幅&gt;3% +4分；&gt;1% +2分；&lt;-3% -3分</w:t>
        <w:br/>
        <w:t>（二）板块动量加成：高潮期+2分；主升调整+1分；衰退期-1分（见第二十六条）</w:t>
        <w:br/>
        <w:t>（三）最低1分，最高15分</w:t>
      </w:r>
    </w:p>
    <w:p>
      <w:r>
        <w:t>**第二十五条 风控（5分）**</w:t>
      </w:r>
    </w:p>
    <w:p>
      <w:r>
        <w:t>（一）PE&gt;0且&lt;60 +1分</w:t>
        <w:br/>
        <w:t>（二）换手率1%-8% +1分</w:t>
        <w:br/>
        <w:t>（三）默认3分</w:t>
      </w:r>
    </w:p>
    <w:p>
      <w:r>
        <w:t>**第二十六条 板块动量加分**</w:t>
      </w:r>
    </w:p>
    <w:p>
      <w:r>
        <w:t>板块动量不单独作为一个维度，而是对资金面（S_Money）和消息面（S_News）进行加权修正。</w:t>
      </w:r>
    </w:p>
    <w:p>
      <w:r>
        <w:t>（一）**数据来源**：东方财富行业板块API（`push2.eastmoney.com/api/qt/clist/get?fs=m:90+t:2`）</w:t>
      </w:r>
    </w:p>
    <w:p>
      <w:r>
        <w:t>（二）**相位分类**（`classify_phase`）：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相位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判定条件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潜伏期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涨跌幅≥-1.5%且换手率≤4%；或≥-2%且换手率≤2%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板块未启动，可埋伏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主升调整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换手率&gt;3%且涨幅&gt;0%；或换手率&gt;2%且跌幅&lt;-1%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板块活跃中，持有不加仓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高潮期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换手率&gt;5%且涨幅&gt;2%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板块过热，减仓回避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衰退期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换手率&gt;3%且跌幅&lt;-3%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板块退潮，规避</w:t>
            </w:r>
          </w:p>
        </w:tc>
      </w:tr>
    </w:tbl>
    <w:p/>
    <w:p>
      <w:r>
        <w:t>（三）**加分规则**（`calc_sector_bonus`）：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相位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资金面加分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消息面加分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高潮期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turn&gt;5, chg&gt;2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主升调整（强）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chg&gt;3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主升调整（弱）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其他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潜伏期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默认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衰退期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turn&gt;3, chg&lt;-3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</w:tr>
    </w:tbl>
    <w:p/>
    <w:p>
      <w:pPr>
        <w:ind w:left="432"/>
      </w:pPr>
      <w:r>
        <w:rPr>
          <w:color w:val="666666"/>
          <w:sz w:val="20"/>
        </w:rPr>
        <w:t>板块在真实市场数据中不存在时，回退至池内聚合计算；池内该板块股票&lt;3只时，降级为基准加分（潜伏期水平）。</w:t>
      </w:r>
    </w:p>
    <w:p>
      <w:r>
        <w:t>**第二十七条 板块趋势持续性（5分，v2.4新增）**</w:t>
      </w:r>
    </w:p>
    <w:p>
      <w:r>
        <w:t>（一）**设计背景**</w:t>
      </w:r>
    </w:p>
    <w:p>
      <w:r>
        <w:t>v1.5后评估暴露了一个核心问题：当日板块动量无法区分"长期主线"和"短期脉冲"。AI/机器人/存储等持续数月的热门板块，与有色这种当天大涨的轮动板块，应当区别对待。板块趋势持续性作为一个独立的评分维度，基于板块指数历史K线评估板块的中长期趋势质量。</w:t>
      </w:r>
    </w:p>
    <w:p>
      <w:r>
        <w:t>（二）**评分规则**（需板块指数≥20日K线数据）：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子项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分值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判定条件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数据依赖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板块20日涨幅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板块指数20日涨幅&gt;10%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板块指数20日K线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上涨天数占比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20日中上涨天数&gt;12天（&gt;60%）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板块指数20日K线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相对大盘超额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板块20日涨幅跑赢沪深300&gt;5%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板块指数+大盘20日K线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主力资金趋势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20日主力资金净流入天数&gt;12天+1；最近5日持续净流入+1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板块20日资金流数据</w:t>
            </w:r>
          </w:p>
        </w:tc>
      </w:tr>
    </w:tbl>
    <w:p/>
    <w:p>
      <w:r>
        <w:t>总分范围：0-5分（数据不足时默认0分，不扣分）。得分≥3分判定为"强主线"。</w:t>
      </w:r>
    </w:p>
    <w:p>
      <w:r>
        <w:t>（三）**与当日板块动量的关系**</w:t>
      </w:r>
    </w:p>
    <w:p>
      <w:r>
        <w:t>第二十六条（当日板块动量）决定资金面/消息面短期加减分；第二十七条（板块趋势持续性）提供独立5分评分+否决规则双层判断输入（中长期）。否决规则根据二者组合差异化执行（见第十八条）。</w:t>
      </w:r>
    </w:p>
    <w:p>
      <w:pPr>
        <w:pStyle w:val="Heading2"/>
      </w:pPr>
      <w:r>
        <w:t>第七章 输出规范</w:t>
      </w:r>
    </w:p>
    <w:p>
      <w:r>
        <w:t>**第二十八条 data_scored.json 字段说明**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Summary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总览：总数/通过数/否决数/通过率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SectorPhaseMap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各板块相位/涨跌幅/换手率/动量加分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SectorTrendMap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各板块趋势持续性评分/主线判定（v2.4新增）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Recommendations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前25只（通过否决，按总分降序）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VetoedStocks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被否决股票及原因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AllStocks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全量数据（含K线，已清理）</w:t>
            </w:r>
          </w:p>
        </w:tc>
      </w:tr>
    </w:tbl>
    <w:p/>
    <w:p>
      <w:r>
        <w:t>**第二十九条 推荐报告**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HTML报告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A4横板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`每日荐股/股票报告/daily_report_yyyymmdd.html`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PDF报告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A4横板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`每日荐股/股票报告/每日股票推荐_yyyymmdd_landscape.pdf`</w:t>
            </w:r>
          </w:p>
        </w:tc>
      </w:tr>
    </w:tbl>
    <w:p/>
    <w:p>
      <w:r>
        <w:t>报告包含：（一）精选推荐列表（前25只）；（二）全部标的过筛表；（三）否决明细；（四）板块轮动分析；（五）板块趋势持续性（v2.4新增）。</w:t>
      </w:r>
    </w:p>
    <w:p>
      <w:r>
        <w:t>**第三十条 推荐上限**</w:t>
      </w:r>
    </w:p>
    <w:p>
      <w:r>
        <w:t>（一）正常每日推荐不超过25只。（二）按总分降序排列。（三）通过绝对否决+条件否决的股票才有资格。</w:t>
      </w:r>
    </w:p>
    <w:p>
      <w:pPr>
        <w:pStyle w:val="Heading2"/>
      </w:pPr>
      <w:r>
        <w:t>第八章 数据质量</w:t>
      </w:r>
    </w:p>
    <w:p>
      <w:r>
        <w:t>**第三十一条 数据来源**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更新频率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腾讯行情 qt.gtimg.cn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实时行情、批量报价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实时（3秒延迟）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新浪K线 money.finance.sina.com.cn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个股K线数据、技术指标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日更新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东方财富 push2.eastmoney.com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板块数据、资金流、财务数据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日/季更新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东方财富 push2.eastmoney.com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板块指数历史K线（v2.4新增）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日更新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东方财富 datacenter.eastmoney.com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财务摘要数据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季度更新</w:t>
            </w:r>
          </w:p>
        </w:tc>
      </w:tr>
    </w:tbl>
    <w:p/>
    <w:p>
      <w:r>
        <w:t>**第三十二条 数据质量标签**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完整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所有必需数据齐全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正常评分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部分缺失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个别辅助数据缺失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按已有数据计算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严重缺失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关键数据缺失（如K线&lt;20日）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技术评分降为默认10分；板块趋势持续性默认0分</w:t>
            </w:r>
          </w:p>
        </w:tc>
      </w:tr>
    </w:tbl>
    <w:p/>
    <w:p>
      <w:pPr>
        <w:pStyle w:val="Heading2"/>
      </w:pPr>
      <w:r>
        <w:t>附录A：否决规则演变记录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v1.0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v2.0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v2.2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v2.3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v2.4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变更原因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V1 MA10≤MA20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绝对否决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→ C5条件否决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→ C5 price&gt;MA20×1.03豁免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30只蓝筹股被误杀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V2 PE阈值（科技）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→ 300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中芯国际PE=209不应一刀切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V3 30日涨幅&gt;50%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绝对否决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绝对否决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需≥30日K线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K线缺失，V3从未触发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V4 EPS异常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绝对否决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绝对否决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数据缺失无法评分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V5 流动性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&lt;3000万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→ &lt;1500万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手→股单位换算错误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V0 ST股票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→ 新增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用户要求直接排除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C3 MA5&lt;MA10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豁免≥85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→ 豁免≥75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需≥10日K线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→ 0.97→0.95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→ 板块动量豁免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多轮放宽后仍需豁免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C5 MA10≤MA20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新增（原V1降级）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→ 1.05豁免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→ 1.03+板块动量豁免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v1.5评估死叉仍误杀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C6 PE板块调整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→ 新增，仅衰退期触发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强势市场中PE否决全面误杀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推荐上限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无限制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→ 25只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池子扩大后的质量控制</w:t>
            </w:r>
          </w:p>
        </w:tc>
      </w:tr>
    </w:tbl>
    <w:p/>
    <w:p>
      <w:pPr>
        <w:pStyle w:val="Heading2"/>
      </w:pPr>
      <w:r>
        <w:t>附录B：退出机制（EUS）规范</w:t>
      </w:r>
    </w:p>
    <w:p>
      <w:r>
        <w:t>EUS退出机制为独立模块，不纳入每日荐股流水线。</w:t>
      </w:r>
    </w:p>
    <w:p>
      <w:r>
        <w:t>**四维度加权**：时间因子25% + 盈亏状态30% + 技术面25% + 资金面20%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EUS范围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&lt; 20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继续持有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20-35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减半仓，挂移动止盈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35-50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退出2/3，保留观察仓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≥ 50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全面退出</w:t>
            </w:r>
          </w:p>
        </w:tc>
      </w:tr>
    </w:tbl>
    <w:p/>
    <w:p>
      <w:r>
        <w:t>一票退出条件：-7%硬止损 / 超15天且亏&gt;5% / 价&lt;MA20×0.95</w:t>
      </w:r>
    </w:p>
    <w:p>
      <w:pPr>
        <w:pStyle w:val="Heading2"/>
      </w:pPr>
      <w:r>
        <w:t>附录C：v2.3灰度实装状态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灰度项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v2.3状态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v2.4状态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C3/C5板块动量豁免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灰度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已实装（第十八条）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板块动量双层判断矩阵已在否决规则中正式落地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消息面改5日RS强度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灰度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暂缓实装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等待更多数据验证消息面负相关是否为系统性特征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技术面25→35+消息面20→10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灰度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部分实装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技术面25→30，消息面20→15，基本面20→15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基本面评分中性化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灰度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部分实装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评分范围6-18压缩至7-13，未完全中性化以保留区分度</w:t>
            </w:r>
          </w:p>
        </w:tc>
      </w:tr>
    </w:tbl>
    <w:p/>
    <w:p>
      <w:pPr>
        <w:pStyle w:val="Heading2"/>
      </w:pPr>
      <w:r>
        <w:t>附录D：待验证优化（v2.4 P2）</w:t>
      </w:r>
    </w:p>
    <w:p>
      <w:r>
        <w:t>**D.1 市场环境自适应否决**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市场状态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全市场等权涨幅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否决阈值调整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豁免分调整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强势市场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&gt; 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放宽20%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降10分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弱势市场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&lt; -2%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收紧10%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升10分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震荡市场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-2%~2%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正常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正常</w:t>
            </w:r>
          </w:p>
        </w:tc>
      </w:tr>
    </w:tbl>
    <w:p/>
    <w:p>
      <w:r>
        <w:t>**D.2 板块趋势持续性数据源建设**</w:t>
      </w:r>
    </w:p>
    <w:p>
      <w:r>
        <w:t>当前板块趋势持续性评分依赖板块指数历史K线，但数据源尚未完全确定：（一）东方财富板块指数API可获取当日数据；（二）需调研是否提供历史K线API；（三）备选方案：板块内个股聚合K线加权平均近似；（四）缓存策略：24h TTL。</w:t>
      </w:r>
    </w:p>
    <w:p>
      <w:r>
        <w:t>**D.3 评分区分度专项优化**</w:t>
      </w:r>
    </w:p>
    <w:p>
      <w:r>
        <w:t>v1.5后评估显示Spearman=-0.436，需系统性改进：（一）极端分扩展（当前最高76分，最低50分，考虑非线性映射）；（二）S1均线系统升权；（三）基础分压缩至5分释放空间。</w:t>
      </w:r>
    </w:p>
    <w:p>
      <w:r>
        <w:t>**D.4 否决规则自学习机制**</w:t>
      </w:r>
    </w:p>
    <w:p>
      <w:r>
        <w:t>对每条否决规则记录历史表现，误杀率持续&gt;30%时自动触发审查：（一）记录股票代码、原因、后续3日涨跌幅；（二）每周末统计"正确否决率"；（三）正确否决率&lt;50%自动建议放宽阈值。</w:t>
      </w:r>
    </w:p>
    <w:p>
      <w:r>
        <w:t>**铁律量化 · 核心分析引擎**</w:t>
        <w:br/>
        <w:t>**版本：v2.4 | 2026-05-22**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