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Microsoft YaHei"/>
          <w:b/>
          <w:color w:val="1A1A2E"/>
          <w:sz w:val="36"/>
        </w:rPr>
        <w:t>分析的规则红线--Claude v1.16</w:t>
      </w:r>
    </w:p>
    <w:p>
      <w:pPr>
        <w:pStyle w:val="Heading1"/>
      </w:pPr>
      <w:r>
        <w:t>量化分析铁律 - 分析的规则红线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当前版本: v1.16 | 最后更新: 2026-05-24 | 更新人: Claude(阿黑)</w:t>
        <w:br/>
        <w:t>生效范围: 所有A股量化分析/选股/荐股/报告生成/白皮书版本管理/项目成员文件管理/工程团队管理/Agent定义文件管理</w:t>
        <w:br/>
        <w:t>违反后果: 必须立即停止并修正 ⚠</w:t>
        <w:br/>
        <w:t>前置要求: AI必须遵守 — 任何AI在执行分析任务(选股/评分/荐股/报告生成/后评估/白皮书更新)前，必须先读取本文档并完全遵照执行。本文档为最高优先级规则，其他所有分析逻辑必须在不违反本文档的前提下执行。</w:t>
        <w:br/>
        <w:t>存储路径: C:\Users\34269\Documents\Claude\股票分析\规则红线\分析的规则红线--Claude_v1.16.docx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§1.2.1新增数据访问分层策略(Tier 1-4缓存优先原则+三原则映射表+缓存标注规则)；§1.2.2新增全数据清单(12类数据更新频率+本地留存状态)；§1.2数据源表[8]北向TTL 168h→24h、[9]资金流向TTL 6h→24h；§1.5同步TTL更新；实现层`stock_data_fetcher.psm1`8个函数缓存优先改造、`catchup_launcher.ps1`多日离线补偿v2、`backfill_queue.ps1`补齐队列(幂等)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Pulse诊断：数据管线"拉完即丢"架构缺陷→建立数据生命周期框架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6.6.1路径#3修正(股票档案→股票报告，文件名→分析报告__YYYYMMDD)；§6.1新增重点股票单股报告CSS永久锁定条款(引擎L970-1040，无特殊情况不允许变化)；关联更新样式基线v1.2(新增§2ter重点股票单股分析样式)；引擎HTML文件名bug修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用户要求统一6只重点股票报告样式并永久锁定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Claude(阿黑)+Gauge(审计官)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结构审计优化：合并数据源三表为一(§1.2)、删除§1.4.1降级路径重复、§1.5.1映射表精简为原则声明、§1.5.2整改表合并、删除§5.5.1设计理由段落、§5.4拆出操作规程独立文件；补充§5.6紧急豁免条款、§2.4 Pre-commit hook完整定义、§四检查清单+4项、§5.4.1补模拟交易白皮书、规则优先级声明；CLAUDE.md §二精简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Gauge审计发现3处重复+4处臃肿+5处遗漏，v1.14集中修复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§二新增§2.3 Token预算门禁（Agent定义≤250行/12KB、stdout≤20行、大文件禁止AI读取）和§2.4 三层防护机制（创建约束+提交门禁+定期审计）；Proof新增R13 Token预算合规检查；Pre-commit hook新增Check E自动拦截超标提交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Proof审计发现Agent定义平均40KB、年化Token浪费10-15M，需建预算制度杜绝再犯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新增§6.6 报告存储路径规范：明确定义7类报告的正确输出路径（每日荐股/后评估/重点单股/重点汇总/临时报告/白皮书/文档索引），禁止报告放错目录；关联更新报告样式基线_v1.1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审计发现腰子重点股票分析报告误存历史数据/eval/目录，规范有缺口→建立硬性路径规则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新增§5.5 样本外验证(OOS)规则：所有规则变更须经近6个月样本外数据验证，胜率提升≥3%+最大回撤不恶化方可正式上线；含§5.5.1适用范围/§5.5.2验证标准/§5.5.3流程/§5.5.4豁免条件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豆包建议「过拟合风险」：规则变更须OOS验证防止历史数据过拟合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§5.4.8.2 新增第7条「规则-监督器同步」：规则新增版本管理文件类型时须同commit更新监督器；`version_supervisor.ps1` 新增团队名册版本号检查（§5.4.8.1 路径改为版本化文件名，无版本号文件禁止存在）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审计发现监督器未实现§5.4.8.2第6条检查，纸面合规漏洞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§5.4.8.1 适用范围扩展至工程团队（Arch/Forge/Dock/Proof）；§5.4.8.3 更新为双团队（金融+工程）角色管理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新增工程团队4角色，团队扩张至10人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§5.4.8.1 适用范围新增「团队名册.xlsx」；新增§5.4.8.4 双格式同步规则：团队名册.md 修改后须同步更新 .xlsx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用户要求团队名册同时维护 .xlsx 版本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§5.4.1 适用范围新增「项目成员/团队名册」；新增§5.4.8 项目成员文件版本管理规则：团队名册纳入版本管理体系，版本号/CHANGELOG/归档同步要求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用户要求项目成员文件遵循规则红线的版本管理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新增§1.7 生成文件保护规则：未经用户明确许可，AI禁止删除项目中任何已生成的PDF文件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用户要求保护已生成的PDF报告不被AI擅自删除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新增§1.6 CHANGELOG真实性规则：禁止CHANGELOG虚假记录、"已修复"声明需证据链、提交前CrossCheck验证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审计发现v2.4.1 CHANGELOG条目记录"已移除VetoedStocks"但代码未改，需建规杜绝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§5.4 版本号从 vX.Y 升级为 vX.Y.Z SemVer 三字段；新增 CHANGELOG 格式规范（Keep a Changelog 6类标记）；新增三段式发布流程（提案→确认→执行）和三层级审批（PATCH/MINOR/MAJOR）；新增责任人追溯和版本载体系；新增§4检查清单版本管理项；§6.3 新增报告样式变更权限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用户要求引入正规版本管理，参考大型软件公司实践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全章数据源架构为1+2主备体系（主API→备API→缓存兜底）；更新§1.2数据源编号表补充主备标记；更新§1.4双源交叉验证为腾讯+新浪+东方财富架构；更新§3.1缓存策略TTL与实际实现一致；更新§3.3降级路径补充缓存兜底；更新§4检查清单新增1+2合规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用户要求所有数据指标必须1主+2备保障，确保东方财富接口被封时数据不中断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新增§5.4全分析白皮书版本管理要求：覆盖4份白皮书，明确版本号规则/变更流程/归档策略/修改权限；更新前置要求范围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用户要求所有分析白皮书更新必须执行版本管理流程，不允许无版本号的直接修改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新增数据源[6]~[12]（akshare系列）；新增§1.5数据源实测状态；更新§4检查清单；逐项审计重点股票白皮书指标合规性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重点股票跟踪分析逻辑白皮书v1.0引入多维度新指标，需要明确数据源合规性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初始版本创建。基于原v1.7重构：移除评分体系/一票否决阈值/报告格式等分析逻辑内容。新增前置要求(AI预读规则)，新增执行检查清单，新增API调用监控告警，新增规则变更协议，新增版本管理。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用户要求重构规则红线文档，将分析逻辑剥离至独立文档，建立版本管理体系。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⚡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规则优先级（冲突时从上到下）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  <w:br/>
        <w:t>1. 数据真实性(§一) → 2. 资源节约(§二) → 3. API纪律(§三) → 4. 版本管理(§五) → 5. 报告样式(§六)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一、数据真实性铁律（最高优先级）</w:t>
      </w:r>
    </w:p>
    <w:p>
      <w:pPr>
        <w:pStyle w:val="Heading2"/>
      </w:pPr>
      <w:r>
        <w:t>1.1 绝对禁止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所有出现在报告中的数字，必须来自真实数据源。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从腾讯行情API、新浪财经、东方财富API等接口获取的真实数据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基于真实数据的本地计算（移动均线、RSI、MACD、量比等）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标注为[季报数据，非实时]的财报数据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在没有数据时凭空赋值或编造任何数字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用AI模型推断缺失的财务指标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使用无法通过截图或链接验证的"听说"数据</w:t>
      </w:r>
    </w:p>
    <w:p>
      <w:pPr>
        <w:pStyle w:val="Heading2"/>
      </w:pPr>
      <w:r>
        <w:t>1.2 数据源编号与标注规则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报告中每个关键数字必须标注其数据来源：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缓存文件</w:t>
            </w:r>
          </w:p>
        </w:tc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实现函数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当前价/涨跌幅/换手率/PE/流通市值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Quote_{Code}.json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当前价/涨跌幅/成交量（腾讯失败时启用）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Quote_{Code}.json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日K线数据(开/收/高/低/成交量)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KLine_{Code}_240.json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日K线qfq数据（新浪失败时启用）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KLine_{Code}_240.json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EPS/ROE/营收/净利润/毛利率等74字段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Financial_{Code}.json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Get-StockFinancial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均线/RSI/MACD/布林/PE(TTM)/支撑阻力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申万行业/概念板块指数走势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Sector_{Top}.json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Get-SectorData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沪股通/深股通持股明细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Northbound_{Code}.json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Get-NorthboundHold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主力净流入/超大单/大单/小单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FundFlow_{Code}_{Days}.json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Get-StockFundFlow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各行业资金净流入排名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SectorFundFlow_{Top}.json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Get-SectorFundFlow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研报标题/机构/评级/盈利预测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Research_{Code}_{Count}_{DaysBack}.json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Get-StockResearch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融资余额、融券余额、融资净买入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Margin_{Code}_{Days}.json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Get-MarginData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兜底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上述所有数据API不可用时的最终保障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见各源TTL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Save/Load-DataCache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调用优先级：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主API → 备API(有[B]标记的) → 缓存[C] → 返回$null(标注数据不可用)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标注格式示例：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估值区间[3]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北向资金净流入8.2亿[8]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主力净流入占比12%[9]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数据源不可用时的标注规则：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使用了备源：标注 </w:t>
      </w:r>
      <w:r>
        <w:rPr>
          <w:rFonts w:ascii="Consolas" w:hAnsi="Consolas" w:eastAsia="Consolas"/>
          <w:b w:val="0"/>
          <w:color w:val="E74C3C"/>
          <w:sz w:val="18"/>
        </w:rPr>
        <w:t>[1B]</w:t>
      </w:r>
      <w:r>
        <w:rPr>
          <w:rFonts w:ascii="Microsoft YaHei" w:hAnsi="Microsoft YaHei" w:eastAsia="Microsoft YaHei"/>
          <w:b w:val="0"/>
          <w:sz w:val="21"/>
        </w:rPr>
        <w:t xml:space="preserve"> 等，并在报告中注明"备源数据"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使用了缓存：标注 </w:t>
      </w:r>
      <w:r>
        <w:rPr>
          <w:rFonts w:ascii="Consolas" w:hAnsi="Consolas" w:eastAsia="Consolas"/>
          <w:b w:val="0"/>
          <w:color w:val="E74C3C"/>
          <w:sz w:val="18"/>
        </w:rPr>
        <w:t>[C]</w:t>
      </w:r>
      <w:r>
        <w:rPr>
          <w:rFonts w:ascii="Microsoft YaHei" w:hAnsi="Microsoft YaHei" w:eastAsia="Microsoft YaHei"/>
          <w:b w:val="0"/>
          <w:sz w:val="21"/>
        </w:rPr>
        <w:t>，并在报告中注明"缓存数据，可能滞后"</w:t>
      </w:r>
    </w:p>
    <w:p>
      <w:pPr>
        <w:pStyle w:val="Heading3"/>
      </w:pPr>
      <w:r>
        <w:t>1.2.1 数据访问分层策略（缓存优先原则）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核心原则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：数据一旦落地（本地缓存），后续所有运算优先使用本地数据。数据的可变性决定访问顺序——收盘后不可变的数据走「缓存优先」，盘中实时变化的数据走「API优先」。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Tier 1 — 实时可变数据        API优先 → 缓存兜底            │</w:t>
        <w:br/>
        <w:t>│  Quote(行情)                                                 │</w:t>
        <w:br/>
        <w:t>│  特征：每秒变化 | TTL: 1h                                    │</w:t>
        <w:br/>
        <w:t>│  策略：先打API，失败才读缓存。因为盘中价格每时每刻在变。     │</w:t>
        <w:br/>
        <w:t>├─────────────────────────────────────────────────────────────┤</w:t>
        <w:br/>
        <w:t>│  Tier 2 — 日频不可变数据      缓存优先 → API补充             │</w:t>
        <w:br/>
        <w:t>│  KLine(日线) / FundFlow(资金流向) / Margin(两融) /          │</w:t>
        <w:br/>
        <w:t>│  Northbound(北向) / Research(研报)                           │</w:t>
        <w:br/>
        <w:t>│  特征：收盘后确定，永不变化 | TTL: 24h                       │</w:t>
        <w:br/>
        <w:t>│  策略：先检查本地缓存，24h内新鲜直接返回 [C]；过期才拉API。  │</w:t>
        <w:br/>
        <w:t>│  落地即事实源：昨天的K线数据今天不会变，重复拉取是浪费。     │</w:t>
        <w:br/>
        <w:t>├─────────────────────────────────────────────────────────────┤</w:t>
        <w:br/>
        <w:t>│  Tier 3 — 低频不可变数据      缓存优先 → 过期才拉            │</w:t>
        <w:br/>
        <w:t>│  Financial(财务季报) / PEPercentile(PE百分位) /              │</w:t>
        <w:br/>
        <w:t>│  SectorConstituents(板块成分股)                              │</w:t>
        <w:br/>
        <w:t>│  特征：季度/月度更新 | TTL: 168h(7天)                        │</w:t>
        <w:br/>
        <w:t>│  策略：缓存新鲜直接返回 [C]，不碰API。                       │</w:t>
        <w:br/>
        <w:t>│  季报3个月才更新一次，7天内重复拉取是浪费。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Tier 4 — 半可变数据          盘中API优先 / 盘后缓存优先      │</w:t>
        <w:br/>
        <w:t>│  Sector(板块排行) / SectorFundFlow(行业资金)                 │</w:t>
        <w:br/>
        <w:t>│  特征：盘中变化，盘后固定 | TTL: 6h                          │</w:t>
        <w:br/>
        <w:t>│  策略：交易时段API优先；盘前/盘后走缓存。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分层依据（三原则）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原则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落地方式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频率分类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所有数据按更新频率分为：盘中实时/每日/每周/每月/每季/半年/每年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每个缓存键标注更新周期 + TTL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② 落地本地优先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数据一旦从API拉取并写入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data_cache/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，后续所有计算优先读缓存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Tier 2/3 函数顶部加缓存检查，命中直接返回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③ 补拉机制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因关机/限流未拉取的数据，下次开机自动检测并回填；回填落地后同②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catchup_launcher.ps1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v2：P1(KLine)→P2(资金/两融/北向)→P3(研报) 逐级回填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缓存标注规则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使用缓存命中时，</w:t>
      </w:r>
      <w:r>
        <w:rPr>
          <w:rFonts w:ascii="Consolas" w:hAnsi="Consolas" w:eastAsia="Consolas"/>
          <w:b w:val="0"/>
          <w:color w:val="E74C3C"/>
          <w:sz w:val="18"/>
        </w:rPr>
        <w:t>$script:SourceUsed["DataType"] = "缓存"</w:t>
      </w:r>
      <w:r>
        <w:rPr>
          <w:rFonts w:ascii="Microsoft YaHei" w:hAnsi="Microsoft YaHei" w:eastAsia="Microsoft YaHei"/>
          <w:b w:val="0"/>
          <w:sz w:val="21"/>
        </w:rPr>
        <w:t xml:space="preserve"> 自动标注 </w:t>
      </w:r>
      <w:r>
        <w:rPr>
          <w:rFonts w:ascii="Consolas" w:hAnsi="Consolas" w:eastAsia="Consolas"/>
          <w:b w:val="0"/>
          <w:color w:val="E74C3C"/>
          <w:sz w:val="18"/>
        </w:rPr>
        <w:t>[C]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API双源均失败时，使用过期缓存兜底（TTL=720h/30天）并标注 </w:t>
      </w:r>
      <w:r>
        <w:rPr>
          <w:rFonts w:ascii="Consolas" w:hAnsi="Consolas" w:eastAsia="Consolas"/>
          <w:b w:val="0"/>
          <w:color w:val="E74C3C"/>
          <w:sz w:val="18"/>
        </w:rPr>
        <w:t>[C]-过期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独有数据源（北向[8]/研报[11]/融资融券[12]）缓存命中时标注"仅供参考"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实现文件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stock_data_fetcher.psm1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(8个函数已实现缓存优先) |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catchup_launcher.ps1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v2 (多日离线补偿)</w:t>
      </w:r>
    </w:p>
    <w:p>
      <w:pPr>
        <w:pStyle w:val="Heading3"/>
      </w:pPr>
      <w:r>
        <w:t>1.2.2 全数据清单：更新频率与本地留存状态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当前共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12类数据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，11类已实现本地缓存。K线数据仅缓存日线，周线/月线在需要时实时计算（从日线聚合），无需独立缓存。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9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9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  <w:tc>
          <w:tcPr>
            <w:tcW w:type="dxa" w:w="9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一级分类</w:t>
            </w:r>
          </w:p>
        </w:tc>
        <w:tc>
          <w:tcPr>
            <w:tcW w:type="dxa" w:w="9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  <w:tc>
          <w:tcPr>
            <w:tcW w:type="dxa" w:w="9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本地留存</w:t>
            </w:r>
          </w:p>
        </w:tc>
        <w:tc>
          <w:tcPr>
            <w:tcW w:type="dxa" w:w="9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缓存文件数</w:t>
            </w:r>
          </w:p>
        </w:tc>
        <w:tc>
          <w:tcPr>
            <w:tcW w:type="dxa" w:w="9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缓存文件命名</w:t>
            </w:r>
          </w:p>
        </w:tc>
        <w:tc>
          <w:tcPr>
            <w:tcW w:type="dxa" w:w="9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实现函数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实时行情(Quote)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盘中实时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Tier 1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75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Quote_{Code}.json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日线K线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每日收盘后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Tier 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74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KLine_{Code}_240.json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周线K线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每周(无独立缓存)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Tier 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日线聚合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Get-StockKLine(Scale=120)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月线K线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每月(无独立缓存)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Tier 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日线聚合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Get-StockKLine(Scale=60)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财务数据(季报)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每季(年报4月/一季4月/中报8月/三季10月)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Tier 3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74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Financial_{Code}.json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Get-StockFinancial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季度更新(依赖季报)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Tier 3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PEPercentile_{Code}.json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Get-PEPercentile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每日收盘后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Tier 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36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FundFlow_{Code}_{Days}.json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Get-StockFundFlow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每日盘中变化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Tier 4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SectorFundFlow_{Top}.json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Get-SectorFundFlow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每日收盘后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Tier 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Margin_{Code}_{Days}.json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Get-MarginData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每日收盘后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Tier 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70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Northbound_{Code}.json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Get-NorthboundHold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每日(机构不定期发布)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Tier 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Research_{Code}_{Count}_{DaysBack}.json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Get-StockResearch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每日盘中变化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Tier 4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Sector_{Top}.json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Get-SectorData</w:t>
            </w:r>
          </w:p>
        </w:tc>
      </w:tr>
      <w:tr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板块成分股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季度/月度更新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Tier 3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SectorConstituents_{BK}.json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Get-SectorConstituents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说明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✅ 本地留存 = API拉取后写入 </w:t>
      </w:r>
      <w:r>
        <w:rPr>
          <w:rFonts w:ascii="Consolas" w:hAnsi="Consolas" w:eastAsia="Consolas"/>
          <w:b w:val="0"/>
          <w:color w:val="E74C3C"/>
          <w:sz w:val="18"/>
        </w:rPr>
        <w:t>data_cache/</w:t>
      </w:r>
      <w:r>
        <w:rPr>
          <w:rFonts w:ascii="Microsoft YaHei" w:hAnsi="Microsoft YaHei" w:eastAsia="Microsoft YaHei"/>
          <w:b w:val="0"/>
          <w:sz w:val="21"/>
        </w:rPr>
        <w:t>，后续优先读缓存（Tier 2/3缓存优先，Tier 1/4视场景）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⚠️ 日线聚合 = 周线/月线通过日线数据聚合计算（</w:t>
      </w:r>
      <w:r>
        <w:rPr>
          <w:rFonts w:ascii="Consolas" w:hAnsi="Consolas" w:eastAsia="Consolas"/>
          <w:b w:val="0"/>
          <w:color w:val="E74C3C"/>
          <w:sz w:val="18"/>
        </w:rPr>
        <w:t>210→5周均线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Consolas" w:hAnsi="Consolas" w:eastAsia="Consolas"/>
          <w:b w:val="0"/>
          <w:color w:val="E74C3C"/>
          <w:sz w:val="18"/>
        </w:rPr>
        <w:t>20日→月线</w:t>
      </w:r>
      <w:r>
        <w:rPr>
          <w:rFonts w:ascii="Microsoft YaHei" w:hAnsi="Microsoft YaHei" w:eastAsia="Microsoft YaHei"/>
          <w:b w:val="0"/>
          <w:sz w:val="21"/>
        </w:rPr>
        <w:t>），不单独缓存，节省存储空间且日线已缓存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缓存文件数取自2026-05-24实际目录统计，FundFlow/PEPercentile 较少是因为仅部分股票触发了PE百分位计算和资金流向查询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第5列"一级分类"对应 §1.2.1 的 Tier 1-4 分层，决定了访问顺序（缓存优先 vs API优先）</w:t>
      </w:r>
    </w:p>
    <w:p>
      <w:pPr>
        <w:pStyle w:val="Heading2"/>
      </w:pPr>
      <w:r>
        <w:t>1.3 PE(TTM) 计算红线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禁止直接使用腾讯行情API提供的静态PE作为否决依据。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PE(TTM) = 当前价[1] / TTM_EPS[3]</w:t>
        <w:br/>
        <w:t>TTM_EPS = 最新年报EPS - 去年同季EPS + 最新季报EPS</w:t>
      </w:r>
    </w:p>
    <w:p>
      <w:pPr>
        <w:pStyle w:val="Heading2"/>
      </w:pPr>
      <w:r>
        <w:t>1.4 双源交叉验证与故障降级规则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数据源编号、主备分配、缓存TTL、实现函数详见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§1.2 数据源编号表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（已合并三表）。</w:t>
      </w:r>
    </w:p>
    <w:p>
      <w:pPr>
        <w:pStyle w:val="Heading3"/>
      </w:pPr>
      <w:r>
        <w:t>1.4.3 故障处理流程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主API超时/报错 → 写Warning日志</w:t>
        <w:br/>
        <w:t xml:space="preserve">    ↓</w:t>
        <w:br/>
        <w:t xml:space="preserve">  有备API？ → 是 → 调用备API</w:t>
        <w:br/>
        <w:t xml:space="preserve">    ↓ 否          ↓ 成功？→ 返回数据，记录源为"备"</w:t>
        <w:br/>
        <w:t xml:space="preserve">    ↓             ↓ 失败？→ 继续</w:t>
        <w:br/>
        <w:t xml:space="preserve">    ↓</w:t>
        <w:br/>
        <w:t xml:space="preserve">  有缓存？ → 是 → 返回缓存数据，标记"缓存可能滞后"</w:t>
        <w:br/>
        <w:t xml:space="preserve">    ↓ 否</w:t>
        <w:br/>
        <w:t xml:space="preserve">  返回$null，调用方自行处理</w:t>
      </w:r>
    </w:p>
    <w:p>
      <w:pPr>
        <w:pStyle w:val="Heading2"/>
      </w:pPr>
      <w:r>
        <w:t>1.5 数据源实测状态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本表记录每个数据源的实测情况。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未实测的数据源在报告中必须标注"待验证"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，严禁将未验证的数据作为否决依据。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实测状态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验证日期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本地计算（均线/RSI/MACD/布林/PE百分位）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兜底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1.5.1 关键指标数据来源映射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原则声明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：所有白皮书中的指标必须标注数据源编号（参见§1.2）。各白皮书具体指标的详细数据源映射表由白皮书自身维护，红线仅定义数据源注册表和调用规则。</w:t>
        <w:br/>
        <w:br/>
        <w:t xml:space="preserve">重点股票白皮书指标映射详见 </w:t>
      </w:r>
      <w:r>
        <w:rPr>
          <w:rFonts w:ascii="Consolas" w:hAnsi="Consolas" w:eastAsia="Consolas"/>
          <w:b w:val="0"/>
          <w:i/>
          <w:color w:val="555555"/>
          <w:sz w:val="18"/>
        </w:rPr>
        <w:t>重点股票/分析逻辑/重点股票跟踪分析逻辑白皮书_v3.0.md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数据源章节。</w:t>
        <w:br/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主备状态说明：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「双源+缓存」= 有两个不同厂商API + 本地缓存兜底；「单源+缓存」= 仅一个厂商API + 本地缓存兜底（因数据源垄断，无免费替代）。</w:t>
      </w:r>
    </w:p>
    <w:p>
      <w:pPr>
        <w:pStyle w:val="Heading3"/>
      </w:pPr>
      <w:r>
        <w:t>1.5.2 指标整改优先级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整改要求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实测东财深度财务HTTP接口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一个月内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北向资金/研报/融资融券[8][11][12]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已通过HTTP GET解决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筹码分布/大宗交易/社交情绪/互动平台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</w:tbl>
    <w:p>
      <w:pPr>
        <w:spacing w:after="40"/>
      </w:pPr>
    </w:p>
    <w:p>
      <w:pPr>
        <w:pStyle w:val="Heading2"/>
      </w:pPr>
      <w:r>
        <w:t>1.6 CHANGELOG 与代码变更一致性规则（v1.5新增）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背景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 审计发现 CHANGELOG v2.4.1 条目记录了"已移除 VetoedStocks 字段"等声明，但实际代码中从未执行对应修改。本文旨在杜绝"计划当完成"的虚假陈述。</w:t>
      </w:r>
    </w:p>
    <w:p>
      <w:pPr>
        <w:pStyle w:val="Heading3"/>
      </w:pPr>
      <w:r>
        <w:t>1.6.1 CHANGELOG 真实性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 只记录</w:t>
      </w:r>
      <w:r>
        <w:rPr>
          <w:rFonts w:ascii="Microsoft YaHei" w:hAnsi="Microsoft YaHei" w:eastAsia="Microsoft YaHei"/>
          <w:b/>
          <w:sz w:val="21"/>
        </w:rPr>
        <w:t>已完成且已验证</w:t>
      </w:r>
      <w:r>
        <w:rPr>
          <w:rFonts w:ascii="Microsoft YaHei" w:hAnsi="Microsoft YaHei" w:eastAsia="Microsoft YaHei"/>
          <w:b w:val="0"/>
          <w:sz w:val="21"/>
        </w:rPr>
        <w:t>的改动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禁止先写 CHANGELOG 条目再补代码，禁止将"计划实施"记录为"已完成"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所有声称"已修改/已移除/已新增"的具体内容，必须在对应的代码或文档中有明确可查的对应修改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违反后果</w:t>
      </w:r>
      <w:r>
        <w:rPr>
          <w:rFonts w:ascii="Microsoft YaHei" w:hAnsi="Microsoft YaHei" w:eastAsia="Microsoft YaHei"/>
          <w:b w:val="0"/>
          <w:sz w:val="21"/>
        </w:rPr>
        <w:t>：虚假 CHANGELOG 条目必须立即修正并在条目末尾标注更正声明</w:t>
      </w:r>
    </w:p>
    <w:p>
      <w:pPr>
        <w:pStyle w:val="Heading3"/>
      </w:pPr>
      <w:r>
        <w:t>1.6.2 "已修复"声明的证据链要求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 AI 对用户说"X已修复"时，必须同时附带以下信息中的至少一项：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修改的文件路径 + 行号 + 改动内容摘要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或 git diff / git show 的输出片段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"已同步文档"等声明同样适用此规则</w:t>
      </w:r>
    </w:p>
    <w:p>
      <w:pPr>
        <w:pStyle w:val="Heading3"/>
      </w:pPr>
      <w:r>
        <w:t>1.6.3 提交前验证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每次准备 commit 前，必须运行 </w:t>
      </w:r>
      <w:r>
        <w:rPr>
          <w:rFonts w:ascii="Consolas" w:hAnsi="Consolas" w:eastAsia="Consolas"/>
          <w:b w:val="0"/>
          <w:color w:val="E74C3C"/>
          <w:sz w:val="18"/>
        </w:rPr>
        <w:t>version_supervisor.ps1 -CrossCheck</w:t>
      </w:r>
      <w:r>
        <w:rPr>
          <w:rFonts w:ascii="Microsoft YaHei" w:hAnsi="Microsoft YaHei" w:eastAsia="Microsoft YaHei"/>
          <w:b w:val="0"/>
          <w:sz w:val="21"/>
        </w:rPr>
        <w:t xml:space="preserve"> 验证 CHANGELOG 条目与代码事实的一致性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CrossCheck 失败时禁止提交，必须修正后再提交</w:t>
      </w:r>
    </w:p>
    <w:p>
      <w:pPr>
        <w:pStyle w:val="Heading3"/>
      </w:pPr>
      <w:r>
        <w:t>1.6.4 适用范围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本规则适用于铁律量化项目下</w:t>
      </w:r>
      <w:r>
        <w:rPr>
          <w:rFonts w:ascii="Microsoft YaHei" w:hAnsi="Microsoft YaHei" w:eastAsia="Microsoft YaHei"/>
          <w:b/>
          <w:i w:val="0"/>
          <w:sz w:val="21"/>
        </w:rPr>
        <w:t>所有</w:t>
      </w:r>
      <w:r>
        <w:rPr>
          <w:rFonts w:ascii="Microsoft YaHei" w:hAnsi="Microsoft YaHei" w:eastAsia="Microsoft YaHei"/>
          <w:b w:val="0"/>
          <w:i w:val="0"/>
          <w:sz w:val="21"/>
        </w:rPr>
        <w:t>文档的 CHANGELOG 记录，包括但不限于：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重点股票跟踪分析逻辑白皮书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分析的规则红线（本文档）</w:t>
      </w:r>
    </w:p>
    <w:p>
      <w:pPr>
        <w:pStyle w:val="Heading2"/>
      </w:pPr>
      <w:r>
        <w:t>1.7 生成文件保护规则（v1.6新增）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：未经用户明确书面许可，AI 禁止删除「股票分析」项目中任何已生成的 PDF 文件。</w:t>
      </w:r>
    </w:p>
    <w:p>
      <w:pPr>
        <w:pStyle w:val="Heading3"/>
      </w:pPr>
      <w:r>
        <w:t>1.7.1 保护范围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本规则保护项目中所有已生成的 PDF 文件，包括但不限于：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路径模式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daily_report_20260523.pdf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每日荐股横板报告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每日荐股/股票报告/*_landscape.pdf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每日股票推荐_20260523_landscape.pdf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每日荐股/评估报告/*.pdf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每日荐股后评估报告.pdf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重点股票分析报告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重点股票/股票报告/*/*.pdf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拓普集团(601689)_20260523.pdf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重点股票诊断报告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重点股票/次日评估/复盘报告/*.pdf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逻辑诊断报告_20260521.pdf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白皮书 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各模块/*.docx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每日荐股分析逻辑白皮书_v2.9.docx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其他生成文件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项目中任意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.pdf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1.7.2 禁止行为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在清理、重构、归档等任何操作中主动删除 PDF 文件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以"文件过旧"、"已有新版本"、"释放磁盘空间"等理由删除 PDF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在脚本或代码中加入自动删除 PDF 的逻辑（除非用户明确要求）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用新版本 PDF 覆盖旧版本而不保留备份（旧版本应重命名保留）</w:t>
      </w:r>
    </w:p>
    <w:p>
      <w:pPr>
        <w:pStyle w:val="Heading3"/>
      </w:pPr>
      <w:r>
        <w:t>1.7.3 允许行为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在用户明确指令下删除指定 PDF（如 "删除 daily_report_20260521.pdf"）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将 PDF 移动到归档目录（移动 ≠ 删除）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重命名 PDF 文件</w:t>
      </w:r>
    </w:p>
    <w:p>
      <w:pPr>
        <w:pStyle w:val="Heading3"/>
      </w:pPr>
      <w:r>
        <w:t>1.7.4 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违反本规则的 AI 操作视为严重违规，必须：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立即停止当前操作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如实向用户报告删除了哪些文件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尝试从 Git 历史或回收站恢复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二、资源节约铁律</w:t>
      </w:r>
    </w:p>
    <w:p>
      <w:pPr>
        <w:pStyle w:val="Heading2"/>
      </w:pPr>
      <w:r>
        <w:t>2.1 核心原则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Token是付费资源。能用本地或免费资源完成的工作，禁止用AI Token完成。免费公开API抓取 -&gt; 本地计算处理 -&gt; AI分析。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承担工作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数据获取层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API调用/数据格式化/缓存读写 — 由代码执行，AI不参与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分析决策层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消耗Token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评分判断/否决判定/报告文本生成 — AI参与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校验层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少量Token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交叉验证/异常检测 — AI参与，原始数据比对由代码完成</w:t>
            </w:r>
          </w:p>
        </w:tc>
      </w:tr>
    </w:tbl>
    <w:p>
      <w:pPr>
        <w:spacing w:after="40"/>
      </w:pPr>
    </w:p>
    <w:p>
      <w:pPr>
        <w:pStyle w:val="Heading2"/>
      </w:pPr>
      <w:r>
        <w:t>2.2 Token使用边界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AI处理分析逻辑判断/规则解读/报告文本生成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AI对比多个数据源做一致性校验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AI根据评估结果提出规则优化建议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让AI用自然语言估算已有API可获取的数据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无谓的重复调用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把原始数据全文喂给AI做阅读理解</w:t>
      </w:r>
    </w:p>
    <w:p>
      <w:pPr>
        <w:pStyle w:val="Heading2"/>
      </w:pPr>
      <w:r>
        <w:t>2.3 Token预算门禁（强制）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本节将Token使用原则量化为可测量的预算指标。预算超标由pre-commit hook自动阻断，由Proof周度审计追踪。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文件类别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行数上限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大小上限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审批超标者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Agent定义文件（.claude/agents/*.md）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250行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12KB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Command文件（.claude/commands/*.md）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2KB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Python核心脚本stdout输出（正常模式）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AI直接读取的大文件（&gt;500KB原始数据）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禁止读取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预算等级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警告阈值：Agent定义&gt;250行或&gt;12KB，stdout&gt;8个print()，不阻断提交但记录日志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阻断阈值：Agent定义&gt;300行或&gt;15KB，stdout&gt;12个print()，拒绝提交（需Arch审批豁免，72h内修复）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知识库文件（-知识库/*.md）和白皮书不设上限（仅按需加载，不参与基础上下文消耗）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禁止AI直接读取的文件</w:t>
      </w:r>
      <w:r>
        <w:rPr>
          <w:rFonts w:ascii="Microsoft YaHei" w:hAnsi="Microsoft YaHei" w:eastAsia="Microsoft YaHei"/>
          <w:b w:val="0"/>
          <w:i w:val="0"/>
          <w:sz w:val="21"/>
        </w:rPr>
        <w:t>：data_full.json、data_scored.json、score_history.jsonl 等&gt;500KB的原始/中间数据文件。AI应通过脚本查询或解析JSON摘要获取所需信息，不得全文读取。</w:t>
      </w:r>
    </w:p>
    <w:p>
      <w:pPr>
        <w:pStyle w:val="Heading2"/>
      </w:pPr>
      <w:r>
        <w:t>2.4 三层Token防护机制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防线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机制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执行者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频率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第1层：创建时约束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文件大小预算（§2.3），超标不允许创建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所有角色自检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第2层：提交时门禁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pre-commit hook Check E自动检查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Forge（门禁实现）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每次git commit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第3层：定期审计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Proof周检R13 Token预算合规 + Arch月检趋势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Proof + Arch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每周/每月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责任归属</w:t>
      </w:r>
      <w:r>
        <w:rPr>
          <w:rFonts w:ascii="Microsoft YaHei" w:hAnsi="Microsoft YaHei" w:eastAsia="Microsoft YaHei"/>
          <w:b w:val="0"/>
          <w:i w:val="0"/>
          <w:sz w:val="21"/>
        </w:rPr>
        <w:t>：Proof主执行（R13回归检查），Forge实现门禁（Check E），Arch定义预算阈值和审批豁免，阿黑月度问责。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Pre-commit hook 检查清单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Check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阻断级别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数据源1+2架构合规（check_redlines.ps1）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阻断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版本号一致性（version_supervisor.ps1）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阻断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 CrossCheck（version_supervisor.ps1 -CrossCheck）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阻断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报告样式合规（check_report_style.ps1 -Quick）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阻断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Token预算门禁（Agent≤250行/12KB，stdout≤20行）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阻断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三、API调用纪律与缓存策略</w:t>
      </w:r>
    </w:p>
    <w:p>
      <w:pPr>
        <w:pStyle w:val="Heading2"/>
      </w:pPr>
      <w:r>
        <w:t>3.1 数据分层与缓存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所有数据获取函数内置本地缓存层，API成功调用后自动写入缓存，API失败时自动读取缓存兜底。数据源编号、缓存TTL、缓存文件详见 </w:t>
      </w:r>
      <w:r>
        <w:rPr>
          <w:rFonts w:ascii="Microsoft YaHei" w:hAnsi="Microsoft YaHei" w:eastAsia="Microsoft YaHei"/>
          <w:b/>
          <w:i w:val="0"/>
          <w:sz w:val="21"/>
        </w:rPr>
        <w:t>§1.2 数据源编号表</w:t>
      </w:r>
      <w:r>
        <w:rPr>
          <w:rFonts w:ascii="Microsoft YaHei" w:hAnsi="Microsoft YaHei" w:eastAsia="Microsoft YaHei"/>
          <w:b w:val="0"/>
          <w:i w:val="0"/>
          <w:sz w:val="21"/>
        </w:rPr>
        <w:t>（已合并）。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缓存读写规则：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写：API返回有效数据后立即写入 </w:t>
      </w:r>
      <w:r>
        <w:rPr>
          <w:rFonts w:ascii="Consolas" w:hAnsi="Consolas" w:eastAsia="Consolas"/>
          <w:b w:val="0"/>
          <w:color w:val="E74C3C"/>
          <w:sz w:val="18"/>
        </w:rPr>
        <w:t>Save-DataCache -Key "类型_标识" -Data $result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读：API全部失败后 </w:t>
      </w:r>
      <w:r>
        <w:rPr>
          <w:rFonts w:ascii="Consolas" w:hAnsi="Consolas" w:eastAsia="Consolas"/>
          <w:b w:val="0"/>
          <w:color w:val="E74C3C"/>
          <w:sz w:val="18"/>
        </w:rPr>
        <w:t>Load-DataCache -Key "类型_标识" -TTLHours N</w:t>
      </w:r>
      <w:r>
        <w:rPr>
          <w:rFonts w:ascii="Microsoft YaHei" w:hAnsi="Microsoft YaHei" w:eastAsia="Microsoft YaHei"/>
          <w:b w:val="0"/>
          <w:sz w:val="21"/>
        </w:rPr>
        <w:t>，缓存过期不读取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缓存目录：</w:t>
      </w:r>
      <w:r>
        <w:rPr>
          <w:rFonts w:ascii="Consolas" w:hAnsi="Consolas" w:eastAsia="Consolas"/>
          <w:b w:val="0"/>
          <w:color w:val="E74C3C"/>
          <w:sz w:val="18"/>
        </w:rPr>
        <w:t>股票分析/data_cache/</w:t>
      </w:r>
      <w:r>
        <w:rPr>
          <w:rFonts w:ascii="Microsoft YaHei" w:hAnsi="Microsoft YaHei" w:eastAsia="Microsoft YaHei"/>
          <w:b w:val="0"/>
          <w:sz w:val="21"/>
        </w:rPr>
        <w:t>，自动创建，归入gitignore不进版本控制</w:t>
      </w:r>
    </w:p>
    <w:p>
      <w:pPr>
        <w:pStyle w:val="Heading2"/>
      </w:pPr>
      <w:r>
        <w:t>3.2 防封禁规则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每次API调用后强制间隔 &gt;= 0.3秒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每10次调用后额外休息 &gt;= 2秒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财务数据仅在缓存过期时重新拉取（每7天1次）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禁止在短时间内(&lt;5分钟)重复拉取同一只股票的同一类数据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同一数据类别内，主源失败→备源时，间隔 &gt;= 1秒再试</w:t>
      </w:r>
    </w:p>
    <w:p>
      <w:pPr>
        <w:pStyle w:val="Heading2"/>
      </w:pPr>
      <w:r>
        <w:t>3.3 降级路径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报告中标注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腾讯K线[2B]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东方财富财务[3]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东方财富板块[7]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东方财富资金[9][10]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东方财富北向[8]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东方财富研报[11]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东方财富融券[12]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独有数据说明：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资金流向[9][10]、北向资金[8]、研报[11]、融资融券[12]为东方财富垄断数据，无免费备API。1+2架构中备源为缓存兜底，数据可用性依赖本地缓存。发现可用的免费备API后必须补充。</w:t>
      </w:r>
    </w:p>
    <w:p>
      <w:pPr>
        <w:pStyle w:val="Heading2"/>
      </w:pPr>
      <w:r>
        <w:t>3.4 调用监控与告警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以下情况必须告警并暂停分析：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单次分析API调用失败率 &gt; 20%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同一类数据主API+备API(如有)+缓存全部失败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腾讯/新浪API响应时间异常(单次 &gt; 3秒)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降级路径连续2次以上仍不可用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东方财富接口连续返回空数据或异常数据带有相同特征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四、执行检查清单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所有数据有来源标记（含主/备/缓存标注）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关键数据满足1+2架构（主API+备API+缓存兜底）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双源数据(行情/K线)必须实际尝试主和备两个API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无编造数据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API调用已加延迟(&gt;=0.3s间隔)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缓存已自动填充（API成功调用后写缓存）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报告有免责声明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降级路径已标注（标注备源/缓存数据）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数据时效已标注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独有数据(资金/北向/研报/融券)须标注"仅供参考"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不可获取指标(筹码分布/大宗交易/社交情绪)不得输出具体数值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报告样式已通过 check_report_style.ps1 合规检查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样式变更已遵循 §6 流程并经人工确认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白皮书版本一致性已通过（version_supervisor.ps1 7项检查）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CHANGELOG 条目已按 §5.4.3 格式填写（变更类型+责任人+文件清单）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未删除任何 PDF 文件（§1.7 生成文件保护规则）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OOS验证已通过（规则变更涉及评分/阈值/选股时，§5.5）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Token预算门禁通过（Agent≤250行/12KB，stdout≤20行，§2.3）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报告输出路径符合 §6.6.1 路径映射表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团队名册.md修改后已同步更新.xlsx（§5.4.8.4）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五、规则变更协议</w:t>
      </w:r>
    </w:p>
    <w:p>
      <w:pPr>
        <w:pStyle w:val="Heading2"/>
      </w:pPr>
      <w:r>
        <w:t>5.1 变更权限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t>5.2 变更条件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最低数据量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数据源新增/替换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实测验证通过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3只股票以上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API调用策略调整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连续3次以上失败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3次失败记录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交叉验证规则修改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5个以上样本支撑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5个样本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降级路径调整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降级连续2次仍不可用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2次不可用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数据源状态变更(未实测→已实测)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接口验证通过 + 3只股票以上数据确认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</w:t>
            </w:r>
          </w:p>
        </w:tc>
      </w:tr>
    </w:tbl>
    <w:p>
      <w:pPr>
        <w:spacing w:after="40"/>
      </w:pPr>
    </w:p>
    <w:p>
      <w:pPr>
        <w:pStyle w:val="Heading2"/>
      </w:pPr>
      <w:r>
        <w:t>5.3 变更执行流程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每次变更必须：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在版本历史表追加新行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更新CHANGELOG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更新文档版本索引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修改文件名（主版本需保留旧版存档）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更新数据源实测状态表</w:t>
      </w:r>
    </w:p>
    <w:p>
      <w:pPr>
        <w:pStyle w:val="Heading2"/>
      </w:pPr>
      <w:r>
        <w:t>5.4 全分析白皮书版本管理要求（红线）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 4 份白皮书及本文档只要有内容更新，必须执行本版本管理流程。不允许无版本号的直接修改。</w:t>
      </w:r>
    </w:p>
    <w:p>
      <w:pPr>
        <w:pStyle w:val="Heading3"/>
      </w:pPr>
      <w:r>
        <w:t>5.4.1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重点股票\次日评估\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每日荐股\事后评估\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分析的规则红线（本文档）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项目成员/团队名册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模拟交易\</w:t>
            </w:r>
          </w:p>
        </w:tc>
      </w:tr>
    </w:tbl>
    <w:p>
      <w:pPr>
        <w:spacing w:after="40"/>
      </w:pPr>
    </w:p>
    <w:p>
      <w:pPr>
        <w:pStyle w:val="Heading3"/>
      </w:pPr>
      <w:r>
        <w:t>5.4.2 版本号命名规范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格式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v&lt;MAJOR&gt;.&lt;MINOR&gt;.&lt;PATCH&gt;</w:t>
      </w:r>
      <w:r>
        <w:rPr>
          <w:rFonts w:ascii="Microsoft YaHei" w:hAnsi="Microsoft YaHei" w:eastAsia="Microsoft YaHei"/>
          <w:b w:val="0"/>
          <w:i w:val="0"/>
          <w:sz w:val="21"/>
        </w:rPr>
        <w:t>，遵循语义化版本（SemVer 2.0.0）。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审批要求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MAJOR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主版本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评估维度重构、核心方法论变更、不兼容的规则变更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v2.0.0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MINOR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次版本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新增/删除章节、调整阈值权重、新增数据源/否决规则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v1.6.0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PATCH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修订版本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错别字修正、格式调整、引用版本号更新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v1.5.1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AI可直接执行后报备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过渡规则：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现有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视同为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vX.Y.0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，下一次 PATCH 修正为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，MINOR 变更为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vX.Y+1.0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5.4.3 CHANGELOG 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每个白皮书目录下的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*_CHANGELOG.md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必须遵循以下规范：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倒序排列</w:t>
      </w:r>
      <w:r>
        <w:rPr>
          <w:rFonts w:ascii="Microsoft YaHei" w:hAnsi="Microsoft YaHei" w:eastAsia="Microsoft YaHei"/>
          <w:b w:val="0"/>
          <w:sz w:val="21"/>
        </w:rPr>
        <w:t>：最新版本在最上方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责任人</w:t>
      </w:r>
      <w:r>
        <w:rPr>
          <w:rFonts w:ascii="Microsoft YaHei" w:hAnsi="Microsoft YaHei" w:eastAsia="Microsoft YaHei"/>
          <w:b w:val="0"/>
          <w:sz w:val="21"/>
        </w:rPr>
        <w:t>：每个版本必须有明确的修改人和审批人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关联文件</w:t>
      </w:r>
      <w:r>
        <w:rPr>
          <w:rFonts w:ascii="Microsoft YaHei" w:hAnsi="Microsoft YaHei" w:eastAsia="Microsoft YaHei"/>
          <w:b w:val="0"/>
          <w:sz w:val="21"/>
        </w:rPr>
        <w:t>：每次变更必须列出受影响的文件清单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[Unreleased]</w:t>
      </w:r>
      <w:r>
        <w:rPr>
          <w:rFonts w:ascii="Microsoft YaHei" w:hAnsi="Microsoft YaHei" w:eastAsia="Microsoft YaHei"/>
          <w:b w:val="0"/>
          <w:sz w:val="21"/>
        </w:rPr>
        <w:t xml:space="preserve"> 占位：文档顶部保留 </w:t>
      </w:r>
      <w:r>
        <w:rPr>
          <w:rFonts w:ascii="Consolas" w:hAnsi="Consolas" w:eastAsia="Consolas"/>
          <w:b w:val="0"/>
          <w:color w:val="E74C3C"/>
          <w:sz w:val="18"/>
        </w:rPr>
        <w:t>## [Unreleased]</w:t>
      </w:r>
      <w:r>
        <w:rPr>
          <w:rFonts w:ascii="Microsoft YaHei" w:hAnsi="Microsoft YaHei" w:eastAsia="Microsoft YaHei"/>
          <w:b w:val="0"/>
          <w:sz w:val="21"/>
        </w:rPr>
        <w:t xml:space="preserve"> 段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条目格式</w:t>
      </w:r>
      <w:r>
        <w:rPr>
          <w:rFonts w:ascii="Microsoft YaHei" w:hAnsi="Microsoft YaHei" w:eastAsia="Microsoft YaHei"/>
          <w:b w:val="0"/>
          <w:sz w:val="21"/>
        </w:rPr>
        <w:t>：采用 Keep a Changelog 六类标记（Added/Changed/Deprecated/Removed/Fixed/Security），详细模板见版本管理操作规程</w:t>
      </w:r>
    </w:p>
    <w:p>
      <w:pPr>
        <w:pStyle w:val="Heading3"/>
      </w:pPr>
      <w:r>
        <w:t>5.4.4 文档与代码同步规则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.md 是唯一源文件</w:t>
      </w:r>
      <w:r>
        <w:rPr>
          <w:rFonts w:ascii="Microsoft YaHei" w:hAnsi="Microsoft YaHei" w:eastAsia="Microsoft YaHei"/>
          <w:b w:val="0"/>
          <w:sz w:val="21"/>
        </w:rPr>
        <w:t>，禁止直接编辑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 .md 版本变更后必须同步重新生成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版本一致性必须满足：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文件名版本号 = 文档头版本号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人工/AI 检查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 最新条目版本 = 文档当前版本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[1/7]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对应的 .docx 存在且版本号匹配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[4/7]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 &gt; 当前版本一致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[7/7]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📋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详细操作规程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（CHANGELOG模板、发布流程、版本载体、归档策略）见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[版本管理操作规程.md](版本管理操作规程.md)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。</w:t>
      </w:r>
    </w:p>
    <w:p>
      <w:pPr>
        <w:pStyle w:val="Heading3"/>
      </w:pPr>
      <w:r>
        <w:t>5.4.8 项目成员文件版本管理（v1.7新增）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纳入 §5.4 版本管理体系，与白皮书同等要求。文件名须含版本号。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版本号格式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团队名册(.md)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项目成员\团队名册_vX.Y.md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团队名册(.xlsx)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项目成员\团队名册_vX.Y.xlsx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vX.Y（与.md同步）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金融团队角色定义(×6)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.claude/agents/金融专家-腰子.md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vX.Y（独立管理）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工程团队角色定义(×4)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.claude/agents/系统架构师-Arch.md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vX.Y（独立管理）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角色召唤命令(×10)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.claude/commands/腰子.md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—（随Git追踪）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5.4.8.2 版本管理要求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团队名册作为项目治理文件，遵循与白皮书一致的版本管理规则：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版本号声明</w:t>
      </w:r>
      <w:r>
        <w:rPr>
          <w:rFonts w:ascii="Microsoft YaHei" w:hAnsi="Microsoft YaHei" w:eastAsia="Microsoft YaHei"/>
          <w:b w:val="0"/>
          <w:sz w:val="21"/>
        </w:rPr>
        <w:t xml:space="preserve">：文件头必须包含 </w:t>
      </w:r>
      <w:r>
        <w:rPr>
          <w:rFonts w:ascii="Consolas" w:hAnsi="Consolas" w:eastAsia="Consolas"/>
          <w:b w:val="0"/>
          <w:color w:val="E74C3C"/>
          <w:sz w:val="18"/>
        </w:rPr>
        <w:t>&gt; 版本 vX.Y | 日期 | 项目总监 阿黑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版本号规则</w:t>
      </w:r>
      <w:r>
        <w:rPr>
          <w:rFonts w:ascii="Microsoft YaHei" w:hAnsi="Microsoft YaHei" w:eastAsia="Microsoft YaHei"/>
          <w:b w:val="0"/>
          <w:sz w:val="21"/>
        </w:rPr>
        <w:t>：成员增减 → MINOR（如 v1.1→v1.2）；角色定义变更 → MINOR；错别字修正 → PATCH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CHANGELOG</w:t>
      </w:r>
      <w:r>
        <w:rPr>
          <w:rFonts w:ascii="Microsoft YaHei" w:hAnsi="Microsoft YaHei" w:eastAsia="Microsoft YaHei"/>
          <w:b w:val="0"/>
          <w:sz w:val="21"/>
        </w:rPr>
        <w:t>：名册版本变更须在本文档 CHANGELOG 中记录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文档版本索引同步</w:t>
      </w:r>
      <w:r>
        <w:rPr>
          <w:rFonts w:ascii="Microsoft YaHei" w:hAnsi="Microsoft YaHei" w:eastAsia="Microsoft YaHei"/>
          <w:b w:val="0"/>
          <w:sz w:val="21"/>
        </w:rPr>
        <w:t xml:space="preserve">：名册版本变更须同步更新 </w:t>
      </w:r>
      <w:r>
        <w:rPr>
          <w:rFonts w:ascii="Consolas" w:hAnsi="Consolas" w:eastAsia="Consolas"/>
          <w:b w:val="0"/>
          <w:color w:val="E74C3C"/>
          <w:sz w:val="18"/>
        </w:rPr>
        <w:t>规则红线/文档版本索引.md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归档策略</w:t>
      </w:r>
      <w:r>
        <w:rPr>
          <w:rFonts w:ascii="Microsoft YaHei" w:hAnsi="Microsoft YaHei" w:eastAsia="Microsoft YaHei"/>
          <w:b w:val="0"/>
          <w:sz w:val="21"/>
        </w:rPr>
        <w:t>：版本变更时</w:t>
      </w:r>
      <w:r>
        <w:rPr>
          <w:rFonts w:ascii="Microsoft YaHei" w:hAnsi="Microsoft YaHei" w:eastAsia="Microsoft YaHei"/>
          <w:b/>
          <w:sz w:val="21"/>
        </w:rPr>
        <w:t>新建</w:t>
      </w:r>
      <w:r>
        <w:rPr>
          <w:rFonts w:ascii="Microsoft YaHei" w:hAnsi="Microsoft YaHei" w:eastAsia="Microsoft YaHei"/>
          <w:b w:val="0"/>
          <w:sz w:val="21"/>
        </w:rPr>
        <w:t xml:space="preserve">版本文件（如复制 </w:t>
      </w:r>
      <w:r>
        <w:rPr>
          <w:rFonts w:ascii="Consolas" w:hAnsi="Consolas" w:eastAsia="Consolas"/>
          <w:b w:val="0"/>
          <w:color w:val="E74C3C"/>
          <w:sz w:val="18"/>
        </w:rPr>
        <w:t>团队名册_v1.3.md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E74C3C"/>
          <w:sz w:val="18"/>
        </w:rPr>
        <w:t>团队名册_v1.4.md</w:t>
      </w:r>
      <w:r>
        <w:rPr>
          <w:rFonts w:ascii="Microsoft YaHei" w:hAnsi="Microsoft YaHei" w:eastAsia="Microsoft YaHei"/>
          <w:b w:val="0"/>
          <w:sz w:val="21"/>
        </w:rPr>
        <w:t xml:space="preserve"> 再修改），</w:t>
      </w:r>
      <w:r>
        <w:rPr>
          <w:rFonts w:ascii="Microsoft YaHei" w:hAnsi="Microsoft YaHei" w:eastAsia="Microsoft YaHei"/>
          <w:b/>
          <w:sz w:val="21"/>
        </w:rPr>
        <w:t>禁止重命名覆盖</w:t>
      </w:r>
      <w:r>
        <w:rPr>
          <w:rFonts w:ascii="Microsoft YaHei" w:hAnsi="Microsoft YaHei" w:eastAsia="Microsoft YaHei"/>
          <w:b w:val="0"/>
          <w:sz w:val="21"/>
        </w:rPr>
        <w:t>旧版本文件；旧版本保留不删。次版本（MINOR）也保留独立文件，不覆盖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一致性验证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检查项覆盖团队名册版本号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规则-监督器同步</w:t>
      </w:r>
      <w:r>
        <w:rPr>
          <w:rFonts w:ascii="Microsoft YaHei" w:hAnsi="Microsoft YaHei" w:eastAsia="Microsoft YaHei"/>
          <w:b w:val="0"/>
          <w:sz w:val="21"/>
        </w:rPr>
        <w:t xml:space="preserve">：§5.4 新增纳入版本管理的文件类型时，须在同一 commit 中更新 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增加对应检查项，并在提交前运行验证通过。禁止规则上架而监督器留空——规则和监督器同 commit，不允许分拆。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5.4.8.3 角色定义文件管理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项目角色定义文件（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.claude/agents/*.md</w:t>
      </w:r>
      <w:r>
        <w:rPr>
          <w:rFonts w:ascii="Microsoft YaHei" w:hAnsi="Microsoft YaHei" w:eastAsia="Microsoft YaHei"/>
          <w:b w:val="0"/>
          <w:i w:val="0"/>
          <w:sz w:val="21"/>
        </w:rPr>
        <w:t>，含金融团队6人和工程团队4人）和召唤命令文件（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.claude/commands/*.md</w:t>
      </w:r>
      <w:r>
        <w:rPr>
          <w:rFonts w:ascii="Microsoft YaHei" w:hAnsi="Microsoft YaHei" w:eastAsia="Microsoft YaHei"/>
          <w:b w:val="0"/>
          <w:i w:val="0"/>
          <w:sz w:val="21"/>
        </w:rPr>
        <w:t>，共10个）随 Git 版本控制自动追踪，不受白皮书归档策略约束，但变更必须在 CHANGELOG 中记录。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5.4.8.4 团队名册双格式同步（v1.8新增）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修改后，必须同步更新 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项目成员/团队名册_vX.Y.xlsx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（同版本号）。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同步触发</w:t>
      </w:r>
      <w:r>
        <w:rPr>
          <w:rFonts w:ascii="Microsoft YaHei" w:hAnsi="Microsoft YaHei" w:eastAsia="Microsoft YaHei"/>
          <w:b w:val="0"/>
          <w:sz w:val="21"/>
        </w:rPr>
        <w:t>：.md 内容变更（成员增减/角色定义更新/版本号变更）→ 须同步重新生成 .xlsx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生成工具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代码文件/tools/generate_roster_xlsx.py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生成命令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python 代码文件/tools/generate_roster_xlsx.py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版本一致性</w:t>
      </w:r>
      <w:r>
        <w:rPr>
          <w:rFonts w:ascii="Microsoft YaHei" w:hAnsi="Microsoft YaHei" w:eastAsia="Microsoft YaHei"/>
          <w:b w:val="0"/>
          <w:sz w:val="21"/>
        </w:rPr>
        <w:t>：.md 和 .xlsx 的版本号必须一致，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检查项覆盖此一致性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提交规则</w:t>
      </w:r>
      <w:r>
        <w:rPr>
          <w:rFonts w:ascii="Microsoft YaHei" w:hAnsi="Microsoft YaHei" w:eastAsia="Microsoft YaHei"/>
          <w:b w:val="0"/>
          <w:sz w:val="21"/>
        </w:rPr>
        <w:t>：.md 和 .xlsx 须在同一 commit 中提交，禁止分拆提交</w:t>
      </w:r>
    </w:p>
    <w:p>
      <w:pPr>
        <w:pStyle w:val="Heading2"/>
      </w:pPr>
      <w:r>
        <w:t>5.5 样本外验证(OOS)规则（v1.11新增）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：所有涉及评分权重、否决阈值、选股逻辑、交易规则的变更，必须经过样本外验证后方可正式上线。此规则响应豆包建议「过拟合风险」——规则变更须经OOS验证，胜率提升≥3%方可上线。</w:t>
      </w:r>
    </w:p>
    <w:p>
      <w:pPr>
        <w:pStyle w:val="Heading3"/>
      </w:pPr>
      <w:r>
        <w:t>5.5.1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OOS要求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最低样本量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评分权重调整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近6个月数据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否决阈值变更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近6个月数据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新增/删除评分因子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近6个月数据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交易规则变更(开仓/出场/仓位)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近6个月数据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数据源切换(主备互换)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近3个月数据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错别字/格式修正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无需OOS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5.5.2 验证标准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变更必须同时满足以下条件方可正式上线：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胜率提升 ≥ 3%</w:t>
      </w:r>
      <w:r>
        <w:rPr>
          <w:rFonts w:ascii="Microsoft YaHei" w:hAnsi="Microsoft YaHei" w:eastAsia="Microsoft YaHei"/>
          <w:b w:val="0"/>
          <w:sz w:val="21"/>
        </w:rPr>
        <w:t>：新规则相对旧规则的胜率提升不低于3个百分点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最大回撤不恶化</w:t>
      </w:r>
      <w:r>
        <w:rPr>
          <w:rFonts w:ascii="Microsoft YaHei" w:hAnsi="Microsoft YaHei" w:eastAsia="Microsoft YaHei"/>
          <w:b w:val="0"/>
          <w:sz w:val="21"/>
        </w:rPr>
        <w:t>：新规则的最大回撤不超过旧规则的110%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样本量充足</w:t>
      </w:r>
      <w:r>
        <w:rPr>
          <w:rFonts w:ascii="Microsoft YaHei" w:hAnsi="Microsoft YaHei" w:eastAsia="Microsoft YaHei"/>
          <w:b w:val="0"/>
          <w:sz w:val="21"/>
        </w:rPr>
        <w:t>：OOS测试覆盖至少6个月（约120个交易日）的样本外数据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统计显著性</w:t>
      </w:r>
      <w:r>
        <w:rPr>
          <w:rFonts w:ascii="Microsoft YaHei" w:hAnsi="Microsoft YaHei" w:eastAsia="Microsoft YaHei"/>
          <w:b w:val="0"/>
          <w:sz w:val="21"/>
        </w:rPr>
        <w:t>：若样本量充足(≥60笔交易)，胜率差异的p值 &lt; 0.1</w:t>
      </w:r>
    </w:p>
    <w:p>
      <w:pPr>
        <w:pStyle w:val="Heading3"/>
      </w:pPr>
      <w:r>
        <w:t>5.5.3 验证流程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提出规则变更 → 确定OOS范围(6个月样本外数据)</w:t>
        <w:br/>
        <w:t xml:space="preserve">  → 在样本外数据上分别运行旧规则+新规则</w:t>
        <w:br/>
        <w:t xml:space="preserve">  → 对比胜率/回撤/夏普比率</w:t>
        <w:br/>
        <w:t xml:space="preserve">  → 满足§5.5.2标准 → 标记"OOS通过" → 按§5.3执行变更</w:t>
        <w:br/>
        <w:t xml:space="preserve">  → 不满足 → 记录不通过原因 → 回退至改进日志待重新设计</w:t>
      </w:r>
    </w:p>
    <w:p>
      <w:pPr>
        <w:pStyle w:val="Heading3"/>
      </w:pPr>
      <w:r>
        <w:t>5.5.4 豁免条件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以下情况可豁免OOS验证（须人审批）：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修复明确的Bug（如除零错误、计算逻辑错误）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紧急风控规则上线（如API被封导致无法获取数据时的降级规则）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数据源新增（不改变现有逻辑，仅新增备源）</w:t>
      </w:r>
    </w:p>
    <w:p>
      <w:pPr>
        <w:pStyle w:val="Heading2"/>
      </w:pPr>
      <w:r>
        <w:t>5.6 紧急豁免条款（v1.14新增）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当系统异常或市场极端情况发生时，可临时绕过非安全红线。豁免须人审批，事后72h内补齐合规流程。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可豁免规则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不可豁免规则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API大面积故障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§3.2防封禁间隔、§5.5 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§1.1编造数据、§1.7 PDF保护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市场剧烈波动需紧急风控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§5.5 OOS、§5.4版本流程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§1.1、§1.3 PE计算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系统故障导致缓存全失效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§3.1缓存TTL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§1.1、§1.7 PDF保护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豁免记录要求</w:t>
      </w:r>
      <w:r>
        <w:rPr>
          <w:rFonts w:ascii="Microsoft YaHei" w:hAnsi="Microsoft YaHei" w:eastAsia="Microsoft YaHei"/>
          <w:b w:val="0"/>
          <w:i w:val="0"/>
          <w:sz w:val="21"/>
        </w:rPr>
        <w:t>：所有豁免须记录到改进日志.md（场景+豁免规则+审批人+补齐期限）。同一规则连续豁免3次以上须启动规则修订。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六、报告样式管理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：所有铁律量化系统输出的报告样式已被基线化，变更须经人工确认。AI不可擅自修改任何样式定义。</w:t>
      </w:r>
    </w:p>
    <w:p>
      <w:pPr>
        <w:pStyle w:val="Heading2"/>
      </w:pPr>
      <w:r>
        <w:t>6.1 样式冻结范围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以下样式元素已被基线化，禁止未经授权的修改：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冻结内容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基线文档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HTML报告CSS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类名、颜色值、字体族、布局结构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[报告样式基线_v1.2.md](报告样式基线_v1.2.md)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HTML报告涨跌色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上涨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、下跌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HTML报告品牌色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DOCX文档字体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Microsoft YaHei、字号22/36/28/24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DOCX表格样式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表头背景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、白色文字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重点股票单股报告CSS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run_keystock_analysis.ps1 L970-1040内嵌CSS，永久锁定。无特殊情况（用户明确书面指令）不允许任何变更。任何偏离将触发§6.5违规处理流程。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样式基线§2ter</w:t>
            </w:r>
          </w:p>
        </w:tc>
      </w:tr>
    </w:tbl>
    <w:p>
      <w:pPr>
        <w:spacing w:after="40"/>
      </w:pPr>
    </w:p>
    <w:p>
      <w:pPr>
        <w:pStyle w:val="Heading2"/>
      </w:pPr>
      <w:r>
        <w:t>6.2 样式基线文档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完整的样式规范见 [报告样式基线_v1.2.md](报告样式基线_v1.2.md)，覆盖：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每日荐股HTML报告样式（gen_daily_html.ps1 内嵌CSS）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后评估HTML报告样式（report_style.css）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每日荐股白皮书DOCX样式（gen_doc_v2.ps1）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重点股票白皮书DOCX样式（gen_doc.ps1）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规则红线DOCX样式（gen_redlines_doc.ps1）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后评估白皮书DOCX样式（gen_eval_doc*.ps1）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重点股票后评估DOCX样式（重点股票/次日评估/gen_eval_doc.ps1）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通用DOCX转换样式（md_to_docx.py）</w:t>
      </w:r>
    </w:p>
    <w:p>
      <w:pPr>
        <w:pStyle w:val="Heading2"/>
      </w:pPr>
      <w:r>
        <w:t>6.3 样式变更流程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AI提议变更（写入改进日志/CHANGELOG，含理由） → 人工确认 →</w:t>
        <w:br/>
        <w:t>[确认采纳] → 修改样式生成代码 → 更新样式基线文档 →</w:t>
        <w:br/>
        <w:t>运行 check_report_style.ps1 验证 → 提交变更</w:t>
      </w:r>
    </w:p>
    <w:p>
      <w:pPr>
        <w:pStyle w:val="Heading3"/>
      </w:pPr>
      <w:r>
        <w:t>变更权限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行为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修改颜色值、字体族、CSS类名增删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修改布局结构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新增CSS类/样式元素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AI可提议，人工确认后执行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修改样式基线文档本身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运行样式检查脚本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AI可自动执行</w:t>
            </w:r>
          </w:p>
        </w:tc>
      </w:tr>
    </w:tbl>
    <w:p>
      <w:pPr>
        <w:spacing w:after="40"/>
      </w:pPr>
    </w:p>
    <w:p>
      <w:pPr>
        <w:pStyle w:val="Heading2"/>
      </w:pPr>
      <w:r>
        <w:t>6.4 自动检查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PreToolUse hook 自动执行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check_report_style.ps1 -Quick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进行样式快速检查。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完整检查可手动运行：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powershell -File "代码文件\规则红线\check_report_style.ps1"</w:t>
      </w:r>
    </w:p>
    <w:p>
      <w:pPr>
        <w:pStyle w:val="Heading2"/>
      </w:pPr>
      <w:r>
        <w:t>6.5 样式违规处理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样式检查失败时：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立即停止当前报告生成任务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识别修改来源（脚本文件变更位置）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对照样式基线文档确认差异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回滚未经授权的样式修改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如需正式变更，走 6.3 变更流程</w:t>
      </w:r>
    </w:p>
    <w:p>
      <w:pPr>
        <w:pStyle w:val="Heading2"/>
      </w:pPr>
      <w:r>
        <w:t>6.6 报告存储路径规范（v1.12新增）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：所有报告必须输出到指定的正确路径。AI 生成报告时须先确认报告类型→查本表→输出到对应路径。禁止因"顺手""目录熟悉"等原因放错位置。</w:t>
      </w:r>
    </w:p>
    <w:p>
      <w:pPr>
        <w:pStyle w:val="Heading3"/>
      </w:pPr>
      <w:r>
        <w:t>6.6.1 路径映射表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报告类型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正确输出路径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文件命名格式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生成方式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样式基线参照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每日荐股报告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daily_report_YYYYMMDD.html/.pdf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自动(gen_daily_html.ps1)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样式基线§1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每日荐股后评估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历史数据/eval/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YYYYMMDD_后评估报告.html/.pdf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样式基线§2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重点股票单股分析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重点股票/股票报告/{名称}({代码})/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{名称}({代码})分析报告__YYYYMMDD.html/.pdf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自动(run_keystock_analysis.ps1)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样式基线§2ter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重点股票汇总分析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重点股票/汇总/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重点股票分析报告_YYYYMMDD.html/.pdf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腰子手动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(AI辅助生成)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独立样式(腰子分析报告专用)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临时/测试报告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历史数据/临时回溯/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不限格式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无样式要求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白皮书(.docx)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对应白皮书 .md 同目录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{名称}_v{X.Y}.docx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自动(build_docx.ps1)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样式基线§3-§7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规则红线/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文档版本索引.md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6.6.2 路径选择决策树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生成报告 → 确认报告类型：</w:t>
        <w:br/>
        <w:t xml:space="preserve">  ├─ 每日自动选股推荐？      → 路径#1 每日荐股/股票报告/</w:t>
        <w:br/>
        <w:t xml:space="preserve">  ├─ 每日荐股事后评估？      → 路径#2 历史数据/eval/</w:t>
        <w:br/>
        <w:t xml:space="preserve">  ├─ 单只重点股票自动分析？   → 路径#3 重点股票/股票报告/{名称}/</w:t>
        <w:br/>
        <w:t xml:space="preserve">  ├─ 多只重点股票汇总分析？   → 路径#4 重点股票/汇总/</w:t>
        <w:br/>
        <w:t xml:space="preserve">  │   └─ 含腰子的六维评分+三周期预判+组合管理+Pre-mortem</w:t>
        <w:br/>
        <w:t xml:space="preserve">  ├─ 临时测试/调试？         → 路径#5 历史数据/临时回溯/</w:t>
        <w:br/>
        <w:t xml:space="preserve">  └─ 白皮书/文档？          → 路径#6/7 对应规则目录</w:t>
      </w:r>
    </w:p>
    <w:p>
      <w:pPr>
        <w:pStyle w:val="Heading3"/>
      </w:pPr>
      <w:r>
        <w:t>6.6.3 执行要求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生成前确认</w:t>
      </w:r>
      <w:r>
        <w:rPr>
          <w:rFonts w:ascii="Microsoft YaHei" w:hAnsi="Microsoft YaHei" w:eastAsia="Microsoft YaHei"/>
          <w:b w:val="0"/>
          <w:sz w:val="21"/>
        </w:rPr>
        <w:t>：AI 在 Write 工具调用前必须确认目标路径在上表中，如不在→停止并询问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目录不存在时</w:t>
      </w:r>
      <w:r>
        <w:rPr>
          <w:rFonts w:ascii="Microsoft YaHei" w:hAnsi="Microsoft YaHei" w:eastAsia="Microsoft YaHei"/>
          <w:b w:val="0"/>
          <w:sz w:val="21"/>
        </w:rPr>
        <w:t>：先创建目录再写文件，不得因"目录不存在"而换路径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同一报告双格式</w:t>
      </w:r>
      <w:r>
        <w:rPr>
          <w:rFonts w:ascii="Microsoft YaHei" w:hAnsi="Microsoft YaHei" w:eastAsia="Microsoft YaHei"/>
          <w:b w:val="0"/>
          <w:sz w:val="21"/>
        </w:rPr>
        <w:t>：HTML+PDF 必须放在同一目录下，文件名前缀一致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违规即修正</w:t>
      </w:r>
      <w:r>
        <w:rPr>
          <w:rFonts w:ascii="Microsoft YaHei" w:hAnsi="Microsoft YaHei" w:eastAsia="Microsoft YaHei"/>
          <w:b w:val="0"/>
          <w:sz w:val="21"/>
        </w:rPr>
        <w:t>：发现报告放错位置须在发现后立即移动/重新生成到正确路径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样式配套</w:t>
      </w:r>
      <w:r>
        <w:rPr>
          <w:rFonts w:ascii="Microsoft YaHei" w:hAnsi="Microsoft YaHei" w:eastAsia="Microsoft YaHei"/>
          <w:b w:val="0"/>
          <w:sz w:val="21"/>
        </w:rPr>
        <w:t>：路径#4（重点股票汇总分析）须使用腰子分析报告专用样式，禁止复用后评估模板CSS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七、文件信息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分析的规则红线--Claude_v1.15.md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存储路径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C:\Users\34269\Documents\Claude\股票分析\规则红线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2026-05-24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更新人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Claude(阿黑)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关联CHANGELOG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分析的规则红线--Claude_CHANGELOG.md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关联样式基线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报告样式基线_v1.2.md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