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铁律量化 · 报告样式基线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当前版本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: v1.1 |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最后更新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: 2026-05-23 |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维护人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: Claude Code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目的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: 冻结所有报告输出样式，建立样式变更的审核机制，防止未授权的样式修改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生效范围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: 所有由铁律量化系统生成的HTML报告、DOCX白皮书文档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红线规则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: 样式变更须经人工确认，AI不可擅自修改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目录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[每日荐股HTML报告样式](#1-每日荐股html报告样式)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[后评估HTML报告样式](#2-后评估html报告样式)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[每日荐股白皮书DOCX样式](#3-每日荐股白皮书docx样式)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[重点股票白皮书DOCX样式](#4-重点股票白皮书docx样式)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[规则红线DOCX样式](#5-规则红线docx样式)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[后评估白皮书DOCX样式](#6-后评估白皮书docx样式)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[重点股票后评估DOCX样式](#7-重点股票后评估docx样式)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[通用DOCX样式声明（md_to_docx.py）](#8-通用docx样式声明md_to_docxpy)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[样式变更管理流程](#9-样式变更管理流程)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1. 每日荐股HTML报告样式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生成工具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代码文件/每日荐股/分析逻辑/gen_daily_html.ps1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 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输出路径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每日荐股/股票报告/daily_report_YYYYMMDD.html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 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结构版本</w:t>
      </w:r>
      <w:r>
        <w:rPr>
          <w:rFonts w:ascii="Microsoft YaHei" w:hAnsi="Microsoft YaHei" w:eastAsia="Microsoft YaHei"/>
          <w:b w:val="0"/>
          <w:i w:val="0"/>
          <w:sz w:val="21"/>
        </w:rPr>
        <w:t>: v2.4（七维前向评分体系）</w:t>
      </w:r>
    </w:p>
    <w:p>
      <w:pPr>
        <w:pStyle w:val="Heading3"/>
      </w:pPr>
      <w:r>
        <w:t>1.1 页面布局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属性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值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页面方向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横向 (landscape)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页边距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12mm 15mm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最大宽度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100%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背景色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#f4f5f7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字体族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"Microsoft YaHei", "PingFang SC", "Noto Sans SC", sans-serif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字体颜色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#333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内边距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24px</w:t>
            </w:r>
          </w:p>
        </w:tc>
      </w:tr>
    </w:tbl>
    <w:p>
      <w:pPr>
        <w:spacing w:after="40"/>
      </w:pPr>
    </w:p>
    <w:p>
      <w:pPr>
        <w:pStyle w:val="Heading3"/>
      </w:pPr>
      <w:r>
        <w:t>1.2 页头（.hdr）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属性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值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背景色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#1a1a2e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文字颜色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#fff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内边距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36px 44px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圆角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12px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下边距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22px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标题 (h1)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font-size: 36px, font-weight: 900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副标题 (.sub)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font-size: 20px, font-weight: 700, display: flex, justify-content: space-between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标签 (.tag)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font-size: 18px, font-weight: 600, color: #fff</w:t>
            </w:r>
          </w:p>
        </w:tc>
      </w:tr>
    </w:tbl>
    <w:p>
      <w:pPr>
        <w:spacing w:after="40"/>
      </w:pPr>
    </w:p>
    <w:p>
      <w:pPr>
        <w:pStyle w:val="Heading3"/>
      </w:pPr>
      <w:r>
        <w:t>1.3 内容区块（.sec）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属性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值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背景色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#fff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圆角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10px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内边距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22px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下边距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18px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阴影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0 1px 6px rgba(0,0,0,.06)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h2样式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font-size: 17px, font-weight: 700, border-bottom: 2px solid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#1a1a2e</w:t>
            </w:r>
          </w:p>
        </w:tc>
      </w:tr>
    </w:tbl>
    <w:p>
      <w:pPr>
        <w:spacing w:after="40"/>
      </w:pPr>
    </w:p>
    <w:p>
      <w:pPr>
        <w:pStyle w:val="Heading3"/>
      </w:pPr>
      <w:r>
        <w:t>1.4 表格样式（table）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属性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值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宽度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100%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边框折叠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collapse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字号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12px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th背景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#f0f2f5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th内边距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7px 8px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th底部边框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2px solid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#ddd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th字号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11px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td内边距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6px 8px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td底部边框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1px solid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#eee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td字号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11.5px</w:t>
            </w:r>
          </w:p>
        </w:tc>
      </w:tr>
    </w:tbl>
    <w:p>
      <w:pPr>
        <w:spacing w:after="40"/>
      </w:pPr>
    </w:p>
    <w:p>
      <w:pPr>
        <w:pStyle w:val="Heading3"/>
      </w:pPr>
      <w:r>
        <w:t>1.5 卡片区块（.card-grid / .card）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属性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值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网格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2列等宽 (1fr 1fr), gap: 14px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卡片边框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1px solid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#e6e8ed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卡片圆角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10px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卡片内边距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20px 24px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卡片背景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#fafbfc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股票名称 (.c-name)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font-size: 22px, font-weight: 700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股票代码 (.c-code)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font-size: 13px, color: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#999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, margin-left: 8px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评分数字 (.c-scr)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font-size: 32px, font-weight: 800, color: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#1a1a2e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评分后缀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font-size: 14px, font-weight: 400, color: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#aaa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元信息项 (.c-meta-item)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font-size: 14px, background: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#edf0f7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, padding: 5px 14px, border-radius: 14px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推荐理由 (.c-logic)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font-size: 14px, color: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#444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, background: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#f2f6ff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, border-left: 3px solid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#4a6cf7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, border-radius: 6px, padding: 12px 16px</w:t>
            </w:r>
          </w:p>
        </w:tc>
      </w:tr>
    </w:tbl>
    <w:p>
      <w:pPr>
        <w:spacing w:after="40"/>
      </w:pPr>
    </w:p>
    <w:p>
      <w:pPr>
        <w:pStyle w:val="Heading3"/>
      </w:pPr>
      <w:r>
        <w:t>1.6 进度条（.s-bar / .s-fill）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属性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值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7px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背景色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#eee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圆角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4px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填充颜色 - 绿色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#2ecc71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填充颜色 - 黄色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#f39c12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填充颜色 - 红色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#e74c3c</w:t>
            </w:r>
          </w:p>
        </w:tc>
      </w:tr>
    </w:tbl>
    <w:p>
      <w:pPr>
        <w:spacing w:after="40"/>
      </w:pPr>
    </w:p>
    <w:p>
      <w:pPr>
        <w:pStyle w:val="Heading3"/>
      </w:pPr>
      <w:r>
        <w:t>1.7 颜色体系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CSS类名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颜色值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.up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color: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#e74c3c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, font-weight: 600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.down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下跌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color: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#27ae60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, font-weight: 600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.t-green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潜伏期标签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background: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#d4edda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, color: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#155724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.t-yellow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主升调整标签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background: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#fff3cd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, color: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#856404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.t-red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高潮/衰退标签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background: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#f8d7da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, color: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#721c24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.sc-high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高分(&gt;=60)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background: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#d4edda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, font-weight: 700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.sc-mid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中分(&gt;=48)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background: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#fff3cd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, font-weight: 600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.bg-green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绿色填充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#2ecc71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.bg-yellow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黄色填充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#f39c12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.bg-red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红色填充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#e74c3c</w:t>
            </w:r>
          </w:p>
        </w:tc>
      </w:tr>
    </w:tbl>
    <w:p>
      <w:pPr>
        <w:spacing w:after="40"/>
      </w:pPr>
    </w:p>
    <w:p>
      <w:pPr>
        <w:pStyle w:val="Heading3"/>
      </w:pPr>
      <w:r>
        <w:t>1.8 注释和页脚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元素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属性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.note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border-left: 4px solid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#1a1a2e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, background: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#f8f9fa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, padding: 10px 14px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.ftr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text-align: center, font-size: 11px, color: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#aaa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, padding: 16px 0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.row-2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display: flex, gap: 14px</w:t>
            </w:r>
          </w:p>
        </w:tc>
      </w:tr>
    </w:tbl>
    <w:p>
      <w:pPr>
        <w:spacing w:after="40"/>
      </w:pPr>
    </w:p>
    <w:p>
      <w:pPr>
        <w:pStyle w:val="Heading3"/>
      </w:pPr>
      <w:r>
        <w:t>1.9 打印样式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属性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值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body背景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#fff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body内边距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15px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.sec阴影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none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.sec边框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1px solid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#ddd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.sec分页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page-break-inside: avoid</w:t>
            </w:r>
          </w:p>
        </w:tc>
      </w:tr>
    </w:tbl>
    <w:p>
      <w:pPr>
        <w:spacing w:after="40"/>
      </w:pPr>
    </w:p>
    <w:p>
      <w:pPr>
        <w:pStyle w:val="Heading3"/>
      </w:pPr>
      <w:r>
        <w:t>1.10 CSS类名清单（冻结）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以下CSS类名已冻结，新增/删除/重命名须经人工确认：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.hdr, .hdr h1, .hdr .sub, .hdr .tag</w:t>
        <w:br/>
        <w:t>.sec, .sec h2</w:t>
        <w:br/>
        <w:t>.card-grid, .card, .c-hdr, .c-name, .c-code, .c-scr, .c-meta, .c-meta-item, .c-logic</w:t>
        <w:br/>
        <w:t>.s-bar, .s-fill</w:t>
        <w:br/>
        <w:t>.bg-green, .bg-yellow, .bg-red</w:t>
        <w:br/>
        <w:t>.up, .down</w:t>
        <w:br/>
        <w:t>.tag, .t-green, .t-yellow, .t-red</w:t>
        <w:br/>
        <w:t>.note, .ftr</w:t>
        <w:br/>
        <w:t>.sc-high, .sc-mid</w:t>
        <w:br/>
        <w:t>.row-2, .row-2 .col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2. 后评估HTML报告样式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生成工具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: 由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report_style.css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控制样式（</w:t>
      </w:r>
      <w:r>
        <w:rPr>
          <w:rFonts w:ascii="Consolas" w:hAnsi="Consolas" w:eastAsia="Consolas"/>
          <w:b w:val="0"/>
          <w:i w:val="0"/>
          <w:color w:val="E74C3C"/>
          <w:sz w:val="18"/>
        </w:rPr>
        <w:t>代码文件/数据/report_style.css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）  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输出路径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历史数据/eval/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目录下的评估报告HTML</w:t>
      </w:r>
    </w:p>
    <w:p>
      <w:pPr>
        <w:pStyle w:val="Heading3"/>
      </w:pPr>
      <w:r>
        <w:t>2.1 页面布局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属性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值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页面方向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纵向 (portrait)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页边距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15mm 12mm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纸张大小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A4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字体族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'Microsoft YaHei', Arial, sans-serif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字号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13px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背景色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#f0f2f5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页面容器 (.page)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max-width: 1200px, background: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#fff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, padding: 30px, border-radius: 8px, box-shadow</w:t>
            </w:r>
          </w:p>
        </w:tc>
      </w:tr>
    </w:tbl>
    <w:p>
      <w:pPr>
        <w:spacing w:after="40"/>
      </w:pPr>
    </w:p>
    <w:p>
      <w:pPr>
        <w:pStyle w:val="Heading3"/>
      </w:pPr>
      <w:r>
        <w:t>2.2 标题层级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属性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h1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color: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#1A1A2E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, font-size: 22px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h2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color: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#16213E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, font-size: 17px, border-bottom: 2px solid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#1A1A2E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, margin: 25px 0 12px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h3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font-size: 14px, color: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#333</w:t>
            </w:r>
          </w:p>
        </w:tc>
      </w:tr>
    </w:tbl>
    <w:p>
      <w:pPr>
        <w:spacing w:after="40"/>
      </w:pPr>
    </w:p>
    <w:p>
      <w:pPr>
        <w:pStyle w:val="Heading3"/>
      </w:pPr>
      <w:r>
        <w:t>2.3 指标卡片（.metrics / .metric）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属性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值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网格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repeat(auto-fill, minmax(170px, 1fr))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, gap: 10px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卡片背景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#f7f8fa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卡片圆角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6px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卡片内边距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12px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数值颜色 - 危险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.val.danger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color: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#e74c3c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数值颜色 - 警告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.val.warn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color: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#e67e22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数值颜色 - 成功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.val.success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color: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#27ae60</w:t>
            </w:r>
          </w:p>
        </w:tc>
      </w:tr>
    </w:tbl>
    <w:p>
      <w:pPr>
        <w:spacing w:after="40"/>
      </w:pPr>
    </w:p>
    <w:p>
      <w:pPr>
        <w:pStyle w:val="Heading3"/>
      </w:pPr>
      <w:r>
        <w:t>2.4 Badge标签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CSS类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背景色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文字色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.badge-ok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#d4edda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#155724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.badge-warn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#fff3cd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#856404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.badge-danger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#f8d7da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#721c24</w:t>
            </w:r>
          </w:p>
        </w:tc>
      </w:tr>
    </w:tbl>
    <w:p>
      <w:pPr>
        <w:spacing w:after="40"/>
      </w:pPr>
    </w:p>
    <w:p>
      <w:pPr>
        <w:pStyle w:val="Heading3"/>
      </w:pPr>
      <w:r>
        <w:t>2.5 表格样式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属性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值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th背景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#1A1A2E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th文字色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#fff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th内边距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6px 5px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th字号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12px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th字重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normal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td内边距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5px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td边框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1px solid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#eee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偶数行背景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#fafafa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悬停行背景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#eef3ff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Top1行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#fff8e1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Top3行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#f5f5f5</w:t>
            </w:r>
          </w:p>
        </w:tc>
      </w:tr>
    </w:tbl>
    <w:p>
      <w:pPr>
        <w:spacing w:after="40"/>
      </w:pPr>
    </w:p>
    <w:p>
      <w:pPr>
        <w:pStyle w:val="Heading3"/>
      </w:pPr>
      <w:r>
        <w:t>2.6 颜色体系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CSS类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颜色值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.up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color: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#e74c3c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, font-weight: bold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.down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下跌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color: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#27ae60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, font-weight: bold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.flat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平盘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color: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#999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.na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无数据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color: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#ccc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.compare-up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对比上升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color: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#27ae60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, font-weight: bold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.compare-down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对比下降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color: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#e74c3c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, font-weight: bold</w:t>
            </w:r>
          </w:p>
        </w:tc>
      </w:tr>
    </w:tbl>
    <w:p>
      <w:pPr>
        <w:spacing w:after="40"/>
      </w:pPr>
    </w:p>
    <w:p>
      <w:pPr>
        <w:pStyle w:val="Heading3"/>
      </w:pPr>
      <w:r>
        <w:t>2.7 其他元素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元素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属性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发现列表 (.findings-list li)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border-left: 4px solid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#1A1A2E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, background: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#f8f9fa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建议卡片 (.suggestion.p1)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border-left: 4px solid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#e74c3c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建议卡片 (.suggestion.p2)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border-left: 4px solid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#e67e22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建议卡片 (.suggestion.p3)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border-left: 4px solid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#3498db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页脚 (.footer)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text-align: center, color: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#aaa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, font-size: 11px</w:t>
            </w:r>
          </w:p>
        </w:tc>
      </w:tr>
    </w:tbl>
    <w:p>
      <w:pPr>
        <w:spacing w:after="40"/>
      </w:pPr>
    </w:p>
    <w:p>
      <w:pPr>
        <w:pStyle w:val="Heading3"/>
      </w:pPr>
      <w:r>
        <w:t>2.8 CSS类名清单（冻结）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.page, .subtitle</w:t>
        <w:br/>
        <w:t>.metrics, .metric, .metric .label, .metric .val, .metric .val.danger, .metric .val.warn, .metric .val.success, .metric .sub</w:t>
        <w:br/>
        <w:t>.badge, .badge-ok, .badge-warn, .badge-danger</w:t>
        <w:br/>
        <w:t>.findings-list, .findings-list li, .findings-list li .f-title, .findings-list li .f-detail</w:t>
        <w:br/>
        <w:t>.suggestion, .suggestion.p1, .suggestion.p2, .suggestion.p3</w:t>
        <w:br/>
        <w:t>.suggestion .s-prio, .suggestion .s-prio.p1, .suggestion .s-prio.p2, .suggestion .s-prio.p3</w:t>
        <w:br/>
        <w:t>.up, .down, .flat, .na</w:t>
        <w:br/>
        <w:t>.bar-wrap, .bar</w:t>
        <w:br/>
        <w:t>.chart, .chart-bar</w:t>
        <w:br/>
        <w:t>.corr-grid, .corr-item, .corr-item .dim, .corr-item .rho</w:t>
        <w:br/>
        <w:t>.footer, .compare-up, .compare-down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2bis. 重点股票汇总分析HTML报告样式（v1.1新增）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生成工具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: AI辅助生成（腰子手动分析报告）  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输出路径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重点股票/汇总/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目录  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文件命名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重点股票分析报告_YYYYMMDD.html/.pdf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⛔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独立样式要求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：本报告为腰子（金融业务负责人）手工分析输出，须使用独立样式，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禁止复用后评估报告CSS模板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。样式应体现分析报告的深度和专业性，与自动生成的每日荐股/后评估报告形成视觉区分。</w:t>
      </w:r>
    </w:p>
    <w:p>
      <w:pPr>
        <w:pStyle w:val="Heading3"/>
      </w:pPr>
      <w:r>
        <w:t>2bis.1 页面布局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属性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值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页面方向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纵向 (portrait)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纸张大小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A4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字体族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"Microsoft YaHei", "微软雅黑", sans-serif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正文字号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13px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正文颜色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#333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背景色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#f0f2f5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页面容器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max-width: 210mm, margin: 0 auto, background: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#fff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, padding: 15mm 18mm, box-shadow</w:t>
            </w:r>
          </w:p>
        </w:tc>
      </w:tr>
    </w:tbl>
    <w:p>
      <w:pPr>
        <w:spacing w:after="40"/>
      </w:pPr>
    </w:p>
    <w:p>
      <w:pPr>
        <w:pStyle w:val="Heading3"/>
      </w:pPr>
      <w:r>
        <w:t>2bis.2 页头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属性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值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背景色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#1a1a2e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文字颜色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#fff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内边距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28px 30px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圆角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10px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下边距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20px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标题 (h1)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font-size: 24px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副标题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font-size: 15px, opacity: 0.8</w:t>
            </w:r>
          </w:p>
        </w:tc>
      </w:tr>
    </w:tbl>
    <w:p>
      <w:pPr>
        <w:spacing w:after="40"/>
      </w:pPr>
    </w:p>
    <w:p>
      <w:pPr>
        <w:pStyle w:val="Heading3"/>
      </w:pPr>
      <w:r>
        <w:t>2bis.3 内容区块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元素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属性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.section 标题 (h2)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font-size: 18px, color: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#16213e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, border-bottom: 2px solid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#1a1a2e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.section 子标题 (h3)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font-size: 15px, color: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#333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表格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宽度100%, th背景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#1a1a2e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白色文字, 偶数行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#f8f9fa</w:t>
            </w:r>
          </w:p>
        </w:tc>
      </w:tr>
    </w:tbl>
    <w:p>
      <w:pPr>
        <w:spacing w:after="40"/>
      </w:pPr>
    </w:p>
    <w:p>
      <w:pPr>
        <w:pStyle w:val="Heading3"/>
      </w:pPr>
      <w:r>
        <w:t>2bis.4 分析专用组件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组件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.stock-card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单只股票分析卡片：border: 1px solid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#ddd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, border-radius: 8px, padding: 16px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.grid-2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.grid-3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多列指标网格：1fr 1fr / 1fr 1fr 1fr, gap: 10-12px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.metric-item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指标卡片：background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#f8f9fa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, border-radius: 6px, text-align: center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.warn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警告框：background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#fff8e1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, border-left: 4px solid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#f39c12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.danger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危险框：background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#fde8e8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, border-left: 4px solid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#e74c3c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.info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信息框：background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#e8f0fe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, border-left: 4px solid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#2980b9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.good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积极框：background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#e8f5e9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, border-left: 4px solid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#27ae60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.verdict-box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综合结论框：padding: 16px, border-radius: 8px, text-align: center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.tag-bull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.tag-bear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.tag-warn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.tag-info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股票状态标签</w:t>
            </w:r>
          </w:p>
        </w:tc>
      </w:tr>
    </w:tbl>
    <w:p>
      <w:pPr>
        <w:spacing w:after="40"/>
      </w:pPr>
    </w:p>
    <w:p>
      <w:pPr>
        <w:pStyle w:val="Heading3"/>
      </w:pPr>
      <w:r>
        <w:t>2bis.5 颜色体系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与 §1.7 颜色体系一致（上涨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#e74c3c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、下跌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#27ae60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、品牌色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#1a1a2e</w:t>
      </w:r>
      <w:r>
        <w:rPr>
          <w:rFonts w:ascii="Microsoft YaHei" w:hAnsi="Microsoft YaHei" w:eastAsia="Microsoft YaHei"/>
          <w:b w:val="0"/>
          <w:i w:val="0"/>
          <w:sz w:val="21"/>
        </w:rPr>
        <w:t>/</w:t>
      </w:r>
      <w:r>
        <w:rPr>
          <w:rFonts w:ascii="Consolas" w:hAnsi="Consolas" w:eastAsia="Consolas"/>
          <w:b w:val="0"/>
          <w:i w:val="0"/>
          <w:color w:val="E74C3C"/>
          <w:sz w:val="18"/>
        </w:rPr>
        <w:t>#16213e</w:t>
      </w:r>
      <w:r>
        <w:rPr>
          <w:rFonts w:ascii="Microsoft YaHei" w:hAnsi="Microsoft YaHei" w:eastAsia="Microsoft YaHei"/>
          <w:b w:val="0"/>
          <w:i w:val="0"/>
          <w:sz w:val="21"/>
        </w:rPr>
        <w:t>）。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3. 每日荐股白皮书DOCX样式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生成工具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代码文件/每日荐股/分析逻辑/gen_doc_v2.ps1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或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build_docx.ps1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+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md_to_docx.py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 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文件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每日荐股/分析逻辑/每日荐股分析逻辑白皮书_v*.docx</w:t>
      </w:r>
    </w:p>
    <w:p>
      <w:pPr>
        <w:pStyle w:val="Heading3"/>
      </w:pPr>
      <w:r>
        <w:t>3.1 字体与基础样式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属性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值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正文字体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Microsoft YaHei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正文字号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22 (11pt)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行距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360 (1.5x 近似)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对齐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两端对齐 (both)</w:t>
            </w:r>
          </w:p>
        </w:tc>
      </w:tr>
    </w:tbl>
    <w:p>
      <w:pPr>
        <w:spacing w:after="40"/>
      </w:pPr>
    </w:p>
    <w:p>
      <w:pPr>
        <w:pStyle w:val="Heading3"/>
      </w:pPr>
      <w:r>
        <w:t>3.2 文档标题页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元素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属性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主标题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sz 48, bold, color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#1A1A2E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, 居中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副标题 (版本号)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sz 36, bold, color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#16213E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, 居中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说明文字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sz 22, color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#666666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, 居中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版本信息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sz 20, color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#666666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, 居中</w:t>
            </w:r>
          </w:p>
        </w:tc>
      </w:tr>
    </w:tbl>
    <w:p>
      <w:pPr>
        <w:spacing w:after="40"/>
      </w:pPr>
    </w:p>
    <w:p>
      <w:pPr>
        <w:pStyle w:val="Heading3"/>
      </w:pPr>
      <w:r>
        <w:t>3.3 标题层级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字号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颜色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加粗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Heading1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36 (18pt)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#1A1A2E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Heading2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28 (14pt)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#16213E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Heading3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 (12pt)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#333333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</w:tr>
    </w:tbl>
    <w:p>
      <w:pPr>
        <w:spacing w:after="40"/>
      </w:pPr>
    </w:p>
    <w:p>
      <w:pPr>
        <w:pStyle w:val="Heading3"/>
      </w:pPr>
      <w:r>
        <w:t>3.4 表格样式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属性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值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表格宽度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9500 dxa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表头背景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#1A1A2E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表头文字色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#FFFFFF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表头字号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18 (9pt), bold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正文单元格字号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18 (9pt)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表格边框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#CCCCCC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, 4pt single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样式ID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TableGrid</w:t>
            </w:r>
          </w:p>
        </w:tc>
      </w:tr>
    </w:tbl>
    <w:p>
      <w:pPr>
        <w:spacing w:after="40"/>
      </w:pPr>
    </w:p>
    <w:p>
      <w:pPr>
        <w:pStyle w:val="Heading3"/>
      </w:pPr>
      <w:r>
        <w:t>3.5 特殊元素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元素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属性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警告框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border: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#CC0000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, background: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#FFF5F5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黄色提醒条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background: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#FFF8E1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, border color: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#CC0000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强调段落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bold, color: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#CC0000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页脚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sz 18, color: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#999999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, 居中, 顶部边框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#CCCCCC</w:t>
            </w:r>
          </w:p>
        </w:tc>
      </w:tr>
    </w:tbl>
    <w:p>
      <w:pPr>
        <w:spacing w:after="40"/>
      </w:pPr>
    </w:p>
    <w:p>
      <w:pPr>
        <w:pStyle w:val="Heading3"/>
      </w:pPr>
      <w:r>
        <w:t>3.6 列表样式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符号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无序列表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圆点 (●)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有序列表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数字 (1. 2. 3.)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4. 重点股票白皮书DOCX样式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生成工具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代码文件/重点股票/分析逻辑/gen_doc.ps1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或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build_docx.ps1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+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md_to_docx.py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 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文件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重点股票/分析逻辑/重点股票跟踪分析逻辑白皮书_v*.docx</w:t>
      </w:r>
    </w:p>
    <w:p>
      <w:pPr>
        <w:pStyle w:val="Heading3"/>
      </w:pPr>
      <w:r>
        <w:t>4.1 样式规格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与第3节"每日荐股白皮书DOCX样式"完全一致，包括：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元素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规格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正文字体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Microsoft YaHei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正文字号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22 (11pt)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Heading1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sz 36, color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#1A1A2E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, bold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Heading2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sz 28, color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#16213E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, bold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Heading3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sz 24, color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#333333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, bold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表格表头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bg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#1A1A2E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, white text, sz 18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页脚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sz 18, color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#999999</w:t>
            </w:r>
          </w:p>
        </w:tc>
      </w:tr>
    </w:tbl>
    <w:p>
      <w:pPr>
        <w:spacing w:after="40"/>
      </w:pPr>
    </w:p>
    <w:p>
      <w:pPr>
        <w:pStyle w:val="Heading3"/>
      </w:pPr>
      <w:r>
        <w:t>4.2 差异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无差异。重点股票白皮书与每日荐股白皮书使用完全相同的DOCX样式定义。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5. 规则红线DOCX样式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生成工具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代码文件/规则红线/gen_redlines_doc.ps1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或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build_docx.ps1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+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md_to_docx.py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 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文件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规则红线/分析的规则红线--Claude_v*.docx</w:t>
      </w:r>
    </w:p>
    <w:p>
      <w:pPr>
        <w:pStyle w:val="Heading3"/>
      </w:pPr>
      <w:r>
        <w:t>5.1 与通用白皮书样式的差异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元素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通用白皮书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规则红线文档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主标题字号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48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44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副标题字号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32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表格宽度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9500 dxa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8500 dxa (列少时) / 9500 dxa (列多时)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表头字号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18 (9pt)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 (8pt)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正文单元格字号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18 (9pt)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 (8pt)</w:t>
            </w:r>
          </w:p>
        </w:tc>
      </w:tr>
    </w:tbl>
    <w:p>
      <w:pPr>
        <w:spacing w:after="40"/>
      </w:pPr>
    </w:p>
    <w:p>
      <w:pPr>
        <w:pStyle w:val="Heading3"/>
      </w:pPr>
      <w:r>
        <w:t>5.2 其他样式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同第3节通用DOCX样式（字体、标题层级、颜色、页脚等均一致）。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6. 后评估白皮书DOCX样式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生成工具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代码文件/每日荐股/事后评估/gen_eval_doc.ps1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(</w:t>
      </w:r>
      <w:r>
        <w:rPr>
          <w:rFonts w:ascii="Consolas" w:hAnsi="Consolas" w:eastAsia="Consolas"/>
          <w:b w:val="0"/>
          <w:i w:val="0"/>
          <w:color w:val="E74C3C"/>
          <w:sz w:val="18"/>
        </w:rPr>
        <w:t>v1.3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) 或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gen_eval_doc_v1.5.ps1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(</w:t>
      </w:r>
      <w:r>
        <w:rPr>
          <w:rFonts w:ascii="Consolas" w:hAnsi="Consolas" w:eastAsia="Consolas"/>
          <w:b w:val="0"/>
          <w:i w:val="0"/>
          <w:color w:val="E74C3C"/>
          <w:sz w:val="18"/>
        </w:rPr>
        <w:t>v1.5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)  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文件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每日荐股/事后评估/次日后评估白皮书_v*.docx</w:t>
      </w:r>
    </w:p>
    <w:p>
      <w:pPr>
        <w:pStyle w:val="Heading3"/>
      </w:pPr>
      <w:r>
        <w:t>6.1 样式规格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与第3节"每日荐股白皮书DOCX样式"完全一致。所有标题层级、表格、字体、颜色均相同。</w:t>
      </w:r>
    </w:p>
    <w:p>
      <w:pPr>
        <w:pStyle w:val="Heading3"/>
      </w:pPr>
      <w:r>
        <w:t>6.2 版本差异</w:t>
      </w:r>
    </w:p>
    <w:p>
      <w:pPr>
        <w:spacing w:after="80"/>
      </w:pPr>
      <w:r>
        <w:rPr>
          <w:rFonts w:ascii="Consolas" w:hAnsi="Consolas" w:eastAsia="Consolas"/>
          <w:b w:val="0"/>
          <w:i w:val="0"/>
          <w:color w:val="E74C3C"/>
          <w:sz w:val="18"/>
        </w:rPr>
        <w:t>v1.3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与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v1.5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的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gen_eval_doc*.ps1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使用完全相同的样式定义代码块，无样式差异。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7. 重点股票后评估DOCX样式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生成工具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代码文件/重点股票/次日评估/gen_eval_doc.ps1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 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文件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重点股票/次日评估/重点股票次日后评估白皮书_v*.docx</w:t>
      </w:r>
    </w:p>
    <w:p>
      <w:pPr>
        <w:pStyle w:val="Heading3"/>
      </w:pPr>
      <w:r>
        <w:t>7.1 差异说明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此文档使用不同的样式生成方式，与通用DOCX样式存在以下差异：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元素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通用白皮书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重点股票后评估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默认字号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22 (11pt)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21 (10.5pt)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Normal样式ID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Normal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a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h1字号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36 (一致)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h2字号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28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28 (一致)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h3字号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 (一致)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有 (sz 22)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表格宽度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9500 dxa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5000 dxa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表格表头背景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#1A1A2E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#1a1a2e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(一致)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表格表头字号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18 (9pt)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21 (10.5pt)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表格边框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完整六边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仅上/下/内水平</w:t>
            </w:r>
          </w:p>
        </w:tc>
      </w:tr>
    </w:tbl>
    <w:p>
      <w:pPr>
        <w:spacing w:after="40"/>
      </w:pPr>
    </w:p>
    <w:p>
      <w:pPr>
        <w:pStyle w:val="Heading3"/>
      </w:pPr>
      <w:r>
        <w:t>7.2 颜色体系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与通用白皮书一致：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标题1: </w:t>
      </w:r>
      <w:r>
        <w:rPr>
          <w:rFonts w:ascii="Consolas" w:hAnsi="Consolas" w:eastAsia="Consolas"/>
          <w:b w:val="0"/>
          <w:color w:val="E74C3C"/>
          <w:sz w:val="18"/>
        </w:rPr>
        <w:t>#1A1A2E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标题2: </w:t>
      </w:r>
      <w:r>
        <w:rPr>
          <w:rFonts w:ascii="Consolas" w:hAnsi="Consolas" w:eastAsia="Consolas"/>
          <w:b w:val="0"/>
          <w:color w:val="E74C3C"/>
          <w:sz w:val="18"/>
        </w:rPr>
        <w:t>#16213E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标题3: </w:t>
      </w:r>
      <w:r>
        <w:rPr>
          <w:rFonts w:ascii="Consolas" w:hAnsi="Consolas" w:eastAsia="Consolas"/>
          <w:b w:val="0"/>
          <w:color w:val="E74C3C"/>
          <w:sz w:val="18"/>
        </w:rPr>
        <w:t>#333333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表格表头: bg </w:t>
      </w:r>
      <w:r>
        <w:rPr>
          <w:rFonts w:ascii="Consolas" w:hAnsi="Consolas" w:eastAsia="Consolas"/>
          <w:b w:val="0"/>
          <w:color w:val="E74C3C"/>
          <w:sz w:val="18"/>
        </w:rPr>
        <w:t>#1a1a2e</w:t>
      </w:r>
      <w:r>
        <w:rPr>
          <w:rFonts w:ascii="Microsoft YaHei" w:hAnsi="Microsoft YaHei" w:eastAsia="Microsoft YaHei"/>
          <w:b w:val="0"/>
          <w:sz w:val="21"/>
        </w:rPr>
        <w:t>, 白色文字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表格边框: </w:t>
      </w:r>
      <w:r>
        <w:rPr>
          <w:rFonts w:ascii="Consolas" w:hAnsi="Consolas" w:eastAsia="Consolas"/>
          <w:b w:val="0"/>
          <w:color w:val="E74C3C"/>
          <w:sz w:val="18"/>
        </w:rPr>
        <w:t>#CCCCCC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页脚: </w:t>
      </w:r>
      <w:r>
        <w:rPr>
          <w:rFonts w:ascii="Consolas" w:hAnsi="Consolas" w:eastAsia="Consolas"/>
          <w:b w:val="0"/>
          <w:color w:val="E74C3C"/>
          <w:sz w:val="18"/>
        </w:rPr>
        <w:t>#999999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8. 通用DOCX样式声明（md_to_docx.py）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工具路径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代码文件/tools/md_to_docx.py</w:t>
      </w:r>
    </w:p>
    <w:p>
      <w:pPr>
        <w:pStyle w:val="Heading3"/>
      </w:pPr>
      <w:r>
        <w:t>8.1 颜色常量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名称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颜色值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C_PRIMARY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h1颜色 / 表头背景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#1A1A2E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C_SECONDARY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h2颜色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#16213E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C_BODY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h3 / 正文颜色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#333333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C_GRAY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引用块颜色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#555555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C_CODE_BG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行内代码文字色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#E74C3C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C_WHITE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白色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#FFFFFF</w:t>
            </w:r>
          </w:p>
        </w:tc>
      </w:tr>
    </w:tbl>
    <w:p>
      <w:pPr>
        <w:spacing w:after="40"/>
      </w:pPr>
    </w:p>
    <w:p>
      <w:pPr>
        <w:pStyle w:val="Heading3"/>
      </w:pPr>
      <w:r>
        <w:t>8.2 字体与字号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名称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值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FONT_FAMILY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Microsoft YaHei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FONT_MONO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Consolas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SIZE_NORMAL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Pt(10.5)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SIZE_H1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Pt(18)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SIZE_H2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Pt(14)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SIZE_H3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Pt(12)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SIZE_SMALL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Pt(9)</w:t>
            </w:r>
          </w:p>
        </w:tc>
      </w:tr>
    </w:tbl>
    <w:p>
      <w:pPr>
        <w:spacing w:after="40"/>
      </w:pPr>
    </w:p>
    <w:p>
      <w:pPr>
        <w:pStyle w:val="Heading3"/>
      </w:pPr>
      <w:r>
        <w:t>8.3 行距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属性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值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Normal行距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1.15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Normal段后间距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Pt(6)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表格单元格间距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Pt(1)</w:t>
            </w:r>
          </w:p>
        </w:tc>
      </w:tr>
    </w:tbl>
    <w:p>
      <w:pPr>
        <w:spacing w:after="40"/>
      </w:pPr>
    </w:p>
    <w:p>
      <w:pPr>
        <w:pStyle w:val="Heading3"/>
      </w:pPr>
      <w:r>
        <w:t>8.4 表格规范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所有表头行具有 </w:t>
      </w:r>
      <w:r>
        <w:rPr>
          <w:rFonts w:ascii="Consolas" w:hAnsi="Consolas" w:eastAsia="Consolas"/>
          <w:b w:val="0"/>
          <w:color w:val="E74C3C"/>
          <w:sz w:val="18"/>
        </w:rPr>
        <w:t>#1A1A2E</w:t>
      </w:r>
      <w:r>
        <w:rPr>
          <w:rFonts w:ascii="Microsoft YaHei" w:hAnsi="Microsoft YaHei" w:eastAsia="Microsoft YaHei"/>
          <w:b w:val="0"/>
          <w:sz w:val="21"/>
        </w:rPr>
        <w:t xml:space="preserve"> 背景色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表头文字白色、加粗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表格居中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使用 </w:t>
      </w:r>
      <w:r>
        <w:rPr>
          <w:rFonts w:ascii="Consolas" w:hAnsi="Consolas" w:eastAsia="Consolas"/>
          <w:b w:val="0"/>
          <w:color w:val="E74C3C"/>
          <w:sz w:val="18"/>
        </w:rPr>
        <w:t>Table Grid</w:t>
      </w:r>
      <w:r>
        <w:rPr>
          <w:rFonts w:ascii="Microsoft YaHei" w:hAnsi="Microsoft YaHei" w:eastAsia="Microsoft YaHei"/>
          <w:b w:val="0"/>
          <w:sz w:val="21"/>
        </w:rPr>
        <w:t xml:space="preserve"> 样式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行内代码单元格用 Consolas 字体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9. 样式变更管理流程</w:t>
      </w:r>
    </w:p>
    <w:p>
      <w:pPr>
        <w:pStyle w:val="Heading3"/>
      </w:pPr>
      <w:r>
        <w:t>9.1 变更权限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行为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权限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修改样式基线文档本身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仅限人工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修改报告生成代码中的样式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AI可提议，须经人工确认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新增CSS类名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AI可提议，须经人工确认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修改颜色值/字体/字号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AI可提议，须经人工确认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修改页面布局结构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AI可提议，须经人工确认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样式冻结类名清单的增删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仅限人工</w:t>
            </w:r>
          </w:p>
        </w:tc>
      </w:tr>
    </w:tbl>
    <w:p>
      <w:pPr>
        <w:spacing w:after="40"/>
      </w:pPr>
    </w:p>
    <w:p>
      <w:pPr>
        <w:pStyle w:val="Heading3"/>
      </w:pPr>
      <w:r>
        <w:t>9.2 变更流程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提议</w:t>
      </w:r>
      <w:r>
        <w:rPr>
          <w:rFonts w:ascii="Microsoft YaHei" w:hAnsi="Microsoft YaHei" w:eastAsia="Microsoft YaHei"/>
          <w:b w:val="0"/>
          <w:sz w:val="21"/>
        </w:rPr>
        <w:t xml:space="preserve">: 在对应 </w:t>
      </w:r>
      <w:r>
        <w:rPr>
          <w:rFonts w:ascii="Consolas" w:hAnsi="Consolas" w:eastAsia="Consolas"/>
          <w:b w:val="0"/>
          <w:color w:val="E74C3C"/>
          <w:sz w:val="18"/>
        </w:rPr>
        <w:t>CHANGELOG.md</w:t>
      </w:r>
      <w:r>
        <w:rPr>
          <w:rFonts w:ascii="Microsoft YaHei" w:hAnsi="Microsoft YaHei" w:eastAsia="Microsoft YaHei"/>
          <w:b w:val="0"/>
          <w:sz w:val="21"/>
        </w:rPr>
        <w:t xml:space="preserve"> 或 </w:t>
      </w:r>
      <w:r>
        <w:rPr>
          <w:rFonts w:ascii="Consolas" w:hAnsi="Consolas" w:eastAsia="Consolas"/>
          <w:b w:val="0"/>
          <w:color w:val="E74C3C"/>
          <w:sz w:val="18"/>
        </w:rPr>
        <w:t>改进日志.md</w:t>
      </w:r>
      <w:r>
        <w:rPr>
          <w:rFonts w:ascii="Microsoft YaHei" w:hAnsi="Microsoft YaHei" w:eastAsia="Microsoft YaHei"/>
          <w:b w:val="0"/>
          <w:sz w:val="21"/>
        </w:rPr>
        <w:t xml:space="preserve"> 中记录样式变更需求及理由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确认</w:t>
      </w:r>
      <w:r>
        <w:rPr>
          <w:rFonts w:ascii="Microsoft YaHei" w:hAnsi="Microsoft YaHei" w:eastAsia="Microsoft YaHei"/>
          <w:b w:val="0"/>
          <w:sz w:val="21"/>
        </w:rPr>
        <w:t>: 人工确认变更是否可执行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执行</w:t>
      </w:r>
      <w:r>
        <w:rPr>
          <w:rFonts w:ascii="Microsoft YaHei" w:hAnsi="Microsoft YaHei" w:eastAsia="Microsoft YaHei"/>
          <w:b w:val="0"/>
          <w:sz w:val="21"/>
        </w:rPr>
        <w:t>: 修改对应生成代码中的样式定义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同步</w:t>
      </w:r>
      <w:r>
        <w:rPr>
          <w:rFonts w:ascii="Microsoft YaHei" w:hAnsi="Microsoft YaHei" w:eastAsia="Microsoft YaHei"/>
          <w:b w:val="0"/>
          <w:sz w:val="21"/>
        </w:rPr>
        <w:t>: 更新本样式基线文档（更新版本号 + 变更记录）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通知</w:t>
      </w:r>
      <w:r>
        <w:rPr>
          <w:rFonts w:ascii="Microsoft YaHei" w:hAnsi="Microsoft YaHei" w:eastAsia="Microsoft YaHei"/>
          <w:b w:val="0"/>
          <w:sz w:val="21"/>
        </w:rPr>
        <w:t>: 确保 PreToolUse hook 的样式检查规则同步更新</w:t>
      </w:r>
    </w:p>
    <w:p>
      <w:pPr>
        <w:pStyle w:val="Heading3"/>
      </w:pPr>
      <w:r>
        <w:t>9.3 版本历史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变更内容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新增§2bis 重点股票汇总分析HTML报告样式（路径+布局+组件+颜色）；关联规则红线v1.12 §6.6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初始版本，冻结所有报告样式基线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附录A：样式生成文件清单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报告类型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样式来源文件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生成函数/方法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每日荐股HTML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gen_daily_html.ps1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第228-261行 (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$css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变量)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内嵌CSS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后评估HTML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代码文件/数据/report_style.css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外部CSS文件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每日荐股白皮书DOCX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gen_doc_v2.ps1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中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styles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变量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OOXML内嵌样式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重点股票白皮书DOCX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gen_doc.ps1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中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styles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变量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OOXML内嵌样式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规则红线DOCX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gen_redlines_doc.ps1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中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styles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变量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OOXML内嵌样式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后评估白皮书DOCX (v1.3)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gen_eval_doc.ps1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中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styles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变量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OOXML内嵌样式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后评估白皮书DOCX (v1.5)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gen_eval_doc_v1.5.ps1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中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styles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变量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OOXML内嵌样式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重点股票后评估DOCX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重点股票/次日评估/gen_eval_doc.ps1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中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stylesXml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变量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OOXML内嵌样式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所有MD转DOCX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代码文件/tools/md_to_docx.py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python-docx</w:t>
            </w:r>
          </w:p>
        </w:tc>
      </w:tr>
    </w:tbl>
    <w:p>
      <w:pPr>
        <w:spacing w:after="40"/>
      </w:pPr>
    </w:p>
    <w:p>
      <w:pPr>
        <w:pStyle w:val="Heading2"/>
      </w:pPr>
      <w:r>
        <w:t>附录B：检查清单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每次样式变更后须确认：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[ ] 所有报告类型的输出与基线一致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[ ] 颜色值未偏离基线定义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[ ] 字体族未偏离基线定义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[ ] 字号未偏离基线定义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[ ] CSS类名未被删除/重命名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[ ] DOCX标题层级样式一致性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[ ] 表格表头背景色为 </w:t>
      </w:r>
      <w:r>
        <w:rPr>
          <w:rFonts w:ascii="Consolas" w:hAnsi="Consolas" w:eastAsia="Consolas"/>
          <w:b w:val="0"/>
          <w:color w:val="E74C3C"/>
          <w:sz w:val="18"/>
        </w:rPr>
        <w:t>#1A1A2E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[ ] 上涨用红色系 (</w:t>
      </w:r>
      <w:r>
        <w:rPr>
          <w:rFonts w:ascii="Consolas" w:hAnsi="Consolas" w:eastAsia="Consolas"/>
          <w:b w:val="0"/>
          <w:color w:val="E74C3C"/>
          <w:sz w:val="18"/>
        </w:rPr>
        <w:t>#e74c3c</w:t>
      </w:r>
      <w:r>
        <w:rPr>
          <w:rFonts w:ascii="Microsoft YaHei" w:hAnsi="Microsoft YaHei" w:eastAsia="Microsoft YaHei"/>
          <w:b w:val="0"/>
          <w:sz w:val="21"/>
        </w:rPr>
        <w:t>)，下跌用绿色系 (</w:t>
      </w:r>
      <w:r>
        <w:rPr>
          <w:rFonts w:ascii="Consolas" w:hAnsi="Consolas" w:eastAsia="Consolas"/>
          <w:b w:val="0"/>
          <w:color w:val="E74C3C"/>
          <w:sz w:val="18"/>
        </w:rPr>
        <w:t>#27ae60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[ ] 品牌色未变更 (</w:t>
      </w:r>
      <w:r>
        <w:rPr>
          <w:rFonts w:ascii="Consolas" w:hAnsi="Consolas" w:eastAsia="Consolas"/>
          <w:b w:val="0"/>
          <w:color w:val="E74C3C"/>
          <w:sz w:val="18"/>
        </w:rPr>
        <w:t>#1a1a2e</w:t>
      </w:r>
      <w:r>
        <w:rPr>
          <w:rFonts w:ascii="Microsoft YaHei" w:hAnsi="Microsoft YaHei" w:eastAsia="Microsoft YaHei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E74C3C"/>
          <w:sz w:val="18"/>
        </w:rPr>
        <w:t>#16213e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[ ] 本样式基线文档已同步更新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213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