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重点股票模拟交易系统 -- 白皮书 v1.0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/>
          <w:i/>
          <w:color w:val="555555"/>
          <w:sz w:val="21"/>
        </w:rPr>
        <w:t>版本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 xml:space="preserve">：v1.5 | </w:t>
      </w:r>
      <w:r>
        <w:rPr>
          <w:rFonts w:ascii="Microsoft YaHei" w:hAnsi="Microsoft YaHei" w:eastAsia="Microsoft YaHei"/>
          <w:b/>
          <w:i/>
          <w:color w:val="555555"/>
          <w:sz w:val="21"/>
        </w:rPr>
        <w:t>日期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 xml:space="preserve">：2026-05-23 | </w:t>
      </w:r>
      <w:r>
        <w:rPr>
          <w:rFonts w:ascii="Microsoft YaHei" w:hAnsi="Microsoft YaHei" w:eastAsia="Microsoft YaHei"/>
          <w:b/>
          <w:i/>
          <w:color w:val="555555"/>
          <w:sz w:val="21"/>
        </w:rPr>
        <w:t>状态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：已发布</w:t>
        <w:br/>
      </w:r>
      <w:r>
        <w:rPr>
          <w:rFonts w:ascii="Microsoft YaHei" w:hAnsi="Microsoft YaHei" w:eastAsia="Microsoft YaHei"/>
          <w:b/>
          <w:i/>
          <w:color w:val="555555"/>
          <w:sz w:val="21"/>
        </w:rPr>
        <w:t>依据文档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：重点股票模拟交易系统设计方案.md v1.8</w:t>
        <w:br/>
      </w:r>
      <w:r>
        <w:rPr>
          <w:rFonts w:ascii="Microsoft YaHei" w:hAnsi="Microsoft YaHei" w:eastAsia="Microsoft YaHei"/>
          <w:b/>
          <w:i/>
          <w:color w:val="555555"/>
          <w:sz w:val="21"/>
        </w:rPr>
        <w:t>作者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：铁律量化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版本历史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版本</w:t>
            </w:r>
          </w:p>
        </w:tc>
        <w:tc>
          <w:tcPr>
            <w:tcW w:type="dxa" w:w="7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日期</w:t>
            </w:r>
          </w:p>
        </w:tc>
        <w:tc>
          <w:tcPr>
            <w:tcW w:type="dxa" w:w="7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作者</w:t>
            </w:r>
          </w:p>
        </w:tc>
        <w:tc>
          <w:tcPr>
            <w:tcW w:type="dxa" w:w="7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修改内容</w:t>
            </w:r>
          </w:p>
        </w:tc>
        <w:tc>
          <w:tcPr>
            <w:tcW w:type="dxa" w:w="720"/>
            <w:shd w:fill="1A1A2E"/>
          </w:tcPr>
          <w:p>
            <w:r>
              <w:rPr>
                <w:b/>
                <w:color w:val="FFFFFF"/>
              </w:rPr>
            </w:r>
          </w:p>
        </w:tc>
        <w:tc>
          <w:tcPr>
            <w:tcW w:type="dxa" w:w="720"/>
            <w:shd w:fill="1A1A2E"/>
          </w:tcPr>
          <w:p>
            <w:r>
              <w:rPr>
                <w:b/>
                <w:color w:val="FFFFFF"/>
              </w:rPr>
            </w:r>
          </w:p>
        </w:tc>
        <w:tc>
          <w:tcPr>
            <w:tcW w:type="dxa" w:w="720"/>
            <w:shd w:fill="1A1A2E"/>
          </w:tcPr>
          <w:p>
            <w:r>
              <w:rPr>
                <w:b/>
                <w:color w:val="FFFFFF"/>
              </w:rPr>
            </w:r>
          </w:p>
        </w:tc>
        <w:tc>
          <w:tcPr>
            <w:tcW w:type="dxa" w:w="720"/>
            <w:shd w:fill="1A1A2E"/>
          </w:tcPr>
          <w:p>
            <w:r>
              <w:rPr>
                <w:b/>
                <w:color w:val="FFFFFF"/>
              </w:rPr>
            </w:r>
          </w:p>
        </w:tc>
        <w:tc>
          <w:tcPr>
            <w:tcW w:type="dxa" w:w="720"/>
            <w:shd w:fill="1A1A2E"/>
          </w:tcPr>
          <w:p>
            <w:r>
              <w:rPr>
                <w:b/>
                <w:color w:val="FFFFFF"/>
              </w:rPr>
            </w:r>
          </w:p>
        </w:tc>
        <w:tc>
          <w:tcPr>
            <w:tcW w:type="dxa" w:w="720"/>
            <w:shd w:fill="1A1A2E"/>
          </w:tcPr>
          <w:p>
            <w:r>
              <w:rPr>
                <w:b/>
                <w:color w:val="FFFFFF"/>
              </w:rPr>
            </w:r>
          </w:p>
        </w:tc>
        <w:tc>
          <w:tcPr>
            <w:tcW w:type="dxa" w:w="720"/>
            <w:shd w:fill="1A1A2E"/>
          </w:tcPr>
          <w:p>
            <w:r>
              <w:rPr>
                <w:b/>
                <w:color w:val="FFFFFF"/>
              </w:rPr>
            </w:r>
          </w:p>
        </w:tc>
        <w:tc>
          <w:tcPr>
            <w:tcW w:type="dxa" w:w="720"/>
            <w:shd w:fill="1A1A2E"/>
          </w:tcPr>
          <w:p>
            <w:r>
              <w:rPr>
                <w:b/>
                <w:color w:val="FFFFFF"/>
              </w:rPr>
            </w:r>
          </w:p>
        </w:tc>
      </w:tr>
      <w:tr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v1.5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2026-05-23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Claude(阿黑)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Alpha策略审查P0修复：绩效归因含费用/09:45阻断生效/冷却期持久化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详见CHANGELOG.md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v1.4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2026-05-23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铁律量化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1+2数据源架构实装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冷却期交易日修正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数据质检补齐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节假日+超时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输出验证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代码重构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CHANGELOG独立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纳入version_supervisor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详见CHANGELOG.md</w:t>
            </w:r>
          </w:p>
        </w:tc>
      </w:tr>
      <w:tr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v1.3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2026-05-23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铁律量化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v1.2代码审查修复：BUG-01 AvgCost含佣金 / BUG-02 P2/P3冷却期写入 / BUG-03仓位用Cash分母 / §2.1阈值9.5%→9.4%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v1.2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2026-05-23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铁律量化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根据审查意见修订§九：调整微调范围、新增冲突处理与升级规则、补充复盘汇总与跨文档关联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v1.1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2026-05-23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铁律量化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新增§九 策略优化与迭代管理（三级响应机制）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v1.0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铁律量化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初始版本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</w:tbl>
    <w:p>
      <w:pPr>
        <w:spacing w:after="40"/>
      </w:pP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一、系统概述</w:t>
      </w:r>
    </w:p>
    <w:p>
      <w:pPr>
        <w:pStyle w:val="Heading3"/>
      </w:pPr>
      <w:r>
        <w:t>1.1 定位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模拟交易系统是铁律量化重点股票分析体系的交易验证层。其核心定位为：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将每日分析报告中的评分、预判、信号转化为可量化的模拟买卖操作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实时跟踪组合净值、胜率、最大回撤等绩效指标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积累交易级数据，为策略迭代优化提供依据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在不占用真实资金的前提下，验证分析逻辑的有效性</w:t>
      </w:r>
    </w:p>
    <w:p>
      <w:pPr>
        <w:pStyle w:val="Heading3"/>
      </w:pPr>
      <w:r>
        <w:t>1.2 目标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信号至交易闭环</w:t>
      </w:r>
      <w:r>
        <w:rPr>
          <w:rFonts w:ascii="Microsoft YaHei" w:hAnsi="Microsoft YaHei" w:eastAsia="Microsoft YaHei"/>
          <w:b w:val="0"/>
          <w:sz w:val="21"/>
        </w:rPr>
        <w:t>：每日分析输出自动触发模拟开仓/平仓，消除人工决策随意性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绩效量化</w:t>
      </w:r>
      <w:r>
        <w:rPr>
          <w:rFonts w:ascii="Microsoft YaHei" w:hAnsi="Microsoft YaHei" w:eastAsia="Microsoft YaHei"/>
          <w:b w:val="0"/>
          <w:sz w:val="21"/>
        </w:rPr>
        <w:t>：以精确的数字衡量每笔交易、每个信号的真实价值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归因分析</w:t>
      </w:r>
      <w:r>
        <w:rPr>
          <w:rFonts w:ascii="Microsoft YaHei" w:hAnsi="Microsoft YaHei" w:eastAsia="Microsoft YaHei"/>
          <w:b w:val="0"/>
          <w:sz w:val="21"/>
        </w:rPr>
        <w:t>：识别哪些评分维度、哪些预判方向真正贡献了正收益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策略迭代</w:t>
      </w:r>
      <w:r>
        <w:rPr>
          <w:rFonts w:ascii="Microsoft YaHei" w:hAnsi="Microsoft YaHei" w:eastAsia="Microsoft YaHei"/>
          <w:b w:val="0"/>
          <w:sz w:val="21"/>
        </w:rPr>
        <w:t>：通过回测数据驱动分析逻辑和交易规则的持续优化</w:t>
      </w:r>
    </w:p>
    <w:p>
      <w:pPr>
        <w:pStyle w:val="Heading3"/>
      </w:pPr>
      <w:r>
        <w:t>1.3 适用股票范围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系统固定跟踪以下 6 只重点股票，不扩展、不缩减：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代码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名称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所属板块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603019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中科曙光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计算机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601689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拓普集团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汽车零部件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600114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东睦股份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金属新材料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301075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多瑞医药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医药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000967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盈峰环境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环保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600036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招商银行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银行</w:t>
            </w:r>
          </w:p>
        </w:tc>
      </w:tr>
    </w:tbl>
    <w:p>
      <w:pPr>
        <w:spacing w:after="40"/>
      </w:pPr>
    </w:p>
    <w:p>
      <w:pPr>
        <w:pStyle w:val="Heading3"/>
      </w:pPr>
      <w:r>
        <w:t>1.4 非目标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不接入真实交易接口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不做日内高频交易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不做融资融券模拟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不修改现有系统的任何文件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不新增外部 API 依赖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二、交易规则</w:t>
      </w:r>
    </w:p>
    <w:p>
      <w:pPr>
        <w:pStyle w:val="Heading3"/>
      </w:pPr>
      <w:r>
        <w:t>2.1 开仓条件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开仓需同时满足以下全部条件：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序号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条件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规则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数据来源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方向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Short 预测为"看多"或"偏多"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评估数据.Prediction.Short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趋势健康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TrendHealth.Label 不为"危险"且不为"数据不足"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评估数据.TrendHealth.Label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未持仓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该股票当前无持仓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positions.json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4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仓位上限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总持仓数量不超过 MaxPositions(默认3只)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sim_config.json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5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止损冷却期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该股票过去 CooloffPeriodDays(默认5日)内未触发止损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positions.json.LastStopLossDate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止盈冷却期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该股票过去 FullTakeProfitCooldownDays(默认3日)内未触发 P4 全部止盈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positions.json.LastFullTakeProfitDate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7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未涨停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今日开盘未涨停(涨跌幅 &lt; 9.4%)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腾讯行情 API 开盘价 vs 前日收盘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8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StopLoss 合理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StopLoss &lt; 当前价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评估数据.KeyLevels.StopLoss</w:t>
            </w:r>
          </w:p>
        </w:tc>
      </w:tr>
    </w:tbl>
    <w:p>
      <w:pPr>
        <w:spacing w:after="40"/>
      </w:pPr>
    </w:p>
    <w:p>
      <w:pPr>
        <w:spacing w:after="80" w:before="80"/>
        <w:ind w:left="567"/>
      </w:pPr>
      <w:r>
        <w:rPr>
          <w:rFonts w:ascii="Microsoft YaHei" w:hAnsi="Microsoft YaHei" w:eastAsia="Microsoft YaHei"/>
          <w:b/>
          <w:i/>
          <w:color w:val="555555"/>
          <w:sz w:val="21"/>
        </w:rPr>
        <w:t>冷却期设计理由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：止损后 5 日冷却防止 whipsaw（反复打脸），避免同一只股票刚止损又买入导致连续亏损。全部止盈后 3 日冷却避免在短期超买状态下追高。</w:t>
      </w:r>
    </w:p>
    <w:p>
      <w:pPr>
        <w:pStyle w:val="Heading3"/>
      </w:pPr>
      <w:r>
        <w:t>2.2 多股选股优先级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当同时满足开仓条件的股票数量超过最大持仓限制(3只)时，按以下优先级依次选取：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优先级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因子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规则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P1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CompositeScore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评分高者优先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P2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Confidence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同分时，"高置信度" &gt; "中" &gt; "低"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P3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ShortBull Score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同分同置信度时，短期看多强度高者优先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P4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代码顺序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以上均相同的，按代码排序取前 N 只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Confidence 字段映射规则</w:t>
      </w:r>
      <w:r>
        <w:rPr>
          <w:rFonts w:ascii="Microsoft YaHei" w:hAnsi="Microsoft YaHei" w:eastAsia="Microsoft YaHei"/>
          <w:b w:val="0"/>
          <w:i w:val="0"/>
          <w:sz w:val="21"/>
        </w:rPr>
        <w:t>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原始值</w:t>
            </w:r>
          </w:p>
        </w:tc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排序数值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高(&gt;70%)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中(50-70%)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低(&lt;50%)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无法识别或空值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0(排最后)</w:t>
            </w:r>
          </w:p>
        </w:tc>
      </w:tr>
    </w:tbl>
    <w:p>
      <w:pPr>
        <w:spacing w:after="40"/>
      </w:pPr>
    </w:p>
    <w:p>
      <w:pPr>
        <w:pStyle w:val="Heading3"/>
      </w:pPr>
      <w:r>
        <w:t>2.3 仓位管理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#### 2.3.1 仓位档位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仓位比例根据 CompositeScore 分档确定：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CompositeScore 区间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仓位比例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&gt;= 80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25%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强烈关注，重点配置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&gt;= 65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关注，正常配置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&gt;= 45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10%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观察，轻仓试探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&gt;= 30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5%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谨慎，极轻仓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&lt; 30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0%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回避，不参与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#### 2.3.2 仓位计算规则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仓位比例 = 占</w:t>
      </w:r>
      <w:r>
        <w:rPr>
          <w:rFonts w:ascii="Microsoft YaHei" w:hAnsi="Microsoft YaHei" w:eastAsia="Microsoft YaHei"/>
          <w:b/>
          <w:sz w:val="21"/>
        </w:rPr>
        <w:t>当前现金</w:t>
      </w:r>
      <w:r>
        <w:rPr>
          <w:rFonts w:ascii="Microsoft YaHei" w:hAnsi="Microsoft YaHei" w:eastAsia="Microsoft YaHei"/>
          <w:b w:val="0"/>
          <w:sz w:val="21"/>
        </w:rPr>
        <w:t>的百分比（非总资产）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买入股数向下取整到 100 股（一手）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单只股票买入金额不超过总资产的 SingleStockLimitPct(默认 30%)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若计算所得股数不足 100 股，跳过该股开仓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#### 2.3.3 边界说明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仓位比例在阈值边界存在阶梯跳跃（例如 Score=64 时为 10%，Score=65 时跳至 20%）。引擎按配置如实执行此阶梯，评估阶段再审视是否需要平滑处理。</w:t>
      </w:r>
    </w:p>
    <w:p>
      <w:pPr>
        <w:pStyle w:val="Heading3"/>
      </w:pPr>
      <w:r>
        <w:t>2.4 入场价格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#### 2.4.1 价格确定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优先使用开盘价</w:t>
      </w:r>
      <w:r>
        <w:rPr>
          <w:rFonts w:ascii="Microsoft YaHei" w:hAnsi="Microsoft YaHei" w:eastAsia="Microsoft YaHei"/>
          <w:b w:val="0"/>
          <w:sz w:val="21"/>
        </w:rPr>
        <w:t>：读取腾讯行情 API 返回的当日开盘价(parts[5])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兜底方案</w:t>
      </w:r>
      <w:r>
        <w:rPr>
          <w:rFonts w:ascii="Microsoft YaHei" w:hAnsi="Microsoft YaHei" w:eastAsia="Microsoft YaHei"/>
          <w:b w:val="0"/>
          <w:sz w:val="21"/>
        </w:rPr>
        <w:t>：若开盘价无法获取（API 降级等），使用评估数据的 Price 字段（即昨日收盘价）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滑点</w:t>
      </w:r>
      <w:r>
        <w:rPr>
          <w:rFonts w:ascii="Microsoft YaHei" w:hAnsi="Microsoft YaHei" w:eastAsia="Microsoft YaHei"/>
          <w:b w:val="0"/>
          <w:sz w:val="21"/>
        </w:rPr>
        <w:t>：在最终入场价上乘以 (1 + SlippagePct)，默认 0.1%，买卖双向均适用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#### 2.4.2 引擎运行时序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T日 15:00   -&gt; 市场收盘</w:t>
        <w:br/>
        <w:t>T日 20:00   -&gt; 生成评估数据_T.json（已有流程）</w:t>
        <w:br/>
        <w:t>T+1日 09:25 -&gt; 集合竞价结束，开盘价确定</w:t>
        <w:br/>
        <w:t>T+1日 09:35 -&gt; 运行模拟交易引擎（开盘5分钟后，确保行情API已稳定返回）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引擎固定于每个交易日 09:35 触发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若超过 09:45 仍未运行（如系统故障），当日跳过不开新仓，仅执行止损检查（用最新价代替开盘价）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节假日或停市日引擎静默跳过，不报错中断</w:t>
      </w:r>
    </w:p>
    <w:p>
      <w:pPr>
        <w:pStyle w:val="Heading3"/>
      </w:pPr>
      <w:r>
        <w:t>2.5 出场规则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#### 2.5.1 出场优先级总览（P1 至 P5）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出场条件按优先级逐级检查，同一交易日即使同时触发多个条件，仅执行优先级最高的一个。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优先级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出场原因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条件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操作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P1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止损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当前价 &lt;= KeyLevels.StopLoss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全部卖出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P2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趋势恶化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TrendHealth 变为"危险"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全部卖出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P3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预判转空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Short 从入场时的值变为"中性"或"看空"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全部卖出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P4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全部止盈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当前价 &gt;= R3（独立于 Short 方向）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全部卖出 + 进入 3 日止盈冷却期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P5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止盈减仓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当前价 &gt;= R2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卖出 50% 持仓（向下取整到 100 股）</w:t>
            </w:r>
          </w:p>
        </w:tc>
      </w:tr>
    </w:tbl>
    <w:p>
      <w:pPr>
        <w:spacing w:after="40"/>
      </w:pPr>
    </w:p>
    <w:p>
      <w:pPr>
        <w:spacing w:after="80" w:before="80"/>
        <w:ind w:left="567"/>
      </w:pPr>
      <w:r>
        <w:rPr>
          <w:rFonts w:ascii="Microsoft YaHei" w:hAnsi="Microsoft YaHei" w:eastAsia="Microsoft YaHei"/>
          <w:b/>
          <w:i/>
          <w:color w:val="555555"/>
          <w:sz w:val="21"/>
        </w:rPr>
        <w:t>优先级设计理由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止损(P1)永远优先于止盈——截断亏损比锁定利润更重要。趋势恶化(P2)和预判转空(P3)作为风控补充，在止损未触发但基本面/趋势已变化时主动退出。全部止盈(P4)在股价达到目标后全额退出，止盈减仓(P5)在达到中间目标时锁定部分利润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#### 2.5.2 P1 止损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触发条件</w:t>
      </w:r>
      <w:r>
        <w:rPr>
          <w:rFonts w:ascii="Microsoft YaHei" w:hAnsi="Microsoft YaHei" w:eastAsia="Microsoft YaHei"/>
          <w:b w:val="0"/>
          <w:sz w:val="21"/>
        </w:rPr>
        <w:t>：当前价 &lt;= 入场时记录的 KeyLevels.StopLoss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操作</w:t>
      </w:r>
      <w:r>
        <w:rPr>
          <w:rFonts w:ascii="Microsoft YaHei" w:hAnsi="Microsoft YaHei" w:eastAsia="Microsoft YaHei"/>
          <w:b w:val="0"/>
          <w:sz w:val="21"/>
        </w:rPr>
        <w:t>：全部卖出，记录止损日期以触发冷却期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跌停处理</w:t>
      </w:r>
      <w:r>
        <w:rPr>
          <w:rFonts w:ascii="Microsoft YaHei" w:hAnsi="Microsoft YaHei" w:eastAsia="Microsoft YaHei"/>
          <w:b w:val="0"/>
          <w:sz w:val="21"/>
        </w:rPr>
        <w:t>：若止损日该股跌停（涨跌幅 &lt;= -9.4%），标记为"未成交"，持续跟踪至恢复流动性后卖出（见第六章节）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#### 2.5.3 P2 趋势恶化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触发条件</w:t>
      </w:r>
      <w:r>
        <w:rPr>
          <w:rFonts w:ascii="Microsoft YaHei" w:hAnsi="Microsoft YaHei" w:eastAsia="Microsoft YaHei"/>
          <w:b w:val="0"/>
          <w:sz w:val="21"/>
        </w:rPr>
        <w:t>：TrendHealth.Label 变为"危险"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操作</w:t>
      </w:r>
      <w:r>
        <w:rPr>
          <w:rFonts w:ascii="Microsoft YaHei" w:hAnsi="Microsoft YaHei" w:eastAsia="Microsoft YaHei"/>
          <w:b w:val="0"/>
          <w:sz w:val="21"/>
        </w:rPr>
        <w:t>：全部卖出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警戒状态</w:t>
      </w:r>
      <w:r>
        <w:rPr>
          <w:rFonts w:ascii="Microsoft YaHei" w:hAnsi="Microsoft YaHei" w:eastAsia="Microsoft YaHei"/>
          <w:b w:val="0"/>
          <w:sz w:val="21"/>
        </w:rPr>
        <w:t>：TrendHealth 变为"警戒"时不触发自动卖出，仅输出黄旗警告并标记该持仓进入关注名单。警戒恢复为健康后自动从关注名单移除。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#### 2.5.4 P3 预判转空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触发条件</w:t>
      </w:r>
      <w:r>
        <w:rPr>
          <w:rFonts w:ascii="Microsoft YaHei" w:hAnsi="Microsoft YaHei" w:eastAsia="Microsoft YaHei"/>
          <w:b w:val="0"/>
          <w:sz w:val="21"/>
        </w:rPr>
        <w:t>：最新评估数据的 Prediction.Short 从入场时的值变为"中性"或"看空"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操作</w:t>
      </w:r>
      <w:r>
        <w:rPr>
          <w:rFonts w:ascii="Microsoft YaHei" w:hAnsi="Microsoft YaHei" w:eastAsia="Microsoft YaHei"/>
          <w:b w:val="0"/>
          <w:sz w:val="21"/>
        </w:rPr>
        <w:t>：全部卖出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滞后说明</w:t>
      </w:r>
      <w:r>
        <w:rPr>
          <w:rFonts w:ascii="Microsoft YaHei" w:hAnsi="Microsoft YaHei" w:eastAsia="Microsoft YaHei"/>
          <w:b w:val="0"/>
          <w:sz w:val="21"/>
        </w:rPr>
        <w:t>：此条件存在至少 1 个交易日的固有滞后（详见 2.5.6 节）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#### 2.5.5 P4 全部止盈 / P5 止盈减仓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R2 和 R3 的计算方式（方案B，即插即用，不改数据源）：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R2 = EntryPrice x (1 + FixedPct1 / 100)   默认 FixedPct1 = 5.0</w:t>
        <w:br/>
        <w:t>R3 = EntryPrice x (1 + FixedPct2 / 100)   默认 FixedPct2 = 10.0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P4 触发条件仅依赖于价格到达 R3，</w:t>
      </w:r>
      <w:r>
        <w:rPr>
          <w:rFonts w:ascii="Microsoft YaHei" w:hAnsi="Microsoft YaHei" w:eastAsia="Microsoft YaHei"/>
          <w:b/>
          <w:sz w:val="21"/>
        </w:rPr>
        <w:t>不依赖</w:t>
      </w:r>
      <w:r>
        <w:rPr>
          <w:rFonts w:ascii="Microsoft YaHei" w:hAnsi="Microsoft YaHei" w:eastAsia="Microsoft YaHei"/>
          <w:b w:val="0"/>
          <w:sz w:val="21"/>
        </w:rPr>
        <w:t xml:space="preserve"> Short 方向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P5 减仓卖出当前持仓的 50%，向下取整到 100 股；若 50% 不足 100 股则全额卖出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P4 触发后进入 3 日止盈冷却期，期间该股票不可开新仓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#### 2.5.6 预判转空的滞后处理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预判转空存在至少 1 个交易日的固有滞后：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T日 收盘   -&gt; 生成评估数据_T.json（含 Short="看多"）</w:t>
        <w:br/>
        <w:t>T+1 09:35  -&gt; 引擎运行，只能读到评估数据_T.json，Short 仍为"看多" -&gt; 不触发</w:t>
        <w:br/>
        <w:t>T+1 收盘   -&gt; 股价已下跌，生成评估数据_T+1.json（Short 变为"中性"）</w:t>
        <w:br/>
        <w:t>T+2 09:35  -&gt; 引擎比对两份数据，发现 Short 变化 -&gt; 触发卖出（滞后 1 日）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实现方案</w:t>
      </w:r>
      <w:r>
        <w:rPr>
          <w:rFonts w:ascii="Microsoft YaHei" w:hAnsi="Microsoft YaHei" w:eastAsia="Microsoft YaHei"/>
          <w:b w:val="0"/>
          <w:i w:val="0"/>
          <w:sz w:val="21"/>
        </w:rPr>
        <w:t>：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 xml:space="preserve">每个持仓记录中保存 </w:t>
      </w:r>
      <w:r>
        <w:rPr>
          <w:rFonts w:ascii="Consolas" w:hAnsi="Consolas" w:eastAsia="Consolas"/>
          <w:b w:val="0"/>
          <w:color w:val="E74C3C"/>
          <w:sz w:val="18"/>
        </w:rPr>
        <w:t>EntryShortPrediction</w:t>
      </w:r>
      <w:r>
        <w:rPr>
          <w:rFonts w:ascii="Microsoft YaHei" w:hAnsi="Microsoft YaHei" w:eastAsia="Microsoft YaHei"/>
          <w:b w:val="0"/>
          <w:sz w:val="21"/>
        </w:rPr>
        <w:t xml:space="preserve"> 字段，记录入场时的 Short 值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每次引擎运行时，用</w:t>
      </w:r>
      <w:r>
        <w:rPr>
          <w:rFonts w:ascii="Microsoft YaHei" w:hAnsi="Microsoft YaHei" w:eastAsia="Microsoft YaHei"/>
          <w:b/>
          <w:sz w:val="21"/>
        </w:rPr>
        <w:t>最新评估数据</w:t>
      </w:r>
      <w:r>
        <w:rPr>
          <w:rFonts w:ascii="Microsoft YaHei" w:hAnsi="Microsoft YaHei" w:eastAsia="Microsoft YaHei"/>
          <w:b w:val="0"/>
          <w:sz w:val="21"/>
        </w:rPr>
        <w:t xml:space="preserve">的 Short 值与 </w:t>
      </w:r>
      <w:r>
        <w:rPr>
          <w:rFonts w:ascii="Consolas" w:hAnsi="Consolas" w:eastAsia="Consolas"/>
          <w:b w:val="0"/>
          <w:color w:val="E74C3C"/>
          <w:sz w:val="18"/>
        </w:rPr>
        <w:t>EntryShortPrediction</w:t>
      </w:r>
      <w:r>
        <w:rPr>
          <w:rFonts w:ascii="Microsoft YaHei" w:hAnsi="Microsoft YaHei" w:eastAsia="Microsoft YaHei"/>
          <w:b w:val="0"/>
          <w:sz w:val="21"/>
        </w:rPr>
        <w:t xml:space="preserve"> 比对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若 Short 变为"中性"或"看空"，触发卖出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若无新的评估数据，跳过此检查，正常处理其他出场条件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>此滞后属于系统固有局限（每日评估数据仅在收盘后生成），无法在现有架构下消除。绩效报告中应标注"预判转空出口存在 &gt;= 1 日滞后，实际效果弱于理论设计"。</w:t>
      </w:r>
    </w:p>
    <w:p>
      <w:pPr>
        <w:pStyle w:val="Heading3"/>
      </w:pPr>
      <w:r>
        <w:t>2.6 交易费用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费用计算采用 A 股真实费率标准：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费用类型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费率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收取方向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佣金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万分之 2.5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买卖双向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按成交金额计算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印花税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千分之 1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仅卖出时收取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按卖出成交金额计算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最低佣金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5 元/笔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买卖双向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计算佣金不足 5 元时按 5 元收取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费用计算示例</w:t>
      </w:r>
      <w:r>
        <w:rPr>
          <w:rFonts w:ascii="Microsoft YaHei" w:hAnsi="Microsoft YaHei" w:eastAsia="Microsoft YaHei"/>
          <w:b w:val="0"/>
          <w:i w:val="0"/>
          <w:sz w:val="21"/>
        </w:rPr>
        <w:t>：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买入 1300 股，成交价 72.05 元：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成交金额 = 1300 x 72.05 = 93,665.00</w:t>
        <w:br/>
        <w:t>佣金 = 93,665 x 0.00025 = 23.42（&gt;= 5 元，按实际收取）</w:t>
        <w:br/>
        <w:t>总成本 = 93,665 + 23.42 = 93,688.42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卖出 1300 股，成交价 71.50 元：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成交金额 = 1300 x 71.50 = 92,950.00</w:t>
        <w:br/>
        <w:t>佣金 = 92,950 x 0.00025 = 23.24（&gt;= 5 元，按实际收取）</w:t>
        <w:br/>
        <w:t>印花税 = 92,950 x 0.001 = 92.95</w:t>
        <w:br/>
        <w:t>净收入 = 92,950 - 23.24 - 92.95 = 92,833.81</w:t>
      </w:r>
    </w:p>
    <w:p>
      <w:pPr>
        <w:pStyle w:val="Heading3"/>
      </w:pPr>
      <w:r>
        <w:t>2.7 初始参数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参数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默认值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初始资金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1,000,000 元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模拟启动资金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最大同时持仓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 只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总持仓数量上限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单股上限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30% 总资产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单一股票仓位上限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滑点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0.1%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买卖双向均适用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止损后冷却期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5 个交易日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止损后不可再入场天数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止盈后冷却期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 个交易日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P4全部止盈后不可再入场天数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止盈模式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fixed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固定倍数方式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R2 倍数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入场价 x 1.05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止盈减仓触发线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R3 倍数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入场价 x 1.10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全部止盈触发线</w:t>
            </w:r>
          </w:p>
        </w:tc>
      </w:tr>
    </w:tbl>
    <w:p>
      <w:pPr>
        <w:spacing w:after="40"/>
      </w:pP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三、数据流</w:t>
      </w:r>
    </w:p>
    <w:p>
      <w:pPr>
        <w:pStyle w:val="Heading3"/>
      </w:pPr>
      <w:r>
        <w:t>3.1 每日运行流程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步骤 0: 检测当日是否为交易日（节假日/周末自动跳过）</w:t>
        <w:br/>
        <w:t>步骤 1: 读取 sim_config.json 配置</w:t>
        <w:br/>
        <w:t>步骤 2: 读取 positions.json 当前持仓</w:t>
        <w:br/>
        <w:t>步骤 3: 读取 评估数据_YYYYMMDD.json</w:t>
        <w:br/>
        <w:t>步骤 4: 执行数据质量检查（检查通过方可继续）</w:t>
        <w:br/>
        <w:t>步骤 5: 调用腾讯行情 API 获取 6 只股票实时行情（含开盘价/现价/涨跌幅）</w:t>
        <w:br/>
        <w:t>步骤 6: 检查除权除息配置，计算调整因子</w:t>
        <w:br/>
        <w:t>步骤 7: 执行出场检查（按优先级 P1 -&gt; P5）</w:t>
        <w:br/>
        <w:t xml:space="preserve">   P1: 止损（当前价 &lt;= StopLoss）</w:t>
        <w:br/>
        <w:t xml:space="preserve">   P2: 趋势恶化（TrendHealth = 危险）</w:t>
        <w:br/>
        <w:t xml:space="preserve">   P3: 预判转空（Short 变为中性/看空）</w:t>
        <w:br/>
        <w:t xml:space="preserve">   P4: 全部止盈（当前价 &gt;= R3）</w:t>
        <w:br/>
        <w:t xml:space="preserve">   P5: 止盈减仓（当前价 &gt;= R2，卖出50%）</w:t>
        <w:br/>
        <w:t>步骤 8: 应用出场交易（更新现金、持仓数量、冷却期标记）</w:t>
        <w:br/>
        <w:t>步骤 9: 执行开仓检查</w:t>
        <w:br/>
        <w:t xml:space="preserve">   筛选满足全部开仓条件的股票</w:t>
        <w:br/>
        <w:t xml:space="preserve">   按多股选股优先级排序</w:t>
        <w:br/>
        <w:t xml:space="preserve">   按可用仓位数量依次开仓</w:t>
        <w:br/>
        <w:t>步骤 10: 写入交易流水 transactions.csv</w:t>
        <w:br/>
        <w:t>步骤 11: 更新持仓文件 positions.json</w:t>
        <w:br/>
        <w:t>步骤 12: 计算组合净值 -&gt; 写入每日快照 snapshot_YYYYMMDD.json</w:t>
        <w:br/>
        <w:t>步骤 13: 更新绩效汇总 perf_summary.json</w:t>
        <w:br/>
        <w:t>步骤 14: 写入运行日志</w:t>
      </w:r>
    </w:p>
    <w:p>
      <w:pPr>
        <w:pStyle w:val="Heading3"/>
      </w:pPr>
      <w:r>
        <w:t>3.2 文件格式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#### 3.2.1 positions.json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当前持仓快照。记录现金余额、总资产、每只持仓股的成本、入场日期、入场预判、冷却期标记等。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{</w:t>
        <w:br/>
        <w:t xml:space="preserve">  "Cash": 872345.67,</w:t>
        <w:br/>
        <w:t xml:space="preserve">  "TotalValue": 985432.10,</w:t>
        <w:br/>
        <w:t xml:space="preserve">  "LastUpdated": "20260522",</w:t>
        <w:br/>
        <w:t xml:space="preserve">  "Positions": {</w:t>
        <w:br/>
        <w:t xml:space="preserve">    "601689": {</w:t>
        <w:br/>
        <w:t xml:space="preserve">      "Code": "601689",</w:t>
        <w:br/>
        <w:t xml:space="preserve">      "Name": "拓普集团",</w:t>
        <w:br/>
        <w:t xml:space="preserve">      "Shares": 1300,</w:t>
        <w:br/>
        <w:t xml:space="preserve">      "AvgCost": 72.05,</w:t>
        <w:br/>
        <w:t xml:space="preserve">      "CurrentPrice": 72.05,</w:t>
        <w:br/>
        <w:t xml:space="preserve">      "EntryDate": "20260522",</w:t>
        <w:br/>
        <w:t xml:space="preserve">      "EntryShortPrediction": "看多",</w:t>
        <w:br/>
        <w:t xml:space="preserve">      "LastStopLossDate": null,</w:t>
        <w:br/>
        <w:t xml:space="preserve">      "LastFullTakeProfitDate": null,</w:t>
        <w:br/>
        <w:t xml:space="preserve">      "Support": 64.73,</w:t>
        <w:br/>
        <w:t xml:space="preserve">      "Resistance": 61.77,</w:t>
        <w:br/>
        <w:t xml:space="preserve">      "StopLoss": 60.20,</w:t>
        <w:br/>
        <w:t xml:space="preserve">      "UnrealizedPnL": 0,</w:t>
        <w:br/>
        <w:t xml:space="preserve">      "UnrealizedPnLPct": 0</w:t>
        <w:br/>
        <w:t xml:space="preserve">    }</w:t>
        <w:br/>
        <w:t xml:space="preserve">  }</w:t>
        <w:br/>
        <w:t>}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持仓字段说明</w:t>
      </w:r>
      <w:r>
        <w:rPr>
          <w:rFonts w:ascii="Microsoft YaHei" w:hAnsi="Microsoft YaHei" w:eastAsia="Microsoft YaHei"/>
          <w:b w:val="0"/>
          <w:i w:val="0"/>
          <w:sz w:val="21"/>
        </w:rPr>
        <w:t>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字段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类型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说明</w:t>
            </w:r>
          </w:p>
        </w:tc>
        <w:tc>
          <w:tcPr>
            <w:tcW w:type="dxa" w:w="2160"/>
            <w:shd w:fill="1A1A2E"/>
          </w:tcPr>
          <w:p>
            <w:r>
              <w:rPr>
                <w:b/>
                <w:color w:val="FFFFFF"/>
              </w:rPr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Cash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number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当前现金余额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TotalValue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number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总资产 = 现金 + 持仓市值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LastUpdated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string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最后更新日期 (yyyyMMdd)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Positions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object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持仓股票字典，key 为股票代码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Code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string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股票代码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Name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string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股票名称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Shares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int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持仓股数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AvgCost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number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平均成本价（含佣金）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CurrentPrice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number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当前市价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EntryDate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string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入场日期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EntryShortPrediction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string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入场时的 Short 预测值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LastStopLossDate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string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null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最近止损日期(用于冷却期检查)，未止损过为 null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LastFullTakeProfitDate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string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null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最近全部止盈日期(用于冷却期检查)，未触发为 null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Support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number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入场时记录的支撑位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Resistance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number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入场时记录的阻力位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StopLoss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number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入场时记录的止损位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UnrealizedPnL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number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浮动盈亏金额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UnrealizedPnLPct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number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浮动盈亏百分比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#### 3.2.2 transactions.csv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完整交易流水，永不清除。每笔买卖操作记录为一行。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date,code,name,action,price,shares,amount,commission,stamp_tax,total_cost,reason,entry_prediction</w:t>
        <w:br/>
        <w:t>20260522,601689,拓普集团,BUY,72.05,1300,-93665,-23.42,0,-93688.42,开仓_看多_健康,看多</w:t>
        <w:br/>
        <w:t>20260522,601689,拓普集团,SELL,71.50,1300,92950,23.24,92.95,92833.81,止损_StopLoss,看多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字段说明</w:t>
      </w:r>
      <w:r>
        <w:rPr>
          <w:rFonts w:ascii="Microsoft YaHei" w:hAnsi="Microsoft YaHei" w:eastAsia="Microsoft YaHei"/>
          <w:b w:val="0"/>
          <w:i w:val="0"/>
          <w:sz w:val="21"/>
        </w:rPr>
        <w:t>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字段</w:t>
            </w:r>
          </w:p>
        </w:tc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date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交易日期 (yyyyMMdd)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code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股票代码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name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股票名称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action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操作类型：BUY(买入) / SELL(卖出) / SELL_HALF(减仓)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price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成交价格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shares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成交股数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amount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成交金额(买入为负值，卖出为正值)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commission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佣金费用（绝对值）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stamp_tax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印花税（仅卖出时产生）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total_cost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总成本/净收入(买入为负值，卖出为正值)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reason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交易原因（如 开仓_看多_健康 / 止损_StopLoss / 预判转空_中性 等）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entry_prediction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该笔交易对应的入场时 Short 预测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#### 3.2.3 snapshot_YYYYMMDD.json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每日组合估值快照。记录当日总资产、持仓明细、日收益率、累计收益率、基准比较等。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{</w:t>
        <w:br/>
        <w:t xml:space="preserve">  "Date": "20260522",</w:t>
        <w:br/>
        <w:t xml:space="preserve">  "TotalValue": 985432.10,</w:t>
        <w:br/>
        <w:t xml:space="preserve">  "Cash": 872345.67,</w:t>
        <w:br/>
        <w:t xml:space="preserve">  "StockValue": 113086.43,</w:t>
        <w:br/>
        <w:t xml:space="preserve">  "DailyReturn": 0.15,</w:t>
        <w:br/>
        <w:t xml:space="preserve">  "TotalReturnPct": -1.46,</w:t>
        <w:br/>
        <w:t xml:space="preserve">  "Positions": 3,</w:t>
        <w:br/>
        <w:t xml:space="preserve">  "StockDetails": [</w:t>
        <w:br/>
        <w:t xml:space="preserve">    {</w:t>
        <w:br/>
        <w:t xml:space="preserve">      "Code": "601689",</w:t>
        <w:br/>
        <w:t xml:space="preserve">      "Name": "拓普集团",</w:t>
        <w:br/>
        <w:t xml:space="preserve">      "Shares": 1300,</w:t>
        <w:br/>
        <w:t xml:space="preserve">      "AvgCost": 72.05,</w:t>
        <w:br/>
        <w:t xml:space="preserve">      "CurrentPrice": 72.05,</w:t>
        <w:br/>
        <w:t xml:space="preserve">      "UnrealizedPnL": 0,</w:t>
        <w:br/>
        <w:t xml:space="preserve">      "UnrealizedPnLPct": 0.0</w:t>
        <w:br/>
        <w:t xml:space="preserve">    }</w:t>
        <w:br/>
        <w:t xml:space="preserve">  ],</w:t>
        <w:br/>
        <w:t xml:space="preserve">  "Benchmark": {</w:t>
        <w:br/>
        <w:t xml:space="preserve">    "Code": "000300.SH",</w:t>
        <w:br/>
        <w:t xml:space="preserve">    "Name": "沪深300",</w:t>
        <w:br/>
        <w:t xml:space="preserve">    "InitialValue": 3500.00,</w:t>
        <w:br/>
        <w:t xml:space="preserve">    "CurrentValue": 3800.00,</w:t>
        <w:br/>
        <w:t xml:space="preserve">    "BenchmarkReturnPct": 8.57,</w:t>
        <w:br/>
        <w:t xml:space="preserve">    "ExcessReturnPct": -2.15</w:t>
        <w:br/>
        <w:t xml:space="preserve">  }</w:t>
        <w:br/>
        <w:t>}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快照字段说明</w:t>
      </w:r>
      <w:r>
        <w:rPr>
          <w:rFonts w:ascii="Microsoft YaHei" w:hAnsi="Microsoft YaHei" w:eastAsia="Microsoft YaHei"/>
          <w:b w:val="0"/>
          <w:i w:val="0"/>
          <w:sz w:val="21"/>
        </w:rPr>
        <w:t>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字段</w:t>
            </w:r>
          </w:p>
        </w:tc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Date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快照日期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TotalValue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总资产（现金 + 持仓市值）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Cash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现金余额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StockValue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持仓市值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DailyReturn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日收益率(%)，与前一交易日快照对比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TotalReturnPct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累计收益率(%)，与初始资金对比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Positions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持仓股票数量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StockDetails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持仓明细列表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Benchmark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基准比较数据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#### 3.2.4 perf_summary.json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累计绩效指标汇总，每次引擎运行后覆盖写入。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{</w:t>
        <w:br/>
        <w:t xml:space="preserve">  "StartDate": "20260522",</w:t>
        <w:br/>
        <w:t xml:space="preserve">  "InitialCapital": 1000000,</w:t>
        <w:br/>
        <w:t xml:space="preserve">  "CurrentValue": 985432.10,</w:t>
        <w:br/>
        <w:t xml:space="preserve">  "TotalReturnPct": -1.46,</w:t>
        <w:br/>
        <w:t xml:space="preserve">  "MaxDrawdown": -2.1,</w:t>
        <w:br/>
        <w:t xml:space="preserve">  "WinRate": 0.0,</w:t>
        <w:br/>
        <w:t xml:space="preserve">  "TotalTrades": 3,</w:t>
        <w:br/>
        <w:t xml:space="preserve">  "WinningTrades": 0,</w:t>
        <w:br/>
        <w:t xml:space="preserve">  "LosingTrades": 0,</w:t>
        <w:br/>
        <w:t xml:space="preserve">  "ConsecutiveLosses": 3,</w:t>
        <w:br/>
        <w:t xml:space="preserve">  "PerStock": {</w:t>
        <w:br/>
        <w:t xml:space="preserve">    "601689": { "Trades": 1, "WinRate": 0.0, "TotalPnL": -854.59 }</w:t>
        <w:br/>
        <w:t xml:space="preserve">  },</w:t>
        <w:br/>
        <w:t xml:space="preserve">  "RiskMetrics": {</w:t>
        <w:br/>
        <w:t xml:space="preserve">    "MaxDrawdown": -2.1,</w:t>
        <w:br/>
        <w:t xml:space="preserve">    "MaxDrawdownDate": "20260525",</w:t>
        <w:br/>
        <w:t xml:space="preserve">    "AvgStopLossDistance": 12.5,</w:t>
        <w:br/>
        <w:t xml:space="preserve">    "ConsecutiveLosses": 3,</w:t>
        <w:br/>
        <w:t xml:space="preserve">    "SharpeRatio": null,</w:t>
        <w:br/>
        <w:t xml:space="preserve">    "IsDrawdownAlert": false</w:t>
        <w:br/>
        <w:t xml:space="preserve">  },</w:t>
        <w:br/>
        <w:t xml:space="preserve">  "Benchmark": {</w:t>
        <w:br/>
        <w:t xml:space="preserve">    "Code": "000300.SH",</w:t>
        <w:br/>
        <w:t xml:space="preserve">    "Name": "沪深300",</w:t>
        <w:br/>
        <w:t xml:space="preserve">    "InitialValue": 3500.00,</w:t>
        <w:br/>
        <w:t xml:space="preserve">    "CurrentValue": 3800.00,</w:t>
        <w:br/>
        <w:t xml:space="preserve">    "BenchmarkReturnPct": 8.57,</w:t>
        <w:br/>
        <w:t xml:space="preserve">    "ExcessReturnPct": -2.15</w:t>
        <w:br/>
        <w:t xml:space="preserve">  }</w:t>
        <w:br/>
        <w:t>}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绩效字段说明</w:t>
      </w:r>
      <w:r>
        <w:rPr>
          <w:rFonts w:ascii="Microsoft YaHei" w:hAnsi="Microsoft YaHei" w:eastAsia="Microsoft YaHei"/>
          <w:b w:val="0"/>
          <w:i w:val="0"/>
          <w:sz w:val="21"/>
        </w:rPr>
        <w:t>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字段</w:t>
            </w:r>
          </w:p>
        </w:tc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StartDate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模拟交易起始日期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InitialCapital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初始资金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CurrentValue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当前总资产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TotalReturnPct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累计收益率(%)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MaxDrawdown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历史最大回撤(%)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WinRate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胜率(%)，已完整平仓的交易中盈利比例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TotalTrades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已完整平仓的交易总数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WinningTrades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盈利交易数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LosingTrades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亏损交易数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ConsecutiveLosses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当前连续失败次数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PerStock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按股票归因的统计数据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RiskMetrics.MaxDrawdown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历史最大回撤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RiskMetrics.MaxDrawdownDate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最大回撤发生日期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RiskMetrics.SharpeRatio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夏普比率(运行前20日显示 null)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RiskMetrics.IsDrawdownAlert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最大回撤是否超过预警线(8%)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Benchmark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沪深300基准比较</w:t>
            </w:r>
          </w:p>
        </w:tc>
      </w:tr>
    </w:tbl>
    <w:p>
      <w:pPr>
        <w:spacing w:after="40"/>
      </w:pPr>
    </w:p>
    <w:p>
      <w:pPr>
        <w:pStyle w:val="Heading3"/>
      </w:pPr>
      <w:r>
        <w:t>3.3 行情 API 降级实现方案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API 状态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开新仓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已有持仓止损检查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净值计算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正常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正常执行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正常检查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正常计算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降级（备API可用）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正常执行，数据标注 [1B]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正常检查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正常计算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全部行情API不可用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跳过当日开仓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用保守估计价检查止损 [C]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用昨日净值，标注 [C]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保守估计价定义</w:t>
      </w:r>
      <w:r>
        <w:rPr>
          <w:rFonts w:ascii="Microsoft YaHei" w:hAnsi="Microsoft YaHei" w:eastAsia="Microsoft YaHei"/>
          <w:b w:val="0"/>
          <w:i w:val="0"/>
          <w:sz w:val="21"/>
        </w:rPr>
        <w:t>（三重回退）：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第1优先: min(昨日收盘, 前日收盘)</w:t>
        <w:br/>
        <w:t>第2优先: 昨日收盘（前日收盘缺失时）</w:t>
        <w:br/>
        <w:t>第3优先: StopLoss x 1.0（前日收盘也缺失时，直接触发止损）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>设计原则：API 全挂属于极端情况，止损检查宁严勿松。保守估计价使用历史最低价，确保不遗漏真实止损信号。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/>
          <w:i/>
          <w:color w:val="555555"/>
          <w:sz w:val="21"/>
        </w:rPr>
        <w:t>状态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：已实现（2026-05-23）— 三级降级方案已全部编码并测试通过。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缓存文件路径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：主行情数据缓存于 </w:t>
      </w:r>
      <w:r>
        <w:rPr>
          <w:rFonts w:ascii="Consolas" w:hAnsi="Consolas" w:eastAsia="Consolas"/>
          <w:b w:val="0"/>
          <w:i w:val="0"/>
          <w:color w:val="E74C3C"/>
          <w:sz w:val="18"/>
        </w:rPr>
        <w:t>每日荐股/分析逻辑/stock_data_raw.json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，板块数据缓存于 </w:t>
      </w:r>
      <w:r>
        <w:rPr>
          <w:rFonts w:ascii="Consolas" w:hAnsi="Consolas" w:eastAsia="Consolas"/>
          <w:b w:val="0"/>
          <w:i w:val="0"/>
          <w:color w:val="E74C3C"/>
          <w:sz w:val="18"/>
        </w:rPr>
        <w:t>每日荐股/分析逻辑/sector_data.json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，评估数据缓存于 </w:t>
      </w:r>
      <w:r>
        <w:rPr>
          <w:rFonts w:ascii="Consolas" w:hAnsi="Consolas" w:eastAsia="Consolas"/>
          <w:b w:val="0"/>
          <w:i w:val="0"/>
          <w:color w:val="E74C3C"/>
          <w:sz w:val="18"/>
        </w:rPr>
        <w:t>重点股票/次日评估/评估数据_YYYYMMDD.json</w:t>
      </w:r>
      <w:r>
        <w:rPr>
          <w:rFonts w:ascii="Microsoft YaHei" w:hAnsi="Microsoft YaHei" w:eastAsia="Microsoft YaHei"/>
          <w:b w:val="0"/>
          <w:i w:val="0"/>
          <w:sz w:val="21"/>
        </w:rPr>
        <w:t>。</w:t>
      </w:r>
    </w:p>
    <w:p>
      <w:pPr>
        <w:pStyle w:val="Heading3"/>
      </w:pPr>
      <w:r>
        <w:t>3.4 数据保留策略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数据类型</w:t>
            </w:r>
          </w:p>
        </w:tc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保留策略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transactions.csv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永不清除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snapshot_YYYYMMDD.json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保留最近 365 天，满一年自动归档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perf_summary.json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始终保留最新版本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positions.json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始终保留最新版本</w:t>
            </w:r>
          </w:p>
        </w:tc>
      </w:tr>
    </w:tbl>
    <w:p>
      <w:pPr>
        <w:spacing w:after="40"/>
      </w:pP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四、绩效指标</w:t>
      </w:r>
    </w:p>
    <w:p>
      <w:pPr>
        <w:pStyle w:val="Heading3"/>
      </w:pPr>
      <w:r>
        <w:t>4.1 核心指标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指标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计算公式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总收益率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(当前净值 / 初始资金 - 1) x 100%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衡量整体盈利水平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日收益率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(当日净值 / 前一交易日净值 - 1) x 100%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衡量每日波动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最大回撤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min(当日净值 / 前期最高净值 - 1) x 100%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衡量组合风险水平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胜率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盈利交易数 / 总交易数 x 100%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已完整平仓的交易统计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连续失败次数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连续净盈亏 &lt;= 0 的交易笔数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连败次数可触发预警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夏普比率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预留（详见 4.2）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风险调整后收益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超额收益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组合总收益率 - 基准总收益率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相对沪深300的表现</w:t>
            </w:r>
          </w:p>
        </w:tc>
      </w:tr>
    </w:tbl>
    <w:p>
      <w:pPr>
        <w:spacing w:after="40"/>
      </w:pPr>
    </w:p>
    <w:p>
      <w:pPr>
        <w:pStyle w:val="Heading3"/>
      </w:pPr>
      <w:r>
        <w:t>4.2 夏普比率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夏普比率基于日频收益率计算，其生效条件如下：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生效条件</w:t>
      </w:r>
      <w:r>
        <w:rPr>
          <w:rFonts w:ascii="Microsoft YaHei" w:hAnsi="Microsoft YaHei" w:eastAsia="Microsoft YaHei"/>
          <w:b w:val="0"/>
          <w:sz w:val="21"/>
        </w:rPr>
        <w:t>：至少需要 20 个交易日样本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前 20 个交易日内</w:t>
      </w:r>
      <w:r>
        <w:rPr>
          <w:rFonts w:ascii="Microsoft YaHei" w:hAnsi="Microsoft YaHei" w:eastAsia="Microsoft YaHei"/>
          <w:b w:val="0"/>
          <w:sz w:val="21"/>
        </w:rPr>
        <w:t xml:space="preserve">：SharpeRatio 字段显示 </w:t>
      </w:r>
      <w:r>
        <w:rPr>
          <w:rFonts w:ascii="Consolas" w:hAnsi="Consolas" w:eastAsia="Consolas"/>
          <w:b w:val="0"/>
          <w:color w:val="E74C3C"/>
          <w:sz w:val="18"/>
        </w:rPr>
        <w:t>null</w:t>
      </w:r>
      <w:r>
        <w:rPr>
          <w:rFonts w:ascii="Microsoft YaHei" w:hAnsi="Microsoft YaHei" w:eastAsia="Microsoft YaHei"/>
          <w:b w:val="0"/>
          <w:sz w:val="21"/>
        </w:rPr>
        <w:t>，不触发任何预警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计算公式（预留，待样本充足后启用）：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SharpeRatio = (日均收益率 - 无风险利率) / 日收益率标准差 x sqrt(252)</w:t>
      </w:r>
    </w:p>
    <w:p>
      <w:pPr>
        <w:pStyle w:val="Heading3"/>
      </w:pPr>
      <w:r>
        <w:t>4.3 基准比较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基准标的</w:t>
      </w:r>
      <w:r>
        <w:rPr>
          <w:rFonts w:ascii="Microsoft YaHei" w:hAnsi="Microsoft YaHei" w:eastAsia="Microsoft YaHei"/>
          <w:b w:val="0"/>
          <w:sz w:val="21"/>
        </w:rPr>
        <w:t>：沪深 300 指数（代码 000300.SH）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数据获取</w:t>
      </w:r>
      <w:r>
        <w:rPr>
          <w:rFonts w:ascii="Microsoft YaHei" w:hAnsi="Microsoft YaHei" w:eastAsia="Microsoft YaHei"/>
          <w:b w:val="0"/>
          <w:sz w:val="21"/>
        </w:rPr>
        <w:t>：每天 09:35 从腾讯行情 API 获取沪深 300 最新值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初始值</w:t>
      </w:r>
      <w:r>
        <w:rPr>
          <w:rFonts w:ascii="Microsoft YaHei" w:hAnsi="Microsoft YaHei" w:eastAsia="Microsoft YaHei"/>
          <w:b w:val="0"/>
          <w:sz w:val="21"/>
        </w:rPr>
        <w:t>：首次运行引擎时记录 09:35 的沪深 300 值作为基准初始值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日收益率计算</w:t>
      </w:r>
      <w:r>
        <w:rPr>
          <w:rFonts w:ascii="Microsoft YaHei" w:hAnsi="Microsoft YaHei" w:eastAsia="Microsoft YaHei"/>
          <w:b w:val="0"/>
          <w:sz w:val="21"/>
        </w:rPr>
        <w:t>：使用 09:35 截面数据，保持与组合净值同口径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基准日收益率 = (T 日 09:35 基准值 / T-1 日 09:35 基准值) - 1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超额收益率</w:t>
      </w:r>
      <w:r>
        <w:rPr>
          <w:rFonts w:ascii="Microsoft YaHei" w:hAnsi="Microsoft YaHei" w:eastAsia="Microsoft YaHei"/>
          <w:b w:val="0"/>
          <w:sz w:val="21"/>
        </w:rPr>
        <w:t xml:space="preserve"> = 组合总收益率 - 基准总收益率</w:t>
      </w:r>
    </w:p>
    <w:p>
      <w:pPr>
        <w:pStyle w:val="Heading3"/>
      </w:pPr>
      <w:r>
        <w:t>4.4 自动预警条件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条件</w:t>
            </w:r>
          </w:p>
        </w:tc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动作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最大回撤 &gt; 8%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红旗警告，建议暂停开仓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连续亏损交易 &gt;= 5 笔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红旗警告，建议审视信号有效性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单笔亏损 &gt; 总资产 2%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黄旗警告，标记该交易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胜率 &lt; 40% 且总交易 &gt;= 10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黄旗警告，建议审视开仓条件</w:t>
            </w:r>
          </w:p>
        </w:tc>
      </w:tr>
    </w:tbl>
    <w:p>
      <w:pPr>
        <w:spacing w:after="40"/>
      </w:pPr>
    </w:p>
    <w:p>
      <w:pPr>
        <w:pStyle w:val="Heading3"/>
      </w:pPr>
      <w:r>
        <w:t>4.5 连续亏损计数器规则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单笔完整平仓（全部卖出）后判断：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净盈亏 &gt; 0</w:t>
      </w:r>
      <w:r>
        <w:rPr>
          <w:rFonts w:ascii="Microsoft YaHei" w:hAnsi="Microsoft YaHei" w:eastAsia="Microsoft YaHei"/>
          <w:b w:val="0"/>
          <w:sz w:val="21"/>
        </w:rPr>
        <w:t>：计数器重置为 0（记为"成功"）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净盈亏 &lt;= 0</w:t>
      </w:r>
      <w:r>
        <w:rPr>
          <w:rFonts w:ascii="Microsoft YaHei" w:hAnsi="Microsoft YaHei" w:eastAsia="Microsoft YaHei"/>
          <w:b w:val="0"/>
          <w:sz w:val="21"/>
        </w:rPr>
        <w:t>：计数器 +1（记为"失败"，包含保本交易）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P5 止盈减仓（SELL_HALF）不计入连续亏损统计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仅完整平仓时才结算盈亏，防止减仓动作干扰预警准确性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五、冷却期规则</w:t>
      </w:r>
    </w:p>
    <w:p>
      <w:pPr>
        <w:pStyle w:val="Heading3"/>
      </w:pPr>
      <w:r>
        <w:t>5.1 止损后冷却期（5 个交易日）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触发场景</w:t>
      </w:r>
      <w:r>
        <w:rPr>
          <w:rFonts w:ascii="Microsoft YaHei" w:hAnsi="Microsoft YaHei" w:eastAsia="Microsoft YaHei"/>
          <w:b w:val="0"/>
          <w:sz w:val="21"/>
        </w:rPr>
        <w:t>：P1 止损、P2 趋势恶化、P3 预判转空导致全部卖出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冷却时长</w:t>
      </w:r>
      <w:r>
        <w:rPr>
          <w:rFonts w:ascii="Microsoft YaHei" w:hAnsi="Microsoft YaHei" w:eastAsia="Microsoft YaHei"/>
          <w:b w:val="0"/>
          <w:sz w:val="21"/>
        </w:rPr>
        <w:t>：5 个交易日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计算方式</w:t>
      </w:r>
      <w:r>
        <w:rPr>
          <w:rFonts w:ascii="Microsoft YaHei" w:hAnsi="Microsoft YaHei" w:eastAsia="Microsoft YaHei"/>
          <w:b w:val="0"/>
          <w:sz w:val="21"/>
        </w:rPr>
        <w:t xml:space="preserve">：从 </w:t>
      </w:r>
      <w:r>
        <w:rPr>
          <w:rFonts w:ascii="Consolas" w:hAnsi="Consolas" w:eastAsia="Consolas"/>
          <w:b w:val="0"/>
          <w:color w:val="E74C3C"/>
          <w:sz w:val="18"/>
        </w:rPr>
        <w:t>LastStopLossDate</w:t>
      </w:r>
      <w:r>
        <w:rPr>
          <w:rFonts w:ascii="Microsoft YaHei" w:hAnsi="Microsoft YaHei" w:eastAsia="Microsoft YaHei"/>
          <w:b w:val="0"/>
          <w:sz w:val="21"/>
        </w:rPr>
        <w:t xml:space="preserve"> 日期起算，至当日间隔 &lt; 5 个交易日则禁止开仓该股票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设计目的</w:t>
      </w:r>
      <w:r>
        <w:rPr>
          <w:rFonts w:ascii="Microsoft YaHei" w:hAnsi="Microsoft YaHei" w:eastAsia="Microsoft YaHei"/>
          <w:b w:val="0"/>
          <w:sz w:val="21"/>
        </w:rPr>
        <w:t>：防止 whipsaw（反复打脸），避免同一只股票刚止损又买入导致连续亏损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冷却期期满后</w:t>
      </w:r>
      <w:r>
        <w:rPr>
          <w:rFonts w:ascii="Microsoft YaHei" w:hAnsi="Microsoft YaHei" w:eastAsia="Microsoft YaHei"/>
          <w:b w:val="0"/>
          <w:sz w:val="21"/>
        </w:rPr>
        <w:t>：正常参与开仓检查</w:t>
      </w:r>
    </w:p>
    <w:p>
      <w:pPr>
        <w:pStyle w:val="Heading3"/>
      </w:pPr>
      <w:r>
        <w:t>5.2 止盈后冷却期（3 个交易日）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触发场景</w:t>
      </w:r>
      <w:r>
        <w:rPr>
          <w:rFonts w:ascii="Microsoft YaHei" w:hAnsi="Microsoft YaHei" w:eastAsia="Microsoft YaHei"/>
          <w:b w:val="0"/>
          <w:sz w:val="21"/>
        </w:rPr>
        <w:t>：P4 全部止盈导致全部卖出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冷却时长</w:t>
      </w:r>
      <w:r>
        <w:rPr>
          <w:rFonts w:ascii="Microsoft YaHei" w:hAnsi="Microsoft YaHei" w:eastAsia="Microsoft YaHei"/>
          <w:b w:val="0"/>
          <w:sz w:val="21"/>
        </w:rPr>
        <w:t>：3 个交易日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计算方式</w:t>
      </w:r>
      <w:r>
        <w:rPr>
          <w:rFonts w:ascii="Microsoft YaHei" w:hAnsi="Microsoft YaHei" w:eastAsia="Microsoft YaHei"/>
          <w:b w:val="0"/>
          <w:sz w:val="21"/>
        </w:rPr>
        <w:t xml:space="preserve">：从 </w:t>
      </w:r>
      <w:r>
        <w:rPr>
          <w:rFonts w:ascii="Consolas" w:hAnsi="Consolas" w:eastAsia="Consolas"/>
          <w:b w:val="0"/>
          <w:color w:val="E74C3C"/>
          <w:sz w:val="18"/>
        </w:rPr>
        <w:t>LastFullTakeProfitDate</w:t>
      </w:r>
      <w:r>
        <w:rPr>
          <w:rFonts w:ascii="Microsoft YaHei" w:hAnsi="Microsoft YaHei" w:eastAsia="Microsoft YaHei"/>
          <w:b w:val="0"/>
          <w:sz w:val="21"/>
        </w:rPr>
        <w:t xml:space="preserve"> 日期起算，至当日间隔 &lt; 3 个交易日则禁止开仓该股票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设计目的</w:t>
      </w:r>
      <w:r>
        <w:rPr>
          <w:rFonts w:ascii="Microsoft YaHei" w:hAnsi="Microsoft YaHei" w:eastAsia="Microsoft YaHei"/>
          <w:b w:val="0"/>
          <w:sz w:val="21"/>
        </w:rPr>
        <w:t>：P4 全部止盈后股价往往处于短期超买状态，立即重新入场可能追高。3 日冷却期既避免追高，又不至于错过趋势延续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冷却期期满后</w:t>
      </w:r>
      <w:r>
        <w:rPr>
          <w:rFonts w:ascii="Microsoft YaHei" w:hAnsi="Microsoft YaHei" w:eastAsia="Microsoft YaHei"/>
          <w:b w:val="0"/>
          <w:sz w:val="21"/>
        </w:rPr>
        <w:t>：正常参与开仓检查</w:t>
      </w:r>
    </w:p>
    <w:p>
      <w:pPr>
        <w:pStyle w:val="Heading3"/>
      </w:pPr>
      <w:r>
        <w:t>5.3 冷却期字段标记</w:t>
      </w:r>
    </w:p>
    <w:p>
      <w:pPr>
        <w:pStyle w:val="ListBullet"/>
      </w:pPr>
      <w:r>
        <w:rPr>
          <w:rFonts w:ascii="Consolas" w:hAnsi="Consolas" w:eastAsia="Consolas"/>
          <w:b w:val="0"/>
          <w:color w:val="E74C3C"/>
          <w:sz w:val="18"/>
        </w:rPr>
        <w:t>LastStopLossDate</w:t>
      </w:r>
      <w:r>
        <w:rPr>
          <w:rFonts w:ascii="Microsoft YaHei" w:hAnsi="Microsoft YaHei" w:eastAsia="Microsoft YaHei"/>
          <w:b w:val="0"/>
          <w:sz w:val="21"/>
        </w:rPr>
        <w:t>（string | null）：未止损过的为 null，止损后标记当日日期</w:t>
      </w:r>
    </w:p>
    <w:p>
      <w:pPr>
        <w:pStyle w:val="ListBullet"/>
      </w:pPr>
      <w:r>
        <w:rPr>
          <w:rFonts w:ascii="Consolas" w:hAnsi="Consolas" w:eastAsia="Consolas"/>
          <w:b w:val="0"/>
          <w:color w:val="E74C3C"/>
          <w:sz w:val="18"/>
        </w:rPr>
        <w:t>LastFullTakeProfitDate</w:t>
      </w:r>
      <w:r>
        <w:rPr>
          <w:rFonts w:ascii="Microsoft YaHei" w:hAnsi="Microsoft YaHei" w:eastAsia="Microsoft YaHei"/>
          <w:b w:val="0"/>
          <w:sz w:val="21"/>
        </w:rPr>
        <w:t>（string | null）：未触发 P4 的为 null，触发后标记当日日期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两个字段独立维护，互不干扰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六、特殊处理</w:t>
      </w:r>
    </w:p>
    <w:p>
      <w:pPr>
        <w:pStyle w:val="Heading3"/>
      </w:pPr>
      <w:r>
        <w:t>6.1 涨跌停处理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#### 6.1.1 涨停（不开仓）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检测条件</w:t>
      </w:r>
      <w:r>
        <w:rPr>
          <w:rFonts w:ascii="Microsoft YaHei" w:hAnsi="Microsoft YaHei" w:eastAsia="Microsoft YaHei"/>
          <w:b w:val="0"/>
          <w:sz w:val="21"/>
        </w:rPr>
        <w:t>：当日开盘涨跌幅 &gt;= 9.4%（考虑 A 股 10% 涨跌停限制的误差）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处理方式</w:t>
      </w:r>
      <w:r>
        <w:rPr>
          <w:rFonts w:ascii="Microsoft YaHei" w:hAnsi="Microsoft YaHei" w:eastAsia="Microsoft YaHei"/>
          <w:b w:val="0"/>
          <w:sz w:val="21"/>
        </w:rPr>
        <w:t>：跳过该股当日开仓，日志记录"涨停，跳过"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设计理由</w:t>
      </w:r>
      <w:r>
        <w:rPr>
          <w:rFonts w:ascii="Microsoft YaHei" w:hAnsi="Microsoft YaHei" w:eastAsia="Microsoft YaHei"/>
          <w:b w:val="0"/>
          <w:sz w:val="21"/>
        </w:rPr>
        <w:t>：涨停时无法以开盘价成交，且涨停后次日大概率高开，追涨风险大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#### 6.1.2 跌停（不卖出，标记未成交）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检测条件</w:t>
      </w:r>
      <w:r>
        <w:rPr>
          <w:rFonts w:ascii="Microsoft YaHei" w:hAnsi="Microsoft YaHei" w:eastAsia="Microsoft YaHei"/>
          <w:b w:val="0"/>
          <w:sz w:val="21"/>
        </w:rPr>
        <w:t>：触发出场检查时，当日涨跌幅 &lt;= -9.4%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处理方式</w:t>
      </w:r>
      <w:r>
        <w:rPr>
          <w:rFonts w:ascii="Microsoft YaHei" w:hAnsi="Microsoft YaHei" w:eastAsia="Microsoft YaHei"/>
          <w:b w:val="0"/>
          <w:sz w:val="21"/>
        </w:rPr>
        <w:t>：标记该笔卖出为"未成交"，持续保留持仓，等待后续交易日恢复流动性后再执行卖出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日志标记</w:t>
      </w:r>
      <w:r>
        <w:rPr>
          <w:rFonts w:ascii="Microsoft YaHei" w:hAnsi="Microsoft YaHei" w:eastAsia="Microsoft YaHei"/>
          <w:b w:val="0"/>
          <w:sz w:val="21"/>
        </w:rPr>
        <w:t>：记录"触发止损但跌停，标记未成交"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设计理由</w:t>
      </w:r>
      <w:r>
        <w:rPr>
          <w:rFonts w:ascii="Microsoft YaHei" w:hAnsi="Microsoft YaHei" w:eastAsia="Microsoft YaHei"/>
          <w:b w:val="0"/>
          <w:sz w:val="21"/>
        </w:rPr>
        <w:t>：A 股有涨跌停限制，跌停时卖单无法成交，模拟交易不应记录虚假成交</w:t>
      </w:r>
    </w:p>
    <w:p>
      <w:pPr>
        <w:pStyle w:val="Heading3"/>
      </w:pPr>
      <w:r>
        <w:t>6.2 除权除息处理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#### 6.2.1 调整因子方案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采用调整因子法处理除权除息，而非暂停止损检查。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调整因子定义</w:t>
      </w:r>
      <w:r>
        <w:rPr>
          <w:rFonts w:ascii="Microsoft YaHei" w:hAnsi="Microsoft YaHei" w:eastAsia="Microsoft YaHei"/>
          <w:b w:val="0"/>
          <w:i w:val="0"/>
          <w:sz w:val="21"/>
        </w:rPr>
        <w:t>：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Ratio = 除权后开盘价 / 除权前收盘价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调整对象</w:t>
      </w:r>
      <w:r>
        <w:rPr>
          <w:rFonts w:ascii="Microsoft YaHei" w:hAnsi="Microsoft YaHei" w:eastAsia="Microsoft YaHei"/>
          <w:b w:val="0"/>
          <w:i w:val="0"/>
          <w:sz w:val="21"/>
        </w:rPr>
        <w:t>：将该股票的所有 KeyLevels 等比调整：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调整后 StopLoss    = StopLoss    x Ratio</w:t>
        <w:br/>
        <w:t>调整后 Support     = Support     x Ratio</w:t>
        <w:br/>
        <w:t>调整后 Resistance  = Resistance  x Ratio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调整时机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：引擎每日运行时，检查 </w:t>
      </w:r>
      <w:r>
        <w:rPr>
          <w:rFonts w:ascii="Consolas" w:hAnsi="Consolas" w:eastAsia="Consolas"/>
          <w:b w:val="0"/>
          <w:i w:val="0"/>
          <w:color w:val="E74C3C"/>
          <w:sz w:val="18"/>
        </w:rPr>
        <w:t>ex_dividend_dates.json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中当日是否有持仓股除权除息。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#### 6.2.2 ex_dividend_dates.json 配置格式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{</w:t>
        <w:br/>
        <w:t xml:space="preserve">  "20260528": [</w:t>
        <w:br/>
        <w:t xml:space="preserve">    { "Code": "601689", "Name": "拓普集团", "Type": "cash_dividend", "Ratio": 0.98 },</w:t>
        <w:br/>
        <w:t xml:space="preserve">    { "Code": "600036", "Name": "招商银行", "Type": "cash_dividend", "Ratio": 0.97 }</w:t>
        <w:br/>
        <w:t xml:space="preserve">  ]</w:t>
        <w:br/>
        <w:t>}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字段</w:t>
            </w:r>
          </w:p>
        </w:tc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日期 key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除权除息日 (yyyyMMdd)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Code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股票代码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Name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股票名称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Type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类型：cash_dividend(现金分红) / stock_dividend(送股)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Ratio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调整因子 = 除权后开盘价 / 除权前收盘价</w:t>
            </w:r>
          </w:p>
        </w:tc>
      </w:tr>
    </w:tbl>
    <w:p>
      <w:pPr>
        <w:spacing w:after="40"/>
      </w:pPr>
    </w:p>
    <w:p>
      <w:pPr>
        <w:spacing w:after="80" w:before="80"/>
        <w:ind w:left="567"/>
      </w:pPr>
      <w:r>
        <w:rPr>
          <w:rFonts w:ascii="Microsoft YaHei" w:hAnsi="Microsoft YaHei" w:eastAsia="Microsoft YaHei"/>
          <w:b/>
          <w:i/>
          <w:color w:val="555555"/>
          <w:sz w:val="21"/>
        </w:rPr>
        <w:t>说明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：Ratio &lt; 1 表示除权后价格下降（现金分红或送股），&gt; 1 的情况极少（配股等），引擎一并支持。若无配置则不做调整，跳过该日。此配置文件需每月初手动更新。</w:t>
      </w:r>
    </w:p>
    <w:p>
      <w:pPr>
        <w:pStyle w:val="Heading3"/>
      </w:pPr>
      <w:r>
        <w:t>6.3 Support / Resistance 倒挂处理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#### 6.3.1 问题描述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现有评估数据中，部分股票的 Support 值大于 Resistance 值（传统技术分析中 Support 应低于 Resistance），表明数据可能存在异常。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#### 6.3.2 处理方式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引擎不阻塞运行，但执行以下措施：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前置校验</w:t>
      </w:r>
      <w:r>
        <w:rPr>
          <w:rFonts w:ascii="Microsoft YaHei" w:hAnsi="Microsoft YaHei" w:eastAsia="Microsoft YaHei"/>
          <w:b w:val="0"/>
          <w:sz w:val="21"/>
        </w:rPr>
        <w:t xml:space="preserve">：数据质量检查阶段检测到 </w:t>
      </w:r>
      <w:r>
        <w:rPr>
          <w:rFonts w:ascii="Consolas" w:hAnsi="Consolas" w:eastAsia="Consolas"/>
          <w:b w:val="0"/>
          <w:color w:val="E74C3C"/>
          <w:sz w:val="18"/>
        </w:rPr>
        <w:t>Support &gt;= Resistance</w:t>
      </w:r>
      <w:r>
        <w:rPr>
          <w:rFonts w:ascii="Microsoft YaHei" w:hAnsi="Microsoft YaHei" w:eastAsia="Microsoft YaHei"/>
          <w:b w:val="0"/>
          <w:sz w:val="21"/>
        </w:rPr>
        <w:t xml:space="preserve"> 时，输出 </w:t>
      </w:r>
      <w:r>
        <w:rPr>
          <w:rFonts w:ascii="Consolas" w:hAnsi="Consolas" w:eastAsia="Consolas"/>
          <w:b w:val="0"/>
          <w:color w:val="E74C3C"/>
          <w:sz w:val="18"/>
        </w:rPr>
        <w:t>RED WARNING</w:t>
      </w:r>
      <w:r>
        <w:rPr>
          <w:rFonts w:ascii="Microsoft YaHei" w:hAnsi="Microsoft YaHei" w:eastAsia="Microsoft YaHei"/>
          <w:b w:val="0"/>
          <w:sz w:val="21"/>
        </w:rPr>
        <w:t xml:space="preserve"> 日志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跳过质量校验</w:t>
      </w:r>
      <w:r>
        <w:rPr>
          <w:rFonts w:ascii="Microsoft YaHei" w:hAnsi="Microsoft YaHei" w:eastAsia="Microsoft YaHei"/>
          <w:b w:val="0"/>
          <w:sz w:val="21"/>
        </w:rPr>
        <w:t>：对该股票跳过第 6.5 节数据质量检查中的 Support/Resistance 合理性校验项（</w:t>
      </w:r>
      <w:r>
        <w:rPr>
          <w:rFonts w:ascii="Consolas" w:hAnsi="Consolas" w:eastAsia="Consolas"/>
          <w:b w:val="0"/>
          <w:color w:val="E74C3C"/>
          <w:sz w:val="18"/>
        </w:rPr>
        <w:t>Support &lt; Price x 1.5</w:t>
      </w:r>
      <w:r>
        <w:rPr>
          <w:rFonts w:ascii="Microsoft YaHei" w:hAnsi="Microsoft YaHei" w:eastAsia="Microsoft YaHei"/>
          <w:b w:val="0"/>
          <w:sz w:val="21"/>
        </w:rPr>
        <w:t xml:space="preserve"> 和 </w:t>
      </w:r>
      <w:r>
        <w:rPr>
          <w:rFonts w:ascii="Consolas" w:hAnsi="Consolas" w:eastAsia="Consolas"/>
          <w:b w:val="0"/>
          <w:color w:val="E74C3C"/>
          <w:sz w:val="18"/>
        </w:rPr>
        <w:t>Resistance &gt; Price x 0.5</w:t>
      </w:r>
      <w:r>
        <w:rPr>
          <w:rFonts w:ascii="Microsoft YaHei" w:hAnsi="Microsoft YaHei" w:eastAsia="Microsoft YaHei"/>
          <w:b w:val="0"/>
          <w:sz w:val="21"/>
        </w:rPr>
        <w:t>）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不受影响的部分</w:t>
      </w:r>
      <w:r>
        <w:rPr>
          <w:rFonts w:ascii="Microsoft YaHei" w:hAnsi="Microsoft YaHei" w:eastAsia="Microsoft YaHei"/>
          <w:b w:val="0"/>
          <w:sz w:val="21"/>
        </w:rPr>
        <w:t>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R2/R3 使用方案B（EntryPrice x 固定倍数），不依赖 KeyLevels，不受影响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P1 止损依赖 StopLoss，该字段独立于 Support/Resistance，不受影响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其他股票</w:t>
      </w:r>
      <w:r>
        <w:rPr>
          <w:rFonts w:ascii="Microsoft YaHei" w:hAnsi="Microsoft YaHei" w:eastAsia="Microsoft YaHei"/>
          <w:b w:val="0"/>
          <w:sz w:val="21"/>
        </w:rPr>
        <w:t>：不受影响，正常执行全部检查</w:t>
      </w:r>
    </w:p>
    <w:p>
      <w:pPr>
        <w:pStyle w:val="Heading3"/>
      </w:pPr>
      <w:r>
        <w:t>6.4 涨跌停无法成交处理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前述跌停场景的补充说明：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触发止损当日若该股跌停，记录"未成交"标记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持续跟踪，在后续交易日继续尝试卖出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绩效报告中标注"模拟滑点未含涨跌停无法成交风险"</w:t>
      </w:r>
    </w:p>
    <w:p>
      <w:pPr>
        <w:pStyle w:val="Heading3"/>
      </w:pPr>
      <w:r>
        <w:t>6.5 数据质量检查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每次运行引擎前，对评估数据执行以下质量检查。检查不通过则当日跳过该股开仓，但已有持仓的止损检查不受影响。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检查项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规则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失败处理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KeyLevels 完整性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Support / Resistance / StopLoss 均存在且为正数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跳过当日开仓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Support vs Price 合理性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Support &lt; Price x 1.5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记录警告日志，仍执行已有持仓止损检查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Resistance vs Price 合理性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Resistance &gt; Price x 0.5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记录警告日志，仍执行已有持仓止损检查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StopLoss 合理性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StopLoss &lt; Price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跳过该股开仓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CompositeScore 范围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0 ~ 100 之间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跳过该股开仓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必要字段存在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Prediction.Short / TrendHealth.Label / Price / Code 均存在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跳过该股</w:t>
            </w:r>
          </w:p>
        </w:tc>
      </w:tr>
    </w:tbl>
    <w:p>
      <w:pPr>
        <w:spacing w:after="40"/>
      </w:pPr>
    </w:p>
    <w:p>
      <w:pPr>
        <w:spacing w:after="80" w:before="80"/>
        <w:ind w:left="567"/>
      </w:pPr>
      <w:r>
        <w:rPr>
          <w:rFonts w:ascii="Microsoft YaHei" w:hAnsi="Microsoft YaHei" w:eastAsia="Microsoft YaHei"/>
          <w:b/>
          <w:i/>
          <w:color w:val="555555"/>
          <w:sz w:val="21"/>
        </w:rPr>
        <w:t>设计理由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：输入数据异常时，宁可跳过也不能让引擎基于错误数据做交易决策。已有持仓的止损保护是最高优先级，不受数据质量问题影响。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七、配置说明</w:t>
      </w:r>
    </w:p>
    <w:p>
      <w:pPr>
        <w:pStyle w:val="Heading3"/>
      </w:pPr>
      <w:r>
        <w:t>7.1 sim_config.json 完整格式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{</w:t>
        <w:br/>
        <w:t xml:space="preserve">  "InitialCapital": 1000000,</w:t>
        <w:br/>
        <w:t xml:space="preserve">  "MaxPositions": 3,</w:t>
        <w:br/>
        <w:t xml:space="preserve">  "SingleStockLimitPct": 30,</w:t>
        <w:br/>
        <w:t xml:space="preserve">  "SlippagePct": 0.1,</w:t>
        <w:br/>
        <w:t xml:space="preserve">  "CooloffPeriodDays": 5,</w:t>
        <w:br/>
        <w:t xml:space="preserve">  "FullTakeProfitCooldownDays": 3,</w:t>
        <w:br/>
        <w:t xml:space="preserve">  "Commission": {</w:t>
        <w:br/>
        <w:t xml:space="preserve">    "Rate": 0.00025,</w:t>
        <w:br/>
        <w:t xml:space="preserve">    "MinPerOrder": 5.0</w:t>
        <w:br/>
        <w:t xml:space="preserve">  },</w:t>
        <w:br/>
        <w:t xml:space="preserve">  "StampTax": {</w:t>
        <w:br/>
        <w:t xml:space="preserve">    "Rate": 0.001,</w:t>
        <w:br/>
        <w:t xml:space="preserve">    "OnSellOnly": true</w:t>
        <w:br/>
        <w:t xml:space="preserve">  },</w:t>
        <w:br/>
        <w:t xml:space="preserve">  "TakeProfit": {</w:t>
        <w:br/>
        <w:t xml:space="preserve">    "Mode": "fixed",</w:t>
        <w:br/>
        <w:t xml:space="preserve">    "FixedPct1": 5.0,</w:t>
        <w:br/>
        <w:t xml:space="preserve">    "FixedPct2": 10.0,</w:t>
        <w:br/>
        <w:t xml:space="preserve">    "AtrMultiplier1": 2.0,</w:t>
        <w:br/>
        <w:t xml:space="preserve">    "AtrMultiplier2": 3.0,</w:t>
        <w:br/>
        <w:t xml:space="preserve">    "AtrPeriod": 14</w:t>
        <w:br/>
        <w:t xml:space="preserve">  },</w:t>
        <w:br/>
        <w:t xml:space="preserve">  "PositionSizing": {</w:t>
        <w:br/>
        <w:t xml:space="preserve">    "Tiers": [</w:t>
        <w:br/>
        <w:t xml:space="preserve">      { "MinScore": 80, "Ratio": 25 },</w:t>
        <w:br/>
        <w:t xml:space="preserve">      { "MinScore": 65, "Ratio": 20 },</w:t>
        <w:br/>
        <w:t xml:space="preserve">      { "MinScore": 45, "Ratio": 10 },</w:t>
        <w:br/>
        <w:t xml:space="preserve">      { "MinScore": 30, "Ratio": 5 },</w:t>
        <w:br/>
        <w:t xml:space="preserve">      { "MinScore": 0, "Ratio": 0 }</w:t>
        <w:br/>
        <w:t xml:space="preserve">    ]</w:t>
        <w:br/>
        <w:t xml:space="preserve">  },</w:t>
        <w:br/>
        <w:t xml:space="preserve">  "Benchmark": {</w:t>
        <w:br/>
        <w:t xml:space="preserve">    "Code": "000300.SH",</w:t>
        <w:br/>
        <w:t xml:space="preserve">    "Name": "沪深300",</w:t>
        <w:br/>
        <w:t xml:space="preserve">    "Enabled": true</w:t>
        <w:br/>
        <w:t xml:space="preserve">  },</w:t>
        <w:br/>
        <w:t xml:space="preserve">  "ExDividendAdjustment": {</w:t>
        <w:br/>
        <w:t xml:space="preserve">    "Enabled": true,</w:t>
        <w:br/>
        <w:t xml:space="preserve">    "ConfigFile": "ex_dividend_dates.json"</w:t>
        <w:br/>
        <w:t xml:space="preserve">  },</w:t>
        <w:br/>
        <w:t xml:space="preserve">  "DataRetention": {</w:t>
        <w:br/>
        <w:t xml:space="preserve">    "SnapshotsKeepDays": 365,</w:t>
        <w:br/>
        <w:t xml:space="preserve">    "ArchiveAfterDays": 365</w:t>
        <w:br/>
        <w:t xml:space="preserve">  }</w:t>
        <w:br/>
        <w:t>}</w:t>
      </w:r>
    </w:p>
    <w:p>
      <w:pPr>
        <w:pStyle w:val="Heading3"/>
      </w:pPr>
      <w:r>
        <w:t>7.2 配置项详解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配置项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类型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默认值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InitialCapital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number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1000000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初始资金，单位元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MaxPositions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number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最大同时持仓股票数量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SingleStockLimitPct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number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单只股票占</w:t>
            </w:r>
            <w:r>
              <w:rPr>
                <w:rFonts w:ascii="Microsoft YaHei" w:hAnsi="Microsoft YaHei" w:eastAsia="Microsoft YaHei"/>
                <w:b/>
                <w:sz w:val="21"/>
              </w:rPr>
              <w:t>总资产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的最大百分比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SlippagePct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number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0.1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滑点百分比，买卖双向均适用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CooloffPeriodDays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number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5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止损后冷却期天数（交易日）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FullTakeProfitCooldownDays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number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全部止盈后冷却期天数（交易日）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Commission.Rate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number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0.00025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佣金费率(万分之2.5)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Commission.MinPerOrder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number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5.0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最低佣金(元/笔)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StampTax.Rate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number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0.001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印花税率(千分之1)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StampTax.OnSellOnly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boolean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true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印花税仅在卖出时收取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TakeProfit.Mode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string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"fixed"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止盈模式：fixed(固定倍数) / atr(ATR倍数，预留)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TakeProfit.FixedPct1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number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5.0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R2 固定止盈百分比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TakeProfit.FixedPct2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number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10.0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R3 固定止盈百分比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TakeProfit.AtrMultiplier1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number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2.0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ATR 模式 R2 乘数（预留）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TakeProfit.AtrMultiplier2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number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3.0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ATR 模式 R3 乘数（预留）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TakeProfit.AtrPeriod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number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14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ATR 计算周期（预留）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PositionSizing.Tiers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array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见上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仓位档位配置，每档含 MinScore 和 Ratio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Benchmark.Code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string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"000300.SH"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基准指数代码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Benchmark.Name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string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"沪深300"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基准指数名称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Benchmark.Enabled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boolean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true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是否启用基准比较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ExDividendAdjustment.Enabled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boolean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true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是否启用除权除息调整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ExDividendAdjustment.ConfigFile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string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"ex_dividend_dates.json"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除权除息配置文件路径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DataRetention.SnapshotsKeepDays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number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365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快照保留天数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DataRetention.ArchiveAfterDays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number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365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超过此天数的快照自动归档</w:t>
            </w:r>
          </w:p>
        </w:tc>
      </w:tr>
    </w:tbl>
    <w:p>
      <w:pPr>
        <w:spacing w:after="40"/>
      </w:pPr>
    </w:p>
    <w:p>
      <w:pPr>
        <w:pStyle w:val="Heading3"/>
      </w:pPr>
      <w:r>
        <w:t>7.3 仓位档位配置说明</w:t>
      </w:r>
    </w:p>
    <w:p>
      <w:pPr>
        <w:spacing w:after="80"/>
      </w:pPr>
      <w:r>
        <w:rPr>
          <w:rFonts w:ascii="Consolas" w:hAnsi="Consolas" w:eastAsia="Consolas"/>
          <w:b w:val="0"/>
          <w:i w:val="0"/>
          <w:color w:val="E74C3C"/>
          <w:sz w:val="18"/>
        </w:rPr>
        <w:t>PositionSizing.Tiers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数组按 </w:t>
      </w:r>
      <w:r>
        <w:rPr>
          <w:rFonts w:ascii="Consolas" w:hAnsi="Consolas" w:eastAsia="Consolas"/>
          <w:b w:val="0"/>
          <w:i w:val="0"/>
          <w:color w:val="E74C3C"/>
          <w:sz w:val="18"/>
        </w:rPr>
        <w:t>MinScore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降序排列，引擎从上到下依次匹配，匹配到第一个 </w:t>
      </w:r>
      <w:r>
        <w:rPr>
          <w:rFonts w:ascii="Consolas" w:hAnsi="Consolas" w:eastAsia="Consolas"/>
          <w:b w:val="0"/>
          <w:i w:val="0"/>
          <w:color w:val="E74C3C"/>
          <w:sz w:val="18"/>
        </w:rPr>
        <w:t>Score &gt;= MinScore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的档位即应用其 </w:t>
      </w:r>
      <w:r>
        <w:rPr>
          <w:rFonts w:ascii="Consolas" w:hAnsi="Consolas" w:eastAsia="Consolas"/>
          <w:b w:val="0"/>
          <w:i w:val="0"/>
          <w:color w:val="E74C3C"/>
          <w:sz w:val="18"/>
        </w:rPr>
        <w:t>Ratio</w:t>
      </w:r>
      <w:r>
        <w:rPr>
          <w:rFonts w:ascii="Microsoft YaHei" w:hAnsi="Microsoft YaHei" w:eastAsia="Microsoft YaHei"/>
          <w:b w:val="0"/>
          <w:i w:val="0"/>
          <w:sz w:val="21"/>
        </w:rPr>
        <w:t>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MinScore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Ratio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语义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80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25%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强烈关注，重点配置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65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关注，正常配置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45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10%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观察，轻仓试探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5%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谨慎，极轻仓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0%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回避，不参与</w:t>
            </w:r>
          </w:p>
        </w:tc>
      </w:tr>
    </w:tbl>
    <w:p>
      <w:pPr>
        <w:spacing w:after="40"/>
      </w:pP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八、风险说明</w:t>
      </w:r>
    </w:p>
    <w:p>
      <w:pPr>
        <w:pStyle w:val="Heading3"/>
      </w:pPr>
      <w:r>
        <w:t>8.1 模拟交易与实盘差异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模拟交易系统虽然是按真实 A 股费率标准设计，但与实盘存在以下本质差异：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差异项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模拟交易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实盘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成交确定性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假定按指定价格全额成交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可能部分成交、无法成交或滑点超预期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流动性约束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不考虑盘口深度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大单可能拉抬/打压股价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时间粒度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每日 09:35 单次运行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可实时监控、随时操作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止损执行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仅检查日频收盘附近价格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可设置条件单自动触发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涨跌停处理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标记未成交，后续跟踪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可能连续跌停无法卖出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心理因素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无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恐惧/贪婪影响实际决策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现金管理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闲置资金无收益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可做逆回购或货基</w:t>
            </w:r>
          </w:p>
        </w:tc>
      </w:tr>
    </w:tbl>
    <w:p>
      <w:pPr>
        <w:spacing w:after="40"/>
      </w:pPr>
    </w:p>
    <w:p>
      <w:pPr>
        <w:pStyle w:val="Heading3"/>
      </w:pPr>
      <w:r>
        <w:t>8.2 已知限制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以下限制在 v1.0 中不做修改，但作为已知风险记录：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风险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说明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影响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盘中止损盲区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引擎每日 09:35 仅运行一次，盘中价格若跌破 StopLoss 后反弹，止损不会触发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实际止损效果弱于理论，最大回撤可能放大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预判转空滞后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评估数据仅在收盘后生成，预判转空检查存在 &gt;= 1 日滞后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实际反应速度比理论慢 1 个交易日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单股止损距离差异大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不同股票止损幅度差异显著(4% ~ 16%)，宽止损股放大最大回撤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最大回撤可能超过预期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初期现金闲置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满足开仓条件的股票可能仅 1-2 只，仓位比例低，初期大量现金闲置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收益曲线对少数交易高度敏感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除权除息依赖人工配置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需手动维护 ex_dividend_dates.json，漏配导致 KeyLevels 未调整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漏配时止损价可能永久高于现价，保护失效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组合净值波动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模拟交易组合仅含 1-3 只股票，集中度高，单只股票波动对净值影响大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净值波动大于分散化投资组合</w:t>
            </w:r>
          </w:p>
        </w:tc>
      </w:tr>
    </w:tbl>
    <w:p>
      <w:pPr>
        <w:spacing w:after="40"/>
      </w:pPr>
    </w:p>
    <w:p>
      <w:pPr>
        <w:pStyle w:val="Heading3"/>
      </w:pPr>
      <w:r>
        <w:t>8.3 免责声明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/>
          <w:i/>
          <w:color w:val="555555"/>
          <w:sz w:val="21"/>
        </w:rPr>
        <w:t>重要提示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本模拟交易系统仅供策略验证和研究参考，不构成任何投资建议或交易推荐。模拟交易的历史表现不代表未来收益。所有交易决策均基于模型输出，可能存在模型缺陷、数据误差或系统故障导致的偏差。使用者应独立判断并承担全部投资风险。铁律量化团队不对基于本系统做出的任何投资决策承担法律责任。</w:t>
      </w:r>
    </w:p>
    <w:p>
      <w:pPr>
        <w:pStyle w:val="Heading3"/>
      </w:pPr>
      <w:r>
        <w:t>8.4 输出验证机制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每次文件写入后执行以下验证：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文件存在性</w:t>
      </w:r>
      <w:r>
        <w:rPr>
          <w:rFonts w:ascii="Microsoft YaHei" w:hAnsi="Microsoft YaHei" w:eastAsia="Microsoft YaHei"/>
          <w:b w:val="0"/>
          <w:sz w:val="21"/>
        </w:rPr>
        <w:t>: Set-Content 后立即 Test-Path 确认文件创建成功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JSON可解析性</w:t>
      </w:r>
      <w:r>
        <w:rPr>
          <w:rFonts w:ascii="Microsoft YaHei" w:hAnsi="Microsoft YaHei" w:eastAsia="Microsoft YaHei"/>
          <w:b w:val="0"/>
          <w:sz w:val="21"/>
        </w:rPr>
        <w:t>: 写入JSON后重新 ConvertFrom-Json 验证完整性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一致性校验</w:t>
      </w:r>
      <w:r>
        <w:rPr>
          <w:rFonts w:ascii="Microsoft YaHei" w:hAnsi="Microsoft YaHei" w:eastAsia="Microsoft YaHei"/>
          <w:b w:val="0"/>
          <w:sz w:val="21"/>
        </w:rPr>
        <w:t>: 每日快照中 Cash + ∑(Shares×Price) 应与 TotalValue 一致（偏差&lt;0.01元）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批量验证</w:t>
      </w:r>
      <w:r>
        <w:rPr>
          <w:rFonts w:ascii="Microsoft YaHei" w:hAnsi="Microsoft YaHei" w:eastAsia="Microsoft YaHei"/>
          <w:b w:val="0"/>
          <w:sz w:val="21"/>
        </w:rPr>
        <w:t>: verify_trading_output.ps1 可独立运行检查所有输出文件的完整性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九、策略优化与迭代管理</w:t>
      </w:r>
    </w:p>
    <w:p>
      <w:pPr>
        <w:pStyle w:val="Heading3"/>
      </w:pPr>
      <w:r>
        <w:t>9.1 核心理念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模拟交易系统的根本目的是</w:t>
      </w:r>
      <w:r>
        <w:rPr>
          <w:rFonts w:ascii="Microsoft YaHei" w:hAnsi="Microsoft YaHei" w:eastAsia="Microsoft YaHei"/>
          <w:b/>
          <w:i w:val="0"/>
          <w:sz w:val="21"/>
        </w:rPr>
        <w:t>用数据驱动策略优化</w:t>
      </w:r>
      <w:r>
        <w:rPr>
          <w:rFonts w:ascii="Microsoft YaHei" w:hAnsi="Microsoft YaHei" w:eastAsia="Microsoft YaHei"/>
          <w:b w:val="0"/>
          <w:i w:val="0"/>
          <w:sz w:val="21"/>
        </w:rPr>
        <w:t>。每次交易、每个信号、每笔盈亏都是策略迭代的输入。为此建立三级响应机制，按变更的影响范围和风险等级分级管理，确保迭代过程有章可循。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策略迭代所需的数据分析（交易归因、信号有效性统计、误判分类）来源于[次日后评估白皮书](../每日荐股/事后评估/次日后评估白皮书_v1.5.md)的输出，二者形成"数据输入→策略迭代→规则验证"的完整闭环。</w:t>
      </w:r>
    </w:p>
    <w:p>
      <w:pPr>
        <w:pStyle w:val="Heading3"/>
      </w:pPr>
      <w:r>
        <w:t>9.2 三级响应机制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#### 第一级：日常微调（不影响逻辑）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适用范围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sim_config.json 中的参数数值调整（费率、冷却期天数、止盈倍数等纯数值参数）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白皮书更新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不修改白皮书正文。白皮书仅记录设计原则，具体数值以 sim_config.json 为准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记录方式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在当日运行日志 </w:t>
            </w:r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sim_YYYYMMDD.log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中记录变更内容和理由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审批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无需审批，分析师自行决定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示例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将 FixedPct2 从 10.0 改为 8.0、将 CooloffPeriodDays 从 5 改为 3</w:t>
            </w:r>
          </w:p>
        </w:tc>
      </w:tr>
    </w:tbl>
    <w:p>
      <w:pPr>
        <w:spacing w:after="40"/>
      </w:pPr>
    </w:p>
    <w:p>
      <w:pPr>
        <w:spacing w:after="80" w:before="80"/>
        <w:ind w:left="567"/>
      </w:pPr>
      <w:r>
        <w:rPr>
          <w:rFonts w:ascii="Microsoft YaHei" w:hAnsi="Microsoft YaHei" w:eastAsia="Microsoft YaHei"/>
          <w:b/>
          <w:i/>
          <w:color w:val="555555"/>
          <w:sz w:val="21"/>
        </w:rPr>
        <w:t>理由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：配置参数本质是策略的超参数，需要通过回测不断调优找到最优值。如果每次修改参数都更新白皮书，白皮书的版本将频繁变更，反而失去作为权威参考文档的意义。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#### 第二级：规则迭代（逻辑变更，不改方法论）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适用范围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交易规则的增减、出场优先级的调整、开仓条件的修改、仓位档位调整等逻辑层面的变更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白皮书更新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需更新白皮书对应章节内容，并在版本历史表中记录变更日期、变更内容、变更理由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触发条件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满足以下任一条件即可发起：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① 连续亏损 &gt;= 5 笔触发红旗预警后，经复盘确认规则缺陷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② 单只股票累计亏损 &gt;= 总资产 3%，经归因分析发现规则漏洞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③ 胜率 &lt; 40% 且总交易 &gt;= 10 笔，经统计分析确认规则需要调整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④ 分析师基于交易数据复盘提出明确的规则改进方案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记录方式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① 在白皮书版本历史表中新增一行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② 在当日运行日志中记录规则变更内容和决策依据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审批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需至少两名分析师确认（防止单人主观判断偏差）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示例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新增"开盘 5 分钟内不卖出规则"、修改"P3 优先级高于 P2"、增加"N 连败后暂停该股交易"</w:t>
            </w:r>
          </w:p>
        </w:tc>
      </w:tr>
    </w:tbl>
    <w:p>
      <w:pPr>
        <w:spacing w:after="40"/>
      </w:pPr>
    </w:p>
    <w:p>
      <w:pPr>
        <w:spacing w:after="80" w:before="80"/>
        <w:ind w:left="567"/>
      </w:pPr>
      <w:r>
        <w:rPr>
          <w:rFonts w:ascii="Microsoft YaHei" w:hAnsi="Microsoft YaHei" w:eastAsia="Microsoft YaHei"/>
          <w:b/>
          <w:i/>
          <w:color w:val="555555"/>
          <w:sz w:val="21"/>
        </w:rPr>
        <w:t>数据驱动决策原则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：规则迭代不应凭"感觉"或"直觉"进行。每次规则变更必须基于实际交易数据的统计归因——找到具体的交易记录、具体的信号、具体的数字作为变更依据。没有数据支撑的规则变更，不予执行。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#### 第三级：方法论重构（核心方法论变更）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适用范围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评分体系重构、信号计算逻辑变更、新增或移除核心交易策略等影响系统根基的变更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白皮书更新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发布新版白皮书（v2.0、v3.0 等）。旧版白皮书归档保留，附版本对照表说明变更要点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触发条件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① 累计亏损达到初始资金 10%，确认当前方法论存在系统性缺陷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② 胜率 &lt; 30% 且总交易 &gt;= 20 笔，确认信号系统失效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③ 最大回撤连续超过预警线(8%)达 3 次，确认风控体系不足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④ 市场结构发生重大变化（如交易规则变更、涨跌幅限制调整等）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⑤ 积累 &gt;= 60 个交易日数据后，系统性审视全部规则并进行版本升级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记录方式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① 发布新版白皮书，在 §一 中说明版本变更的核心差异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② 旧版白皮书移至 </w:t>
            </w:r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归档/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目录，按 </w:t>
            </w:r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模拟交易白皮书_v1.0.md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格式保留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③ 版本历史表记录本次重构的触发原因和主要变更清单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审批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集体决策，记录每位参与者的意见和最终结论</w:t>
            </w:r>
          </w:p>
        </w:tc>
      </w:tr>
    </w:tbl>
    <w:p>
      <w:pPr>
        <w:spacing w:after="40"/>
      </w:pPr>
    </w:p>
    <w:p>
      <w:pPr>
        <w:pStyle w:val="Heading3"/>
      </w:pPr>
      <w:r>
        <w:t>9.3 三级响应流程图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 xml:space="preserve">                              策略改进建议</w:t>
        <w:br/>
        <w:t xml:space="preserve">                                    |</w:t>
        <w:br/>
        <w:t xml:space="preserve">                                    v</w:t>
        <w:br/>
        <w:t xml:space="preserve">                    ┌────────────────┴────────────────┐</w:t>
        <w:br/>
        <w:t xml:space="preserve">                    │         判断变更类型              │</w:t>
        <w:br/>
        <w:t xml:space="preserve">                    └───────┬───────────────┬──────────┘</w:t>
        <w:br/>
        <w:t xml:space="preserve">                            │               │</w:t>
        <w:br/>
        <w:t xml:space="preserve">                    数值参数调整          逻辑规则变更</w:t>
        <w:br/>
        <w:t xml:space="preserve">                            │               │</w:t>
        <w:br/>
        <w:t xml:space="preserve">                            v               v</w:t>
        <w:br/>
        <w:t xml:space="preserve">                    ┌──────────────┐  ┌──────────────────┐</w:t>
        <w:br/>
        <w:t xml:space="preserve">                    │  第一级      │  │ 影响底层方法论？ │</w:t>
        <w:br/>
        <w:t xml:space="preserve">                    │  日常微调    │  └──┬───────────────┘</w:t>
        <w:br/>
        <w:t xml:space="preserve">                    │  (不改白皮书) │     │              │</w:t>
        <w:br/>
        <w:t xml:space="preserve">                    │  日志记录即可 │     是              否</w:t>
        <w:br/>
        <w:t xml:space="preserve">                    └──────────────┘     │              │</w:t>
        <w:br/>
        <w:t xml:space="preserve">                                         v              v</w:t>
        <w:br/>
        <w:t xml:space="preserve">                                  ┌────────────┐ ┌──────────────┐</w:t>
        <w:br/>
        <w:t xml:space="preserve">                                  │  第三级    │ │  第二级       │</w:t>
        <w:br/>
        <w:t xml:space="preserve">                                  │ 方法论重构  │ │  规则迭代     │</w:t>
        <w:br/>
        <w:t xml:space="preserve">                                  │  发新版白书 │ │  更新白皮书   │</w:t>
        <w:br/>
        <w:t xml:space="preserve">                                  └────────────┘ │  版本历史表   │</w:t>
        <w:br/>
        <w:t xml:space="preserve">                                                 └──────────────┘</w:t>
      </w:r>
    </w:p>
    <w:p>
      <w:pPr>
        <w:pStyle w:val="Heading3"/>
      </w:pPr>
      <w:r>
        <w:t>9.4 触发条件的量化基线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指标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第一级触发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第二级触发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第三级触发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连续亏损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 笔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&gt;= 5 笔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&gt;= 8 笔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最大回撤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&gt; 3%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&gt; 5%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&gt; 8%（连续 3 次超预警线）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胜率（交易 &gt;= 10）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&lt; 50%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&lt; 40%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&lt; 30%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单股累计亏损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&gt; 1% 总资产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&gt; 3% 总资产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累计净值亏损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&gt; 10%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数据积累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&gt;= 20 笔交易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&gt;= 60 个交易日</w:t>
            </w:r>
          </w:p>
        </w:tc>
      </w:tr>
    </w:tbl>
    <w:p>
      <w:pPr>
        <w:spacing w:after="40"/>
      </w:pPr>
    </w:p>
    <w:p>
      <w:pPr>
        <w:spacing w:after="80" w:before="80"/>
        <w:ind w:left="567"/>
      </w:pPr>
      <w:r>
        <w:rPr>
          <w:rFonts w:ascii="Microsoft YaHei" w:hAnsi="Microsoft YaHei" w:eastAsia="Microsoft YaHei"/>
          <w:b/>
          <w:i/>
          <w:color w:val="555555"/>
          <w:sz w:val="21"/>
        </w:rPr>
        <w:t>说明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：以上基线为默认值，团队可根据实际情况调整。基线数据随策略迭代同步更新。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自动化状态</w:t>
      </w:r>
      <w:r>
        <w:rPr>
          <w:rFonts w:ascii="Microsoft YaHei" w:hAnsi="Microsoft YaHei" w:eastAsia="Microsoft YaHei"/>
          <w:b w:val="0"/>
          <w:i w:val="0"/>
          <w:sz w:val="21"/>
        </w:rPr>
        <w:t>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Tier 1 检测已由 </w:t>
      </w:r>
      <w:r>
        <w:rPr>
          <w:rFonts w:ascii="Consolas" w:hAnsi="Consolas" w:eastAsia="Consolas"/>
          <w:b w:val="0"/>
          <w:color w:val="E74C3C"/>
          <w:sz w:val="18"/>
        </w:rPr>
        <w:t>check_tier_triggers.ps1</w:t>
      </w:r>
      <w:r>
        <w:rPr>
          <w:rFonts w:ascii="Microsoft YaHei" w:hAnsi="Microsoft YaHei" w:eastAsia="Microsoft YaHei"/>
          <w:b w:val="0"/>
          <w:sz w:val="21"/>
        </w:rPr>
        <w:t xml:space="preserve"> 实现自动化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每次引擎运行（sim_trading.ps1）结束后自动调用检测器，结果写入当日日志</w:t>
      </w:r>
    </w:p>
    <w:p>
      <w:pPr>
        <w:pStyle w:val="Heading3"/>
      </w:pPr>
      <w:r>
        <w:t>9.4.1 多级触发冲突处理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当多个响应级别的触发条件同时满足时，按以下规则处理：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并发情况</w:t>
            </w:r>
          </w:p>
        </w:tc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处理规则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第二级与第三级条件同时满足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执行第三级（方法论重构），第三级涵盖第二级的所有变更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同一级别多个触发条件同时满足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满足其一即可发起，无需等待全部条件触发。记录最先达到的触发条件作为发起依据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第一级微调累计触发第二级基线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当月第一级微调变更超过 3 次，或连续 2 个月均有第一级微调，自动升级为第二级规则迭代审查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新数据与现有规则冲突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优先保护已有持仓（执行止损/止盈检查），再评估规则变更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升级自动触发机制</w:t>
      </w:r>
      <w:r>
        <w:rPr>
          <w:rFonts w:ascii="Microsoft YaHei" w:hAnsi="Microsoft YaHei" w:eastAsia="Microsoft YaHei"/>
          <w:b w:val="0"/>
          <w:i w:val="0"/>
          <w:sz w:val="21"/>
        </w:rPr>
        <w:t>：当第一级微调的频率或累计影响达到第二级基线时，应自动发起规则迭代审查，防止"微调过多、积小变为大变"。</w:t>
      </w:r>
    </w:p>
    <w:p>
      <w:pPr>
        <w:pStyle w:val="Heading3"/>
      </w:pPr>
      <w:r>
        <w:t>9.5 评分反馈闭环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模拟交易的止损记录通过 trade_to_score_feedback.py 反馈到评分系统：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止损归因</w:t>
      </w:r>
      <w:r>
        <w:rPr>
          <w:rFonts w:ascii="Microsoft YaHei" w:hAnsi="Microsoft YaHei" w:eastAsia="Microsoft YaHei"/>
          <w:b w:val="0"/>
          <w:sz w:val="21"/>
        </w:rPr>
        <w:t>: 读取 transactions.csv 的 P1 止损记录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维度分析</w:t>
      </w:r>
      <w:r>
        <w:rPr>
          <w:rFonts w:ascii="Microsoft YaHei" w:hAnsi="Microsoft YaHei" w:eastAsia="Microsoft YaHei"/>
          <w:b w:val="0"/>
          <w:sz w:val="21"/>
        </w:rPr>
        <w:t>: 回溯对应日期的评分明细，识别误判维度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调整建议</w:t>
      </w:r>
      <w:r>
        <w:rPr>
          <w:rFonts w:ascii="Microsoft YaHei" w:hAnsi="Microsoft YaHei" w:eastAsia="Microsoft YaHei"/>
          <w:b w:val="0"/>
          <w:sz w:val="21"/>
        </w:rPr>
        <w:t>: 生成"调高某维度及格线"或"观察某维度可靠性"的建议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人工确认</w:t>
      </w:r>
      <w:r>
        <w:rPr>
          <w:rFonts w:ascii="Microsoft YaHei" w:hAnsi="Microsoft YaHei" w:eastAsia="Microsoft YaHei"/>
          <w:b w:val="0"/>
          <w:sz w:val="21"/>
        </w:rPr>
        <w:t>: 建议经人工确认后，更新 scoring_engine_v2.py 参数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此闭环打通了模拟交易与每日评分系统的双向数据流动。</w:t>
      </w:r>
    </w:p>
    <w:p>
      <w:pPr>
        <w:pStyle w:val="Heading3"/>
      </w:pPr>
      <w:r>
        <w:t>9.6 复盘周期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周期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频率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内容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输出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日复盘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每个交易日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检查当日交易是否按规则执行、有无异常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日志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周复盘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每周五收盘后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归因分析：本周盈亏从何而来、哪些信号有效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周报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月复盘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每月最后一个交易日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完整绩效分析：胜率、回撤、信号有效性统计，触发条件检查；汇总当月所有第一级微调变更清单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月报 + 变更清单 + 白皮书更新评估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季复盘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每季度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系统性审视全部规则，评估三级响应触发状态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季度报告 + 版本规划</w:t>
            </w:r>
          </w:p>
        </w:tc>
      </w:tr>
    </w:tbl>
    <w:p>
      <w:pPr>
        <w:spacing w:after="40"/>
      </w:pPr>
    </w:p>
    <w:p>
      <w:pPr>
        <w:pStyle w:val="Heading3"/>
      </w:pPr>
      <w:r>
        <w:t>9.7 版本管理规范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版本号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对应级别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v1.x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第二级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规则迭代，x 为迭代次数（v1.1、v1.2...）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v2.0+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第三级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方法论重构，主版本号递增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第一级（日常微调）不改变版本号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第二级（规则迭代）每次更新需在版本历史表中记录变更日期、变更内容、变更理由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第三级（方法论重构）发布新主版本，旧版本归档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与 version_supervisor 联动</w:t>
      </w:r>
      <w:r>
        <w:rPr>
          <w:rFonts w:ascii="Microsoft YaHei" w:hAnsi="Microsoft YaHei" w:eastAsia="Microsoft YaHei"/>
          <w:b w:val="0"/>
          <w:i w:val="0"/>
          <w:sz w:val="21"/>
        </w:rPr>
        <w:t>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白皮书版本变更时，必须同步更新 </w:t>
      </w:r>
      <w:r>
        <w:rPr>
          <w:rFonts w:ascii="Consolas" w:hAnsi="Consolas" w:eastAsia="Consolas"/>
          <w:b w:val="0"/>
          <w:color w:val="E74C3C"/>
          <w:sz w:val="18"/>
        </w:rPr>
        <w:t>代码文件/监督机制/version_supervisor.ps1</w:t>
      </w:r>
      <w:r>
        <w:rPr>
          <w:rFonts w:ascii="Microsoft YaHei" w:hAnsi="Microsoft YaHei" w:eastAsia="Microsoft YaHei"/>
          <w:b w:val="0"/>
          <w:sz w:val="21"/>
        </w:rPr>
        <w:t xml:space="preserve"> 中的 </w:t>
      </w:r>
      <w:r>
        <w:rPr>
          <w:rFonts w:ascii="Consolas" w:hAnsi="Consolas" w:eastAsia="Consolas"/>
          <w:b w:val="0"/>
          <w:color w:val="E74C3C"/>
          <w:sz w:val="18"/>
        </w:rPr>
        <w:t>$WHITEPAPERS</w:t>
      </w:r>
      <w:r>
        <w:rPr>
          <w:rFonts w:ascii="Microsoft YaHei" w:hAnsi="Microsoft YaHei" w:eastAsia="Microsoft YaHei"/>
          <w:b w:val="0"/>
          <w:sz w:val="21"/>
        </w:rPr>
        <w:t xml:space="preserve"> 哈希表，注册新版本号及文件路径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CHANGELOG.md 独立记录每次变更，不再合并到版本历史表中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每次提交前运行 </w:t>
      </w:r>
      <w:r>
        <w:rPr>
          <w:rFonts w:ascii="Consolas" w:hAnsi="Consolas" w:eastAsia="Consolas"/>
          <w:b w:val="0"/>
          <w:color w:val="E74C3C"/>
          <w:sz w:val="18"/>
        </w:rPr>
        <w:t>version_supervisor.ps1 -CrossCheck</w:t>
      </w:r>
      <w:r>
        <w:rPr>
          <w:rFonts w:ascii="Microsoft YaHei" w:hAnsi="Microsoft YaHei" w:eastAsia="Microsoft YaHei"/>
          <w:b w:val="0"/>
          <w:sz w:val="21"/>
        </w:rPr>
        <w:t xml:space="preserve"> 验证版本一致性</w:t>
      </w:r>
    </w:p>
    <w:p>
      <w:pPr>
        <w:pStyle w:val="Heading3"/>
      </w:pPr>
      <w:r>
        <w:t>9.8 长期积累与系统性审视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当系统运行满 60 个交易日或积累 30 笔以上完整交易后，应主动发起一次全面的方法论审视。届时需：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汇总全部交易数据，按股票、信号方向、评分段等维度分组统计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识别哪些规则有效、哪些规则形同虚设、哪些规则产生了负贡献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评估三级响应中各触发条件的状态，判断是否需要升级响应级别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将系统性审视结论写入白皮书附录，作为下一版本的决策依据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附录 A：目录结构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模拟交易/</w:t>
        <w:br/>
        <w:t>├── sim_config.json                # 系统配置</w:t>
        <w:br/>
        <w:t>├── ex_dividend_dates.json         # 除权除息日配置</w:t>
        <w:br/>
        <w:t>├── 模拟交易白皮书_v1.1.md         # 旧版存档</w:t>
        <w:br/>
        <w:t>├── 模拟交易白皮书_v1.2.md         # 旧版存档</w:t>
        <w:br/>
        <w:t>├── 模拟交易白皮书_v1.3.md         # 旧版存档</w:t>
        <w:br/>
        <w:t>├── 模拟交易白皮书_v1.4.md         # 本白皮书（当前版本）</w:t>
        <w:br/>
        <w:t>├── 交易引擎/</w:t>
        <w:br/>
        <w:t>│   └── sim_trading.ps1            # 核心交易引擎</w:t>
        <w:br/>
        <w:t>├── 持仓记录/</w:t>
        <w:br/>
        <w:t>│   ├── positions.json             # 当前持仓快照（覆盖写入）</w:t>
        <w:br/>
        <w:t>│   └── transactions.csv           # 完整交易流水（永不清除）</w:t>
        <w:br/>
        <w:t>├── 每日快照/</w:t>
        <w:br/>
        <w:t>│   └── snapshot_YYYYMMDD.json     # 每日组合估值快照</w:t>
        <w:br/>
        <w:t>├── 绩效报告/</w:t>
        <w:br/>
        <w:t>│   └── perf_summary.json          # 累计绩效指标（覆盖写入）</w:t>
        <w:br/>
        <w:t>├── 日志/</w:t>
        <w:br/>
        <w:t>│   └── sim_YYYYMMDD.log           # 每日运行日志</w:t>
        <w:br/>
        <w:t>└── 归档/                          # 超过保留期的快照自动归档至此</w:t>
      </w:r>
    </w:p>
    <w:p>
      <w:pPr>
        <w:pStyle w:val="Heading2"/>
      </w:pPr>
      <w:r>
        <w:t>附录 B：与现有系统的集成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/>
          <w:i/>
          <w:color w:val="555555"/>
          <w:sz w:val="21"/>
        </w:rPr>
        <w:t>状态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：已实装（2026-05-23）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在 </w:t>
      </w:r>
      <w:r>
        <w:rPr>
          <w:rFonts w:ascii="Consolas" w:hAnsi="Consolas" w:eastAsia="Consolas"/>
          <w:b w:val="0"/>
          <w:i w:val="0"/>
          <w:color w:val="E74C3C"/>
          <w:sz w:val="18"/>
        </w:rPr>
        <w:t>每日荐股/scripts/daily_workflow.ps1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末尾已追加以下调用（Phase 7 模拟交易引擎）：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# ---- Phase 7: 模拟交易引擎 ----</w:t>
        <w:br/>
        <w:t>$simTradingScript = Join-Path $rootDir "模拟交易/交易引擎/sim_trading.ps1"</w:t>
        <w:br/>
        <w:t>$evalDateStr = $Date -replace '-',''</w:t>
        <w:br/>
        <w:t>$evalFile = Join-Path $rootDir "重点股票/次日评估/评估数据_${evalDateStr}.json"</w:t>
        <w:br/>
        <w:t>if (Test-Path $evalFile) {</w:t>
        <w:br/>
        <w:t xml:space="preserve">    &amp; $simTradingScript -Date $evalDateStr -DataFile $evalFile -DryRun</w:t>
        <w:br/>
        <w:t xml:space="preserve">    if ($LASTEXITCODE -eq 0) {</w:t>
        <w:br/>
        <w:t xml:space="preserve">        Write-Host "[Phase 7] 模拟交易引擎完成" -ForegroundColor Green</w:t>
        <w:br/>
        <w:t xml:space="preserve">    } else {</w:t>
        <w:br/>
        <w:t xml:space="preserve">        Write-Warning "[Phase 7] 模拟交易引擎返回非零退出码"</w:t>
        <w:br/>
        <w:t xml:space="preserve">    }</w:t>
        <w:br/>
        <w:t>} else {</w:t>
        <w:br/>
        <w:t xml:space="preserve">    Write-Warning "[Phase 7] 评估数据不存在: $evalFile，跳过模拟交易"</w:t>
        <w:br/>
        <w:t>}</w:t>
      </w:r>
    </w:p>
    <w:p>
      <w:pPr>
        <w:pStyle w:val="Heading3"/>
      </w:pPr>
      <w:r>
        <w:t>依赖项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输入：</w:t>
      </w:r>
      <w:r>
        <w:rPr>
          <w:rFonts w:ascii="Consolas" w:hAnsi="Consolas" w:eastAsia="Consolas"/>
          <w:b w:val="0"/>
          <w:color w:val="E74C3C"/>
          <w:sz w:val="18"/>
        </w:rPr>
        <w:t>重点股票/次日评估/评估数据_YYYYMMDD.json</w:t>
      </w:r>
      <w:r>
        <w:rPr>
          <w:rFonts w:ascii="Microsoft YaHei" w:hAnsi="Microsoft YaHei" w:eastAsia="Microsoft YaHei"/>
          <w:b w:val="0"/>
          <w:sz w:val="21"/>
        </w:rPr>
        <w:t>（现有流程生成）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行情输入：腾讯行情 API </w:t>
      </w:r>
      <w:r>
        <w:rPr>
          <w:rFonts w:ascii="Consolas" w:hAnsi="Consolas" w:eastAsia="Consolas"/>
          <w:b w:val="0"/>
          <w:color w:val="E74C3C"/>
          <w:sz w:val="18"/>
        </w:rPr>
        <w:t>qt.gtimg.cn</w:t>
      </w:r>
      <w:r>
        <w:rPr>
          <w:rFonts w:ascii="Microsoft YaHei" w:hAnsi="Microsoft YaHei" w:eastAsia="Microsoft YaHei"/>
          <w:b w:val="0"/>
          <w:sz w:val="21"/>
        </w:rPr>
        <w:t>（复用现有数据模块）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基准输入：腾讯行情 API 沪深 300 指数行情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无额外 API 依赖</w:t>
      </w:r>
    </w:p>
    <w:p>
      <w:pPr>
        <w:pStyle w:val="Heading2"/>
      </w:pPr>
      <w:r>
        <w:t>附录 C：交易原因标记规范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引擎在交易流水 </w:t>
      </w:r>
      <w:r>
        <w:rPr>
          <w:rFonts w:ascii="Consolas" w:hAnsi="Consolas" w:eastAsia="Consolas"/>
          <w:b w:val="0"/>
          <w:i w:val="0"/>
          <w:color w:val="E74C3C"/>
          <w:sz w:val="18"/>
        </w:rPr>
        <w:t>reason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字段中使用的标记及其含义：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reason 标记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触发场景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所属优先级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开仓_{Short}_{TrendHealth}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满足全部开仓条件后开仓买入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--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止损_StopLoss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当前价触及或跌破止损价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P1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趋势恶化_危险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TrendHealth 变为"危险"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P2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预判转空_{当前Short值}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Short 从入场值变为中性或看空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P3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全部止盈_R3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当前价达到或超过 R3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P4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止盈减仓_R2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当前价达到或超过 R2，卖出 50%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P5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Microsoft YaHei" w:hAnsi="Microsoft YaHei" w:eastAsia="Microsoft YaHei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1A2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6213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3333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