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0E7C7B"/>
          <w:sz w:val="36"/>
        </w:rPr>
        <w:t>热点反向穿透法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0B3954"/>
          <w:sz w:val="56"/>
        </w:rPr>
        <w:t>AI数据中心液冷 A1</w:t>
        <w:br/>
        <w:t>产业结构与初步线索报告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B6573"/>
          <w:sz w:val="24"/>
        </w:rPr>
        <w:t>从最终需求与付款人出发，完成四张图、七视图、精确节点词典、第一轮实体线索与本地支持请求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0E7C7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0E7C7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研究编号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ai-liquid-cooling-2026h2-001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研究阶段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A1：开放式产业研究第一轮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资料截止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2026-08-27T22:32:34+08:00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观察期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半年（用于方法与证据维护验证，不是持有期）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研究边界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全球技术与供应 + 中国商业化 + A股实体映射准备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禁止事项</w:t>
            </w:r>
          </w:p>
        </w:tc>
        <w:tc>
          <w:tcPr>
            <w:tcW w:type="dxa" w:w="6803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不做本地财务/估值/价格计算；不形成买入名单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6"/>
            <w:tcBorders>
              <w:top w:val="single" w:sz="10" w:color="B8860B"/>
              <w:left w:val="single" w:sz="10" w:color="B8860B"/>
              <w:bottom w:val="single" w:sz="10" w:color="B8860B"/>
              <w:right w:val="single" w:sz="10" w:color="B8860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B8860B"/>
                <w:sz w:val="21"/>
              </w:rPr>
              <w:t>本报告的准确位置</w:t>
              <w:br/>
            </w:r>
            <w:r>
              <w:rPr>
                <w:rFonts w:ascii="Noto Sans CJK SC" w:hAnsi="Noto Sans CJK SC" w:eastAsia="Noto Sans CJK SC"/>
                <w:sz w:val="20"/>
              </w:rPr>
              <w:t>这是“产业结构和公司线索发现”，不是供应关系终审，更不是股票研究结论。公司名称只代表需要继续核验的实体线索；任何订单、收入、利润、估值和价格结论都必须进入后续 Codex A2、ChatGPT A3、B、C 阶段。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阅读导航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81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725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你会得到什么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一页结论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先看需求是否真实、路线怎样分化、潜在瓶颈在哪里、下一步查什么。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第一部分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研究边界、证据纪律和相对 V1—V4 的位置。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第二部分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最终需求、最终付款人和预算性质。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第三部分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 四张图：需求图、钱流图、瓶颈利润图、时间图。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第四部分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四种状态：订单、验证、政策、概念，挂在精确命题上。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第五部分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V3 七视图：功能、产品、制造、接口、交付、运维、竞争与替代。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第六部分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精确产品节点词典。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第七部分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替代路线、客户自制、二供与利润池迁移。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第八部分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第一轮上市/非上市实体线索。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第九部分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未知、冲突、点时限制与证据缺口。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第十部分</w:t>
            </w:r>
          </w:p>
        </w:tc>
        <w:tc>
          <w:tcPr>
            <w:tcW w:type="dxa" w:w="72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交给 Codex A2 的本地能力、实体和证券映射任务。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一页结论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A1 核心结论</w:t>
              <w:br/>
            </w:r>
            <w:r>
              <w:rPr>
                <w:rFonts w:ascii="Noto Sans CJK SC" w:hAnsi="Noto Sans CJK SC" w:eastAsia="Noto Sans CJK SC"/>
                <w:sz w:val="20"/>
              </w:rPr>
              <w:t>液冷需求已不只是概念：大额 AI 基础设施资本开支、液冷机架级平台和大规模客户自研部署同时存在。当前最成熟的公开路线是单相冷板式直接液冷，但浸没式、两相直接液冷、后门换热和风液混合会长期并存。真正需要继续验证的，不是“液冷会不会增长”，而是接口与认证、有效供给、客户自制、二供、交付验收和运维如何重新分配利润。</w:t>
            </w:r>
          </w:p>
        </w:tc>
      </w:tr>
    </w:tbl>
    <w:p>
      <w:pPr>
        <w:spacing w:after="0"/>
      </w:pP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最终付款人主要是超大规模云厂商、互联网平台、电信运营商、智算/AIDC与第三方数据中心业主，以及建设专用AI集群的企业、政府和科研机构。服务器厂商、系统集成商和工程总包可能是直接采购人，但不一定是最终付款人。 [EV001—EV007]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“液冷产业链”不能缩成冷板—CDU—泵。至少要覆盖芯片/封装界面、服务器液路、快速接头、机架歧管、CDU、设施水环、液质与洁净度、控制监测、制造测试、交付改造、运维和替代路线。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单相冷板DTC拥有最完整的公开平台、标准和产品生态，属于“已出现规模部署 + 标准仍在演进”；浸没式和两相DTC已有商业产品，但应用比例、流体与运维经济性仍需验证。 [EV004—EV020, EV034—EV038]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第一轮最值得深挖的潜在瓶颈是：冷板与封装协同设计、盲插/快接可靠性与解耦、CDU的水力/控制/洁净度/调试、流体与材料兼容、机架均流和客户认证。它们只是研究假设，不是利润结论。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潜在瓶颈同时面临明显的“正常化”力量：OCP开放规格、多供应商UQD、Google/Meta/NVIDIA等客户自研或开放设计、全球温控/电气/换热巨头并购和扩产。 [EV004—EV018, EV021—EV034]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中国已有多类正式产品与公司线索，但绝大多数公开材料只能证明“有产品或能力”，尚不能证明客户、订单、重复交付、收入、利润和现金。A2必须完成实体、证券代码、本地数据覆盖和官方原文核验。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A1 不形成股票名单。进入 A3/B 的资格取决于三道地基门：产业链完整性、数据可获得性、证据可靠性；关键关系缺证就降级为待核或未知。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第一部分　研究边界、方法与证据纪律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本轮严格沿用已批准的研究范围：从高功率 AI 训练与推理设备的热量与稳定运行需求开始，向上游追到能够独立采购、定义规格/接口/测试、独立认证、对应供应商，并可能改变交付、替代难度或利润归属的节点。普通铜、铝、钢铁、基础化工和通用机床仅在出现液冷专用规格、认证或供给约束时继续追溯。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V1要求从最终需求与最终付款人出发，依次形成需求图、钱流图、瓶颈利润图和时间图；V2要求公司映射从精确产品节点出发，严格区分“可用于、认证、订单、收入”；V3把完整性改写为“有界、可审计、未知公开”，并要求先过三道地基门；V4规定产业语义由ChatGPT负责、本地结构化事实由Codex负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8E6"/>
            <w:tcBorders>
              <w:top w:val="single" w:sz="10" w:color="A33A3A"/>
              <w:left w:val="single" w:sz="10" w:color="A33A3A"/>
              <w:bottom w:val="single" w:sz="10" w:color="A33A3A"/>
              <w:right w:val="single" w:sz="10" w:color="A33A3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A33A3A"/>
                <w:sz w:val="21"/>
              </w:rPr>
              <w:t>点时说明</w:t>
              <w:br/>
            </w:r>
            <w:r>
              <w:rPr>
                <w:rFonts w:ascii="Noto Sans CJK SC" w:hAnsi="Noto Sans CJK SC" w:eastAsia="Noto Sans CJK SC"/>
                <w:sz w:val="20"/>
              </w:rPr>
              <w:t>本轮资料截止固定为 2026-08-27T22:32:34+08:00。有明确发布日期且早于截止时点的材料可用于产业状态判断；无日期的当前官方产品页只作为能力/实体线索，并在证据清单中标为“需归档确认”。它们不能单独用于历史状态升级。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850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证据层级</w:t>
            </w:r>
          </w:p>
        </w:tc>
        <w:tc>
          <w:tcPr>
            <w:tcW w:type="dxa" w:w="249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典型来源</w:t>
            </w:r>
          </w:p>
        </w:tc>
        <w:tc>
          <w:tcPr>
            <w:tcW w:type="dxa" w:w="300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A1允许证明</w:t>
            </w:r>
          </w:p>
        </w:tc>
        <w:tc>
          <w:tcPr>
            <w:tcW w:type="dxa" w:w="283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A1禁止跨越</w:t>
            </w:r>
          </w:p>
        </w:tc>
      </w:tr>
      <w:tr>
        <w:trPr>
          <w:cantSplit/>
        </w:trPr>
        <w:tc>
          <w:tcPr>
            <w:tcW w:type="dxa" w:w="8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政府、标准组织、客户/平台方正式文件、投资者关系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需求、规格、标准、公开部署、资本开支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不能自动证明供应商利润或股票价值</w:t>
            </w:r>
          </w:p>
        </w:tc>
      </w:tr>
      <w:tr>
        <w:trPr>
          <w:cantSplit/>
        </w:trPr>
        <w:tc>
          <w:tcPr>
            <w:tcW w:type="dxa" w:w="85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公司正式产品页、正式新闻稿、年报/招股书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产品/能力、业务范围、公司自述进展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没有客户/金额时不能证明订单与规模</w:t>
            </w:r>
          </w:p>
        </w:tc>
      </w:tr>
      <w:tr>
        <w:trPr>
          <w:cantSplit/>
        </w:trPr>
        <w:tc>
          <w:tcPr>
            <w:tcW w:type="dxa" w:w="8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专业机构、联合报告、认证/专利/项目资料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行业结构、能力与过程线索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不能证明重复交付、收入和利润</w:t>
            </w:r>
          </w:p>
        </w:tc>
      </w:tr>
      <w:tr>
        <w:trPr>
          <w:cantSplit/>
        </w:trPr>
        <w:tc>
          <w:tcPr>
            <w:tcW w:type="dxa" w:w="85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媒体、互动平台、转载、关键词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发现实体与同义词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不能进入正式供应关系池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第二部分　最终需求与最终付款人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1. 最终需求：为什么高密AI设备必须解决液冷问题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需求起点不是“液冷概念”，而是加速器、CPU、交换芯片和存储在持续满载下产生的高热流密度。NVIDIA的GB200/GB300、Google TPU与Meta开放AI机架都把液冷或液冷兼容架构写入系统设计；Google还披露了跨两千多个TPU Pod的规模部署和面向存量风冷机房的Brazos改造路线。 [EV004—EV007, EV064—EV065]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2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最终使用者</w:t>
            </w:r>
          </w:p>
        </w:tc>
        <w:tc>
          <w:tcPr>
            <w:tcW w:type="dxa" w:w="272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为什么愿意付钱</w:t>
            </w:r>
          </w:p>
        </w:tc>
        <w:tc>
          <w:tcPr>
            <w:tcW w:type="dxa" w:w="238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典型约束</w:t>
            </w:r>
          </w:p>
        </w:tc>
        <w:tc>
          <w:tcPr>
            <w:tcW w:type="dxa" w:w="238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A1要追的采购结果</w:t>
            </w:r>
          </w:p>
        </w:tc>
      </w:tr>
      <w:tr>
        <w:trPr>
          <w:cantSplit/>
        </w:trPr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超大规模云与互联网平台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AI训练/推理容量直接转化为云服务和模型能力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GPU/TPU供给、上电速度、机柜密度、上线周期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液冷机架、CDU、管路、设施改造、运维</w:t>
            </w:r>
          </w:p>
        </w:tc>
      </w:tr>
      <w:tr>
        <w:trPr>
          <w:cantSplit/>
        </w:trPr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电信运营商、智算中心、AIDC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承担算力基础设施建设与运营，追求上架、能效和可靠性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电力指标、PUE、交付验收、客户上架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整机柜/液冷服务器、冷源、CDU、改造与服务</w:t>
            </w:r>
          </w:p>
        </w:tc>
      </w:tr>
      <w:tr>
        <w:trPr>
          <w:cantSplit/>
        </w:trPr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第三方数据中心/托管商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高密客户带来租金和容量需求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存量机房改造、责任边界、租期、资本回收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液到气/液到液方案、管网、监控与运维</w:t>
            </w:r>
          </w:p>
        </w:tc>
      </w:tr>
      <w:tr>
        <w:trPr>
          <w:cantSplit/>
        </w:trPr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企业/政府/科研专用集群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需要专用训练、推理、HPC或数据主权能力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预算审批、项目制、运维人才、利用率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系统设备、工程、验收与长期服务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2. 付款人、直接采购人与收款层级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资本开支证据显示，Microsoft、Alphabet和Amazon在2026年仍计划投入巨额资金扩建AI与云基础设施，但这些支出不会平均流向每个冷却环节。 [EV001—EV003]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58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55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典型角色</w:t>
            </w:r>
          </w:p>
        </w:tc>
        <w:tc>
          <w:tcPr>
            <w:tcW w:type="dxa" w:w="23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钱的性质</w:t>
            </w:r>
          </w:p>
        </w:tc>
        <w:tc>
          <w:tcPr>
            <w:tcW w:type="dxa" w:w="289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最容易犯的错误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最终预算决定者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云厂商、运营商、数据中心业主、企业/政府业主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CAPEX为主；部分OPEX/R&amp;D</w:t>
            </w:r>
          </w:p>
        </w:tc>
        <w:tc>
          <w:tcPr>
            <w:tcW w:type="dxa" w:w="28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把中间采购方当最终付款人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第一层收款人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服务器OEM、液冷系统商、数据中心总包/机电工程商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设备/工程合同、框架协议、验收收入</w:t>
            </w:r>
          </w:p>
        </w:tc>
        <w:tc>
          <w:tcPr>
            <w:tcW w:type="dxa" w:w="28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把合同金额直接当利润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第二层收款人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冷板、接头、歧管、CDU部件、换热器、泵、流体、传感器供应商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部件订单、定点、批量交付</w:t>
            </w:r>
          </w:p>
        </w:tc>
        <w:tc>
          <w:tcPr>
            <w:tcW w:type="dxa" w:w="28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把“会用到”当成份额与议价权</w:t>
            </w:r>
          </w:p>
        </w:tc>
      </w:tr>
      <w:tr>
        <w:trPr>
          <w:cantSplit/>
        </w:trPr>
        <w:tc>
          <w:tcPr>
            <w:tcW w:type="dxa" w:w="158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持续服务收款人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监控、液质检测、换液、过滤、备件、清洗、维护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OPEX/服务费</w:t>
            </w:r>
          </w:p>
        </w:tc>
        <w:tc>
          <w:tcPr>
            <w:tcW w:type="dxa" w:w="28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假设所有服务都能独立收费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第三部分　V1 四张图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3. 需求图：从AI工作量到必须采购清单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6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终端变化</w:t>
            </w:r>
          </w:p>
        </w:tc>
        <w:tc>
          <w:tcPr>
            <w:tcW w:type="dxa" w:w="283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系统必须完成</w:t>
            </w:r>
          </w:p>
        </w:tc>
        <w:tc>
          <w:tcPr>
            <w:tcW w:type="dxa" w:w="294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对应采购</w:t>
            </w:r>
          </w:p>
        </w:tc>
        <w:tc>
          <w:tcPr>
            <w:tcW w:type="dxa" w:w="113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AI训练/推理/Agent工作量增加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GPU/TPU/CPU、网络和内存持续满载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热源功率与热流密度上升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N01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芯片必须保持结温与性能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把热从封装导出并均匀带走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TIM、冷板、冷却液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N02—N03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服务器必须可维护与可换件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液路连接不能滴漏、混气或错接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管路、UQD/盲插快接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N04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机架内多托盘要均匀供液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不同支路流量和压降需要平衡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歧管、阀门、传感器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N05—N07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技术回路要与设施回路隔离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需要换热、泵送、过滤、补液、冗余和控制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CDU及其子系统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N08—N13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长期运行不能腐蚀、堵塞或污染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需要专用液体、水质、清洗和材料兼容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冷却液、水处理、洁净度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N14—N18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热量最终要排向环境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受气候、温度窗口和水资源约束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干冷器、冷机、冷却塔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N19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存量机房不能一次性重建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需要局部/混合改造路线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RDHx、液到气CDU、预制管路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N20,N24,N31,N35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系统要交付并持续可用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需要设计、调试、验收、监测和维护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集成/改造、BMS/DCIM、O&amp;M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N23,N28,N29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客户可能选择不同技术路线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必须评估替代、自制和二供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DTC、浸没、两相、混合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N32—N35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FF3F1"/>
            <w:tcBorders>
              <w:top w:val="single" w:sz="10" w:color="0E7C7B"/>
              <w:left w:val="single" w:sz="10" w:color="0E7C7B"/>
              <w:bottom w:val="single" w:sz="10" w:color="0E7C7B"/>
              <w:right w:val="single" w:sz="10" w:color="0E7C7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E7C7B"/>
                <w:sz w:val="21"/>
              </w:rPr>
              <w:t>需求图的结果</w:t>
              <w:br/>
            </w:r>
            <w:r>
              <w:rPr>
                <w:rFonts w:ascii="Noto Sans CJK SC" w:hAnsi="Noto Sans CJK SC" w:eastAsia="Noto Sans CJK SC"/>
                <w:sz w:val="20"/>
              </w:rPr>
              <w:t>把“AI需要散热”改写成可采购、可认证、可对应供应商的节点；但需求图仍不能告诉我们哪家公司能赚钱。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4. 钱流图：从预算到订单、收入与现金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13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预算类型</w:t>
            </w:r>
          </w:p>
        </w:tc>
        <w:tc>
          <w:tcPr>
            <w:tcW w:type="dxa" w:w="215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典型付款人</w:t>
            </w:r>
          </w:p>
        </w:tc>
        <w:tc>
          <w:tcPr>
            <w:tcW w:type="dxa" w:w="249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先流向哪里</w:t>
            </w:r>
          </w:p>
        </w:tc>
        <w:tc>
          <w:tcPr>
            <w:tcW w:type="dxa" w:w="255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再流向哪里</w:t>
            </w:r>
          </w:p>
        </w:tc>
        <w:tc>
          <w:tcPr>
            <w:tcW w:type="dxa" w:w="226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后续必须验证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CAPEX</w:t>
            </w:r>
          </w:p>
        </w:tc>
        <w:tc>
          <w:tcPr>
            <w:tcW w:type="dxa" w:w="215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云厂商/运营商/业主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服务器OEM、系统商、总包、冷源设备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冷板、接头、CDU部件、管路、换热器、泵、流体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合同是否可取消、交付、验收、毛利、应收和现金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OPEX</w:t>
            </w:r>
          </w:p>
        </w:tc>
        <w:tc>
          <w:tcPr>
            <w:tcW w:type="dxa" w:w="215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数据中心运营者/托管商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运维服务、监控、液质管理、备件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流体、过滤、传感、清洗、维修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是否独立收费、频率、续约、售后成本</w:t>
            </w:r>
          </w:p>
        </w:tc>
      </w:tr>
      <w:tr>
        <w:trPr>
          <w:cantSplit/>
        </w:trPr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R&amp;D/验证</w:t>
            </w:r>
          </w:p>
        </w:tc>
        <w:tc>
          <w:tcPr>
            <w:tcW w:type="dxa" w:w="215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平台厂/OEM/最终客户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样机、测试、认证、兼容性开发</w:t>
            </w:r>
          </w:p>
        </w:tc>
        <w:tc>
          <w:tcPr>
            <w:tcW w:type="dxa" w:w="255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测试设备、试制、工艺和工程支持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验证能否转为重复订单和跨客户复制</w:t>
            </w:r>
          </w:p>
        </w:tc>
      </w:tr>
    </w:tbl>
    <w:p>
      <w:pPr>
        <w:spacing w:after="0"/>
      </w:pP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钱流中最重要的断点是：付款人资本开支 → 第一层系统/工程订单 → 第二层部件订单 → 交付验收 → 收入 → 毛利 → 现金。A1只识别前半段，后半段由A2/B/C完成。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5. 瓶颈利润图：潜在瓶颈与正常化力量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70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13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难替代初判</w:t>
            </w:r>
          </w:p>
        </w:tc>
        <w:tc>
          <w:tcPr>
            <w:tcW w:type="dxa" w:w="141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利润留存初判</w:t>
            </w:r>
          </w:p>
        </w:tc>
        <w:tc>
          <w:tcPr>
            <w:tcW w:type="dxa" w:w="283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为什么可能成为瓶颈</w:t>
            </w:r>
          </w:p>
        </w:tc>
        <w:tc>
          <w:tcPr>
            <w:tcW w:type="dxa" w:w="23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最强正常化力量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冷板与封装/TIM协同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中—高待证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客户定制、热阻/压降/可靠性、制造良率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OEM/平台自研、二供、代际变化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盲插/UQD快速接头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中—高待证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滴漏、混气、错位、插拔寿命、解耦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OCP标准、多供应商、价格竞争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CDU系统工程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中—高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中待证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多MW换热、泵、过滤、控制、洁净度、现场调试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开放规格、大厂扩产、系统集成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液质/材料兼容/洁净度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中—高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中待证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腐蚀、污染、微通道堵塞、长期维护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多流体供应商、客户标准化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机架歧管/水力平衡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中待证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均流、压降、维护空间、接口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OEM自制、标准化、聚合物/金属路线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测试认证与调试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中—高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项目型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客户资格和可靠性，周期可能限制有效产能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客户自测、第三方/系统商内置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泵/板换/阀门/传感器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低—中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数据中心工况和冗余要求提高规格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成熟工业供应、多供应商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冷站/干冷器/通用管网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低—中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低—中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项目地理、能效与交付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成熟HVAC供给、项目竞争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系统集成/机房改造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项目瓶颈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收入大但利润待证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责任边界、工期、验收、垫资、回款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总包竞争、客户强势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6"/>
            <w:tcBorders>
              <w:top w:val="single" w:sz="10" w:color="B8860B"/>
              <w:left w:val="single" w:sz="10" w:color="B8860B"/>
              <w:bottom w:val="single" w:sz="10" w:color="B8860B"/>
              <w:right w:val="single" w:sz="10" w:color="B8860B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B8860B"/>
                <w:sz w:val="21"/>
              </w:rPr>
              <w:t>必须防止的误读</w:t>
              <w:br/>
            </w:r>
            <w:r>
              <w:rPr>
                <w:rFonts w:ascii="Noto Sans CJK SC" w:hAnsi="Noto Sans CJK SC" w:eastAsia="Noto Sans CJK SC"/>
                <w:sz w:val="20"/>
              </w:rPr>
              <w:t>以上是“需要继续验证的瓶颈假设”，不是公司排序。开放标准和供应商扩张可能很快把技术瓶颈变成普通部件；项目订单也可能被低毛利、质保和营运资金吞噬。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6. 时间图：不同路线走到哪一步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3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精确命题</w:t>
            </w:r>
          </w:p>
        </w:tc>
        <w:tc>
          <w:tcPr>
            <w:tcW w:type="dxa" w:w="147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当前阶段（A1）</w:t>
            </w:r>
          </w:p>
        </w:tc>
        <w:tc>
          <w:tcPr>
            <w:tcW w:type="dxa" w:w="249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支持材料</w:t>
            </w:r>
          </w:p>
        </w:tc>
        <w:tc>
          <w:tcPr>
            <w:tcW w:type="dxa" w:w="198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下一证据</w:t>
            </w:r>
          </w:p>
        </w:tc>
        <w:tc>
          <w:tcPr>
            <w:tcW w:type="dxa" w:w="198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降级/失效条件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单相冷板DTC进入高密AI机架规模部署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规模部署+标准演进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平台/OEM/客户公开架构与OCP生态 [EV004—EV020]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跨客户重复部署、标准版本、现场可靠性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平台路线切换、客户自制、供应过剩/降价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冷板、CDU、歧管和UQD形成独立采购节点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产品/订单已出现，资格与价值分配仍在验证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OCP目录与多家正式产品 [EV010—EV025]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客户定点、重复订单、收入/毛利拆分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系统商内置、开放规格压价、二供通过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单相浸没形成可复制数据中心路线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商业产品/选择性部署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LiquidStack/GRC/Sugon产品 [EV035—EV036, EV044]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重复项目、运维成本、流体寿命、服务器适配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客户维护习惯、流体/消防/服务限制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两相DTC/两相浸没成为主流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正在验证/早期商业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ZutaCore/LiquidStack/Valeo [EV035,EV037,EV062]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大规模客户、OEM认证、工质供应、长期可靠性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法规/工质、维护复杂、单相路线成本下降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后门换热/液到气混合成为存量改造重要路径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已有产品/部署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Google Brazos、Meta AALC、系统商产品 [EV006,EV022—EV026,EV038]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改造项目数量、密度上限、全寿命能效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全设施水改造加速、DTC成本下降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液质检测和运维形成持续独立收入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正在验证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流体厂商和系统服务能力 [EV015—EV016,EV023]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服务合同、换液周期、故障与备件数据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客户自运维、系统商打包、标准液体寿命延长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余热利用形成普遍利润池</w:t>
            </w:r>
          </w:p>
        </w:tc>
        <w:tc>
          <w:tcPr>
            <w:tcW w:type="dxa" w:w="147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示范/政策与局部商业</w:t>
            </w:r>
          </w:p>
        </w:tc>
        <w:tc>
          <w:tcPr>
            <w:tcW w:type="dxa" w:w="249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OCP热复用与两相方案 [EV008,EV062]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热用户合同、利用小时、改造回报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场址/季节性/热网限制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第四部分　四种状态必须挂在精确命题上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36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3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A1中的液冷精确命题</w:t>
            </w:r>
          </w:p>
        </w:tc>
        <w:tc>
          <w:tcPr>
            <w:tcW w:type="dxa" w:w="272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允许结论</w:t>
            </w:r>
          </w:p>
        </w:tc>
        <w:tc>
          <w:tcPr>
            <w:tcW w:type="dxa" w:w="272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禁止结论</w:t>
            </w:r>
          </w:p>
        </w:tc>
      </w:tr>
      <w:tr>
        <w:trPr>
          <w:cantSplit/>
        </w:trPr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已出现订单/规模部署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高密AI平台与部分单相DTC系统已实际部署；CDU/冷板/连接器已有商业产品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继续研究交付、标准、份额、毛利和现金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所有液冷公司都已受益；订单必然高利润</w:t>
            </w:r>
          </w:p>
        </w:tc>
      </w:tr>
      <w:tr>
        <w:trPr>
          <w:cantSplit/>
        </w:trPr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正在验证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两相DTC、浸没路线份额、盲插解耦、客户自制范围、独立运维收入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建立升级条件和待核字段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把认证、产品发布或试点当批量收入</w:t>
            </w:r>
          </w:p>
        </w:tc>
      </w:tr>
      <w:tr>
        <w:trPr>
          <w:cantSplit/>
        </w:trPr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只有政策/行业推动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绿色数据中心、开放标准、能效与热复用方向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作为需求和标准背景，设置监控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把政策目标直接分配给公司</w:t>
            </w:r>
          </w:p>
        </w:tc>
      </w:tr>
      <w:tr>
        <w:trPr>
          <w:cantSplit/>
        </w:trPr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只有概念/弱线索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“热管理=液冷核心”“有冷板=进入AI客户”“参编标准=批量供货”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只进入线索池或剔除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进入正式供应关系或计算主题收入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第五部分　V3 七视图：怎样避免漏掉关键节点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1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视图</w:t>
            </w:r>
          </w:p>
        </w:tc>
        <w:tc>
          <w:tcPr>
            <w:tcW w:type="dxa" w:w="300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必须看什么</w:t>
            </w:r>
          </w:p>
        </w:tc>
        <w:tc>
          <w:tcPr>
            <w:tcW w:type="dxa" w:w="175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对应节点</w:t>
            </w:r>
          </w:p>
        </w:tc>
        <w:tc>
          <w:tcPr>
            <w:tcW w:type="dxa" w:w="334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对研究结论的作用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 功能/使用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热量从芯片安全、稳定、连续地移出；故障不能导致计算中断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N01—N03,N07,N23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热负载、结温、可靠性、冗余与故障处置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 物理产品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从冷板、接头、歧管到CDU、管网、冷源和替代系统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N02—N22,N31—N35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不要把系统设备、部件、材料和工程混成同一生意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制造过程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精密加工、钎焊/密封、清洗、装配、测试、过滤和液体配制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N25—N27,N11,N18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名义产能不等于合格有效产能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 接口/标准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封装—冷板、服务器—歧管、CDU—设施水、控制协议和验收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N02,N04,N05,N08,N13,N23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开放标准促进多供应，也可能存在客户专用版本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 交付/部署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设计、机房改造、预制、清洗灌液、调试、验收与收入确认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N17,N19,N24,N28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订单金额不能跳过交付、验收和回款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 运维/生命周期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液质、过滤、清洗、备件、漏液、传感、升级和路线迁移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N07,N11,N14—N18,N23,N29,N30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持续服务可能收费，也可能成为高售后成本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 经济/竞争</w:t>
            </w:r>
          </w:p>
        </w:tc>
        <w:tc>
          <w:tcPr>
            <w:tcW w:type="dxa" w:w="300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最终付款人、平台/OEM自制、系统商内置、二供、开放标准和替代路线</w:t>
            </w:r>
          </w:p>
        </w:tc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N31—N35及全部实体</w:t>
            </w:r>
          </w:p>
        </w:tc>
        <w:tc>
          <w:tcPr>
            <w:tcW w:type="dxa" w:w="334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利润可能从部件迁移到系统、服务或客户自制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七视图中的关键闭合检查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每个关键功能必须对应产品节点或“未知占位”，不能出现没有承载物的功能。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每个关键产品必须能追到下游使用、上游制造/接口和交付/运维，避免孤儿节点。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每条高影响关系必须写清来源、时间、能证明什么、不能证明什么。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每个潜在瓶颈都要同时搜索替代路线、客户自制、第二供应商和扩产。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A1不承诺绝对找全；A3才结合A2本地能力审计判断通过、混合、缩减或阻塞。</w:t>
      </w:r>
    </w:p>
    <w:p>
      <w:pPr>
        <w:sectPr>
          <w:footerReference w:type="default" r:id="rId9"/>
          <w:pgSz w:w="12240" w:h="15840"/>
          <w:pgMar w:top="1020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第六部分　精确产品节点词典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type="dxa" w:w="6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节点</w:t>
            </w:r>
          </w:p>
        </w:tc>
        <w:tc>
          <w:tcPr>
            <w:tcW w:type="dxa" w:w="124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视图</w:t>
            </w:r>
          </w:p>
        </w:tc>
        <w:tc>
          <w:tcPr>
            <w:tcW w:type="dxa" w:w="226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系统作用</w:t>
            </w:r>
          </w:p>
        </w:tc>
        <w:tc>
          <w:tcPr>
            <w:tcW w:type="dxa" w:w="238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需核规格/指标</w:t>
            </w:r>
          </w:p>
        </w:tc>
        <w:tc>
          <w:tcPr>
            <w:tcW w:type="dxa" w:w="181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替代/自制</w:t>
            </w:r>
          </w:p>
        </w:tc>
        <w:tc>
          <w:tcPr>
            <w:tcW w:type="dxa" w:w="141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A1状态</w:t>
            </w:r>
          </w:p>
        </w:tc>
        <w:tc>
          <w:tcPr>
            <w:tcW w:type="dxa" w:w="136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高功率AI热源/加速器与封装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功能/物理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GPU/TPU/CPU及封装产生高热流密度，决定散热需求起点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TDP、热流密度、封装尺寸、可允许结温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平台厂自研、封装代际变化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已出现规模部署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EV004,EV005,EV064,EV065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导热界面材料与芯片—冷板接触界面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物理/制造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决定芯片到冷板的第一段热阻、装配压力与长期可靠性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导热系数、泵出、厚度、平整度、压紧力、材料兼容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封装厂/OEM内置、自制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正在验证/随平台变化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EV004,EV045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冷板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物理/制造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直接从芯片/关键器件吸热；高度依赖封装、流道、材料和装配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热阻、压降、流量、均温、腐蚀、泄漏、良率、寿命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OEM/平台自研，二供快速进入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已出现订单+持续验证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EV004,EV005,EV031,EV032,EV033,EV043,EV045,EV060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服务器内管路与快速接头/盲插接头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接口/物理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支持服务器维护、热插拔与无泄漏连接；接口失配会阻断解耦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Cv/压降、滴漏、气体夹带、插拔力、错位容差、循环寿命、密封材料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OCP标准化、多供应商、客户专用接口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订单/产品已出，标准与认证仍在演进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EV010,EV011,EV012,EV013,EV019,EV020,EV040,EV050,EV055,EV056,EV057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机架歧管/供回液分配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物理/接口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把流量均匀分配到各托盘/服务器并支持维护冗余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均流、压降、耐压、接口、维护空间、材料、颗粒洁净度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OEM自制、标准歧管、二供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已商业化+客户定制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EV005,EV006,EV014,EV040,EV048,EV062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阀门与执行器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物理/控制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调节、隔离、旁通和维护；影响水力平衡和故障隔离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Cv、关断泄漏、响应、耐腐蚀、冗余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通用工业阀替代、集成进CDU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成熟供给，AI专用性待核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流量/压力/温度/水质/漏液传感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控制/运维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为流量平衡、热保护、漏液和预测维护提供反馈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精度、漂移、响应、通信、误报率、耐液体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CDU/OEM内置、通用传感器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商业化，独立价值量待核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EV006,EV023,EV025,EV039,EV040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冷却液分配单元CDU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物理/接口/控制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隔离设施水与技术冷却回路，完成换热、泵送、过滤、补液、控制与保护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冷量、ATD、流量、扬程、冗余、洁净度、温控、可维护性、协议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开放规格、多供应商、OEM自制、L2A替代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已出现规模产品，供给快速扩张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EV005,EV006,EV009,EV017,EV018,EV021,EV023,EV024,EV025,EV039,EV041,EV054,EV058,EV061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N09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循环泵/无密封泵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制造/物理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提供二次侧流量与压头，可靠性决定停机风险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扬程、效率、冗余、寿命、振动、密封/无密封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多家工业泵厂、CDU厂集成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成熟部件，数据中心资格待核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EV017,EV018,EV021,EV023,EV039,EV041,EV058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板式换热器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制造/物理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隔离一次/二次回路并控制接近温差和压降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换热量、ATD、压降、材料、钎焊质量、污染容忍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多家成熟换热器厂、CDU自制/采购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成熟供给，AI规格升级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EV017,EV018,EV021,EV023,EV028,EV029,EV039,EV041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过滤/旁滤/颗粒控制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制造/运维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控制颗粒、焊渣和污染，保护微通道冷板和阀件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过滤精度、压损、旁滤比例、更换周期、清洁度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CDU集成、独立过滤供应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商业化，长期维护证据不足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EV015,EV016,EV017,EV018,EV023,EV039,EV058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膨胀、补液、脱气与排气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物理/运维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管理体积变化、气穴、气体夹带和补液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膨胀容积、脱气效率、补液策略、排气位置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CDU集成、现场服务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商业化，设计差异大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EV023,EV039,EV040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变频驱动、PLC与CDU控制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控制/接口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按负载调节流量、保护设备并接入BMS/DCIM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控制精度、冗余、协议、告警、网络安全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OEM自研、通用PLC/VFD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商业化，软件价值独立性待核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EV017,EV018,EV021,EV023,EV025,EV039,EV041,EV058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单相水/乙二醇/丙二醇冷却液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材料/运维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作为DTC二次侧传热介质，影响腐蚀、微生物、冻结和寿命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浓度、水质、导电率、pH、腐蚀、材料兼容、监测周期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多流体供应商、现场配制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产品已商业化，长期标准化仍在演进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EV015,EV016,EV059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介电两相DTC工质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材料/替代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通过相变直接从芯片移热，减少水风险但改变系统与维护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沸点、介电性、材料兼容、补充、法规、供应稳定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专有工质、替代路线、供应集中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正在验证/早期商业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EV037,EV062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浸没式介电液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材料/替代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服务器整体浸没，改变服务器、运维和材料体系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介电性、黏度、闪点、材料兼容、挥发/损耗、可回收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单相/两相路线、流体法规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商业产品存在，规模与路线分化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EV035,EV036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设施水环/一次侧管网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交付/物理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把热量从CDU带到冷站/干冷器/冷却塔；新建与改造差异大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供回水温、流量、压力、材质、冗余、水质、施工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液到气CDU、局部改造、客户现有设施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成熟工程，改造成为约束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EV006,EV009,EV021,EV022,EV046,EV054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水处理、清洗与材料兼容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制造/运维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控制腐蚀、结垢、生物污染和微通道堵塞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水质、清洗残留、腐蚀速率、材料对、验收颗粒度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专用流体服务、运维外包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隐藏关键点，公开数据不足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EV015,EV016,EV020,EV059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N19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最终排热：干冷器/冷机/冷却塔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物理/设施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将热量排向环境，受气候、水资源和温度窗口影响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设计湿球/干球、供水温度、能效、水耗、冗余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自由冷却、蒸发冷、液到气局部方案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成熟供给，项目条件决定组合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EV006,EV022,EV046,EV048,EV054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后门换热器RDHx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替代/产品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在机架后门捕捉热量，适合改造和中高密度混合场景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冷量、风阻、漏液、门体承载、设施水条件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风冷、DTC、液到气CDU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已有产品/部署，密度上限场景化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EV008,EV022,EV023,EV038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单相浸没槽/系统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替代/产品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将IT设备浸入介电液，减少风扇与传统风冷设施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槽体容量、流体、维护、布线、消防、热排散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DTC、两相浸没、客户不接受运维变化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商业化但应用比例不明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EV008,EV035,EV036,EV044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两相浸没/冷凝回路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替代/产品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通过沸腾与冷凝移热，可高密但工质与运维体系变化大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冷凝能力、工质损耗、密封、法规、维护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单相浸没、两相DTC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早期商业/验证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EV035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BMS/DCIM/遥测与控制接口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接口/软件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把液冷状态纳入设施与IT运维，支持告警、容量和故障定位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Modbus/SNMP/API、数据粒度、网络安全、联动策略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系统商内置、独立平台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商业化，独立收费能力待核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EV006,EV007,EV023,EV025,EV039,EV040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预制管路、skid与模块化交付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交付/制造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减少现场焊接和调试，缩短高密项目部署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工厂预制比例、洁净度、接口、运输、现场接驳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现场工程、系统商集成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商业化，项目毛利/现金风险待核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EV021,EV025,EV034,EV040,EV048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精密加工与微通道制造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决定冷板流道、平整度、压降和批量一致性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加工精度、毛刺、表面质量、良率、设备节拍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蚀刻/钎焊/增材等替代工艺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潜在隐藏瓶颈，公开产能不足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EV045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钎焊/焊接/密封与表面处理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决定密封、腐蚀与寿命，失效可能造成系统事故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焊缝、氦检、耐压、腐蚀、清洁、密封材料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一体加工、胶接、不同材料路线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潜在隐藏瓶颈，需实体/工艺核验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EV013,EV018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泄漏/压力/流量/热性能/腐蚀/寿命测试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制造/认证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把产品能力变成可进入客户供应链的资格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试验覆盖、周期、标准、抽检、失效率、可追溯性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客户自测、第三方实验室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关键认证环节，公开通过率未知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EV013,EV019,EV020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系统设计、集成、机房改造与调试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交付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把设备拼成可运行系统并完成清洗、灌液、调试和验收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工期、责任边界、验收、质保、垫资、回款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OEM总包、专业温控商、工程商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已有项目能力，利润/现金风险较高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EV006,EV009,EV022,EV026,EV042,EV050,EV051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N29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运维：液质检测、换液、过滤、备件、清洗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决定长期可靠性和持续服务收入，也可能形成高售后成本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液质、过滤器寿命、故障率、备件、响应时间、年检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客户自运维、系统商打包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需求存在，收入模式/频率未知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EV015,EV016,EV023,EV040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N30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余热回收与热复用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运维/替代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高温液冷回水可提高余热利用可行性，但受地点和热负荷约束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可用温度、利用小时、热网、合同、改造成本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直接排热、低品位热无法利用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示范/早期商业，通用经济性未知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EV008,EV011,EV062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N31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液到气局部闭环/风液混合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替代/交付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在无设施水或改造困难场景部署液冷设备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机架冷量、房间排热、噪声、空间、效率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全设施水DTC、RDHx、纯风冷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商业化，适合存量改造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EV006,EV023,EV026,EV038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N32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单相冷板DTC路线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路线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当前公开部署和标准生态最完整的路线之一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平台支持、CDU、UQD、流体、运维、设施水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两相DTC、浸没、RDHx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已规模部署+标准演进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EV004,EV005,EV008,EV010,EV017,EV031,EV032,EV033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N33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单相浸没路线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路线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减少风扇和传统机柜气流，但改变IT维护与流体体系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服务器兼容、流体、槽体、消防、维护、供应链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DTC、两相浸没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商业化/选择性部署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EV008,EV036,EV044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N34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两相DTC路线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路线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高热流密度、无水/低流量潜力，但工质与系统专有性更高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工质、冷凝、密封、法规、OEM认证、维护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单相DTC、浸没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验证/早期商业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EV037,EV062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N35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传统风冷与高效风冷混合路线</w:t>
            </w:r>
          </w:p>
        </w:tc>
        <w:tc>
          <w:tcPr>
            <w:tcW w:type="dxa" w:w="124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路线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中低密度、存量机房或非关键器件仍可能保留风冷</w:t>
            </w:r>
          </w:p>
        </w:tc>
        <w:tc>
          <w:tcPr>
            <w:tcW w:type="dxa" w:w="238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风量、压损、风机功耗、房间冷量、机柜密度</w:t>
            </w:r>
          </w:p>
        </w:tc>
        <w:tc>
          <w:tcPr>
            <w:tcW w:type="dxa" w:w="181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DTC/RDHx/液到气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长期共存，非全量液冷</w:t>
            </w:r>
          </w:p>
        </w:tc>
        <w:tc>
          <w:tcPr>
            <w:tcW w:type="dxa" w:w="13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EV006,EV038,EV046</w:t>
            </w:r>
          </w:p>
        </w:tc>
      </w:tr>
    </w:tbl>
    <w:p>
      <w:pPr>
        <w:spacing w:after="0"/>
      </w:pP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节点词典的用途不是把产业链堆得越长越好，而是给A2提供统一的名称、同义词、系统位置和核验边界。A2扫描到任何公司关键词时，只能生成“待核线索”，不能直接升级为供应关系。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第七部分　替代路线、客户自制、二供与利润池迁移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175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力量</w:t>
            </w:r>
          </w:p>
        </w:tc>
        <w:tc>
          <w:tcPr>
            <w:tcW w:type="dxa" w:w="283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公开迹象</w:t>
            </w:r>
          </w:p>
        </w:tc>
        <w:tc>
          <w:tcPr>
            <w:tcW w:type="dxa" w:w="272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可能影响</w:t>
            </w:r>
          </w:p>
        </w:tc>
        <w:tc>
          <w:tcPr>
            <w:tcW w:type="dxa" w:w="260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A2/A3必须核对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平台/客户自研架构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Google、Meta、NVIDIA公开或贡献机架、CDU、冷却规范 [EV004—EV007]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压缩通用系统商/部件商的设计权，形成客户专用认证</w:t>
            </w:r>
          </w:p>
        </w:tc>
        <w:tc>
          <w:tcPr>
            <w:tcW w:type="dxa" w:w="260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公司是独立供应商、代工、联合设计还是仅兼容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开放规格与多供应商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OCP UQD、Deschutes CDU、manifold与流体目录出现多家供应商 [EV010—EV018,EV055—EV059]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降低锁定，提高可替代性和价格竞争；同时扩大市场</w:t>
            </w:r>
          </w:p>
        </w:tc>
        <w:tc>
          <w:tcPr>
            <w:tcW w:type="dxa" w:w="260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谁真正通过客户版本/寿命/现场认证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系统商端到端整合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Schneider、Eaton/Boyd、Trane/LiquidStack等扩展芯片到冷站 [EV021—EV027,EV063]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利润从单部件向系统集成、服务和全球交付迁移</w:t>
            </w:r>
          </w:p>
        </w:tc>
        <w:tc>
          <w:tcPr>
            <w:tcW w:type="dxa" w:w="260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部件是否自制，还是采购；并购后收入归属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服务器OEM内置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Dell、HPE、Lenovo、Pegatron、xFusion、Kunlun等提供液冷整机/整柜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外部可服务市场可能小于终端液冷市场</w:t>
            </w:r>
          </w:p>
        </w:tc>
        <w:tc>
          <w:tcPr>
            <w:tcW w:type="dxa" w:w="260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冷板、接头、歧管、CDU由谁提供，是否多源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技术替代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DTC、浸没、RDHx、液到气与混合并存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不同节点需求和价值量发生迁移</w:t>
            </w:r>
          </w:p>
        </w:tc>
        <w:tc>
          <w:tcPr>
            <w:tcW w:type="dxa" w:w="260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按客户场景拆分，不用单一路线外推全部市场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效率提升与热设计变化</w:t>
            </w:r>
          </w:p>
        </w:tc>
        <w:tc>
          <w:tcPr>
            <w:tcW w:type="dxa" w:w="283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封装/TIM/芯片效率、供水温度和软件调度改善</w:t>
            </w:r>
          </w:p>
        </w:tc>
        <w:tc>
          <w:tcPr>
            <w:tcW w:type="dxa" w:w="272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单位算力冷却需求可能下降或节点迁移</w:t>
            </w:r>
          </w:p>
        </w:tc>
        <w:tc>
          <w:tcPr>
            <w:tcW w:type="dxa" w:w="260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需求增速与单位用量分开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第八部分　第一轮上市与非上市公司线索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FCE8E6"/>
            <w:tcBorders>
              <w:top w:val="single" w:sz="10" w:color="A33A3A"/>
              <w:left w:val="single" w:sz="10" w:color="A33A3A"/>
              <w:bottom w:val="single" w:sz="10" w:color="A33A3A"/>
              <w:right w:val="single" w:sz="10" w:color="A33A3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A33A3A"/>
                <w:sz w:val="21"/>
              </w:rPr>
              <w:t>公司线索的准确含义</w:t>
              <w:br/>
            </w:r>
            <w:r>
              <w:rPr>
                <w:rFonts w:ascii="Noto Sans CJK SC" w:hAnsi="Noto Sans CJK SC" w:eastAsia="Noto Sans CJK SC"/>
                <w:sz w:val="20"/>
              </w:rPr>
              <w:t>下表只回答“谁值得继续核验、对应哪个节点、当前最强材料是什么”。除明确的最终付款人和平台架构外，任何供应商名称都不代表已供货、核心供应商、份额高或利润重要。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  <w:cantSplit/>
        </w:trPr>
        <w:tc>
          <w:tcPr>
            <w:tcW w:type="dxa" w:w="170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实体</w:t>
            </w:r>
          </w:p>
        </w:tc>
        <w:tc>
          <w:tcPr>
            <w:tcW w:type="dxa" w:w="96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地域</w:t>
            </w:r>
          </w:p>
        </w:tc>
        <w:tc>
          <w:tcPr>
            <w:tcW w:type="dxa" w:w="130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上市状态提示</w:t>
            </w:r>
          </w:p>
        </w:tc>
        <w:tc>
          <w:tcPr>
            <w:tcW w:type="dxa" w:w="198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第一轮角色</w:t>
            </w:r>
          </w:p>
        </w:tc>
        <w:tc>
          <w:tcPr>
            <w:tcW w:type="dxa" w:w="141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节点</w:t>
            </w:r>
          </w:p>
        </w:tc>
        <w:tc>
          <w:tcPr>
            <w:tcW w:type="dxa" w:w="119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04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当前证据含义</w:t>
            </w:r>
          </w:p>
        </w:tc>
        <w:tc>
          <w:tcPr>
            <w:tcW w:type="dxa" w:w="226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不能证明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Microsoft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最终付款人/自建AI基础设施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N01,N08,N17,N19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EV001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A：资本开支与容量约束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不代表其直接采购任何特定供应商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Alphabet / Google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最终付款人/自研TPU与液冷架构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N01,N03,N05,N08,N23,N31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EV002,EV005,EV006,EV064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A：资本开支、规模部署与自研架构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供应商和采购份额未知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Amazon / AWS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最终付款人/自研加速器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N01,N08,N17,N19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EV003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A：资本开支与AI芯片需求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液冷路线和供应商未知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Meta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最终付款人/开放机架与混合液冷设计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N01,N03,N05,N08,N23,N31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EV007,EV038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A：自研/开放架构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供应商和外采比例未知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NVIDIA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平台定义者/液冷机架架构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EV004,EV065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A：平台与规格贡献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非冷却部件收入/供应关系证明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Dell Technologies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服务器OEM/系统集成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N01,N02,N03,N04,N23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EV031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冷板/接头供应商、订单规模未知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Hewlett Packard Enterprise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服务器OEM/整机柜液冷架构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EV032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B：正式架构与产品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供应商、收入和客户规模未知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Lenovo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中国/全球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服务器OEM/Neptune液冷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EV033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具体供应商和业务占比未知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Pegatron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中国台湾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ODM/ORv3冷板服务器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N01,N02,N03,N04,N05,N23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EV060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A/B：OCP产品能力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部署量与供应商未知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Schneider Electric / Motivair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法国/美国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海外上市+子公司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端到端液冷系统/CDU/冷源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N02,N08,N17,N19,N20,N23,N28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EV021,EV022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B：正式产品与路线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订单、份额和利润未知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Vertiv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CDU/热管理/控制与服务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N08,N11,N13,N17,N20,N23,N28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EV023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页面时点、订单和盈利未知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Eaton / Boyd Thermal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海外上市+收购标的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CDU/冷板/电力到芯片集成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N02,N08,N10,N24,N28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EV018,EV027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A/B：OCP产品与战略整合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收购后协同、订单和利润未知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Modine / Airedale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美国/英国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海外上市+子公司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CDU/冷源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N08,N17,N19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EV024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部署规模和差异化未知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nVent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英国/美国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CDU/歧管/机柜/漏液与控制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N05,N07,N08,N23,N24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EV025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订单和收入占比未知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Trane Technologies / LiquidStack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爱尔兰/美国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海外上市+子公司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CDU/浸没/芯片到冷站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N08,N17,N19,N21,N24,N28,N33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EV034,EV035,EV063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B：产品与并购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订单/路线占比/盈利未知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CoolIT Systems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加拿大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冷板/CDU/歧管/液到气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N02,N05,N08,N20,N24,N28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EV026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客户、订单和规模未知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STULZ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德国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Deschutes CDU/冷源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N08,N09,N10,N11,N12,N13,N19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EV017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A/B：OCP产品能力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部署量和利润未知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Parker Hannifin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UQD/流体连接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EV012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客户认证、订单和份额未知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Amphenol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UQD/盲插流体连接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EV013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订单和份额未知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Stäubli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瑞士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UQD/流体连接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EV011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客户认证、订单和份额未知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CEJN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瑞典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UQD/流体连接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EV010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客户认证、订单和份额未知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LÜDECKE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德国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UQD/流体连接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EV055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订单和份额未知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KRES Technology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未知/待映射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非上市/待核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UQD/流体连接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EV056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法律主体、订单和份额未知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BEEHE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中国/待映射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非上市/待核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UQD与2MW CDU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N04,N08,N09,N10,N11,N12,N13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EV057,EV058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法律主体、客户与规模未知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Georg Fischer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瑞士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机架歧管/流体管路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EV014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订单和AI收入占比未知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Danfoss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丹麦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非上市基金会控股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板式换热器/阀件/驱动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N06,N10,N13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EV028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B：正式数据中心产品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CDU认证、订单和收入未知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Alfa Laval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瑞典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板式换热器/设施侧换热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N10,N19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EV029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AI专用收入和订单未知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Belimo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瑞士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阀门/执行器/传感器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N06,N07,N13,N17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EV030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DTC资格和订单未知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Dober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PG25冷却液与液质服务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N14,N18,N29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EV015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订单、价格与现场寿命未知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Dynalene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PG25冷却液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N14,N18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EV016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订单、价格与现场寿命未知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Castrol / BP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英国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海外上市子品牌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PG25冷却液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N14,N18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EV059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A：OCP产品能力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订单与液冷业务重要性未知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GRC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单相浸没系统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N21,N33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EV036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应用占比、流体和运维经济性未知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ZutaCore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美国/以色列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两相DTC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N08,N15,N22,N34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EV037,EV062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B：正式产品与商业生产伙伴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广泛部署、工质供应与总成本未知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英维克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CDU/快接/歧管/工质/整机柜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N04,N05,N07,N08,N14,N23,N24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EV039,EV040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客户、订单、收入、利润均未确认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申菱环境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CDU/冷源/系统集成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N05,N08,N17,N19,N23,N24,N28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EV041,EV042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客户、订单、收入、利润均未确认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曙光数创/中科曙光体系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上市/挂牌关系待Codex映射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冷板/浸没/系统设备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N01,N02,N03,N04,N05,N08,N21,N28,N31,N33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EV043,EV044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法律主体、利润归属、订单与规模未知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飞荣达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冷板/TIM/热管理制造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N02,N03,N25,N26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EV045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B：产品/能力线索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AI数据中心场景、认证、订单和规模未知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佳力图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设施侧冷源/风液混合/数据中心温控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N17,N19,N20,N35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EV046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B：设施温控能力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DTC液冷节点、订单和业务占比未知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高澜股份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冷板/接头/CDU/浸没系统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N02,N04,N08,N21,N33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EV047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D：二手转载的公司调研线索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必须找到官方原文；订单与规模未知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同飞股份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CDU/歧管/预制管路/干冷器/浸没槽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N05,N08,N17,N19,N21,N24,N33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EV048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D：互动平台二手转载线索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不能证明客户、订单、收入和规模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中航光电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A股待Codex映射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液冷连接器/盲插快接潜在线索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EV049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C：标准报告参编/生态发现线索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参编不等于产品资格、供货或订单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超聚变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液冷整机柜/服务器OEM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N01,N02,N03,N04,N05,N08,N23,N24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EV050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组件供应商、客户和订单未知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河南昆仑技术</w:t>
            </w:r>
          </w:p>
        </w:tc>
        <w:tc>
          <w:tcPr>
            <w:tcW w:type="dxa" w:w="96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中国</w:t>
            </w:r>
          </w:p>
        </w:tc>
        <w:tc>
          <w:tcPr>
            <w:tcW w:type="dxa" w:w="130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非上市</w:t>
            </w:r>
          </w:p>
        </w:tc>
        <w:tc>
          <w:tcPr>
            <w:tcW w:type="dxa" w:w="19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液冷整机柜/服务器OEM</w:t>
            </w:r>
          </w:p>
        </w:tc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N01,N02,N03,N04,N05,N08,N23,N24</w:t>
            </w:r>
          </w:p>
        </w:tc>
        <w:tc>
          <w:tcPr>
            <w:tcW w:type="dxa" w:w="119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EV051</w:t>
            </w:r>
          </w:p>
        </w:tc>
        <w:tc>
          <w:tcPr>
            <w:tcW w:type="dxa" w:w="204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B：正式产品能力</w:t>
            </w:r>
          </w:p>
        </w:tc>
        <w:tc>
          <w:tcPr>
            <w:tcW w:type="dxa" w:w="226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实体关系、组件供应商、客户和订单未知</w:t>
            </w:r>
          </w:p>
        </w:tc>
      </w:tr>
    </w:tbl>
    <w:p>
      <w:pPr>
        <w:spacing w:after="0"/>
      </w:pP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A2应优先处理中国/A股可能映射实体，补齐证券代码、曾用名、子公司、品牌与本地数据身份；海外上市和非上市实体主要用于竞争、替代、标准和有效供给，不要求本地金融数据全覆盖。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第九部分　未知、冲突与证据限制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6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未知</w:t>
            </w:r>
          </w:p>
        </w:tc>
        <w:tc>
          <w:tcPr>
            <w:tcW w:type="dxa" w:w="345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为什么未知</w:t>
            </w:r>
          </w:p>
        </w:tc>
        <w:tc>
          <w:tcPr>
            <w:tcW w:type="dxa" w:w="306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处理规则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U01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各技术路线的真实应用比例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公开产品很多，但项目口径、机柜密度和客户披露不一致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按客户/场景/年份拆分；不预设主路线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U02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接口标准统一程度与客户专用版本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OCP促进标准化，但盲插解耦仍是公开痛点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记录标准版本、尺寸、材料、客户认证和互换性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U03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客户自制与OEM指定部件范围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平台和OEM公开自研/集成架构，供应商通常不披露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A2查公告/主营/客户表述；A3保留可服务市场未知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U04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非上市实体身份、别名和股权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公开资料分散，同名/品牌/子公司易混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Codex统一实体，无法唯一匹配则停止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U05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私有B2B供应关系和规模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保密导致公开证据不全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只使用合法公开/授权证据；规模未知不估算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U06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本地仓库真实覆盖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A1不能替Codex读取本地仓库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A2按实际代码/数据/历史覆盖输出complete/partial/unsupported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U07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中国与全球项目参数差异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气候、水质、机房、供应链与验收口径不同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按区域/客户类型分层，不跨场景外推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U08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无日期官方产品页的点时有效性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当前可见不等于截止时点已公开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A2若有归档/历史公告则补known_at，否则只作当前能力线索</w:t>
            </w:r>
          </w:p>
        </w:tc>
      </w:tr>
      <w:tr>
        <w:trPr>
          <w:cantSplit/>
        </w:trPr>
        <w:tc>
          <w:tcPr>
            <w:tcW w:type="dxa" w:w="6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U09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搜索饱和与人工成本</w:t>
            </w:r>
          </w:p>
        </w:tc>
        <w:tc>
          <w:tcPr>
            <w:tcW w:type="dxa" w:w="345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3%等是试点起始阈值，不是理论真理</w:t>
            </w:r>
          </w:p>
        </w:tc>
        <w:tc>
          <w:tcPr>
            <w:tcW w:type="dxa" w:w="306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A3结合两轮搜索新增和人工样本决定pass/mixed/reduce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主要冲突/张力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需求强 vs 供应扩张：大额资本开支和液冷平台确认需求，但CDU、UQD、流体和系统厂商快速增加，不能把当前短缺外推为长期高利润。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开放标准 vs 客户专用：OCP推动互换与多供应，但平台/OEM仍可能保留专用机械、材料、固件和认证版本。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系统集成价值 vs 部件价值：端到端大厂并购扩展可能把利润带到系统/服务，也可能反过来依赖专业冷板、接头与流体供应商。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公司“有产品” vs 商业规模：大量公司有正式产品页或互动平台表述，但客户、订单、重复交付、收入、利润和现金普遍未披露。</w:t>
      </w:r>
    </w:p>
    <w:p>
      <w:pPr>
        <w:pStyle w:val="ListBullet"/>
        <w:spacing w:after="30" w:line="264" w:lineRule="auto"/>
      </w:pPr>
      <w:r>
        <w:rPr>
          <w:rFonts w:ascii="Noto Sans CJK SC" w:hAnsi="Noto Sans CJK SC" w:eastAsia="Noto Sans CJK SC"/>
          <w:sz w:val="20"/>
        </w:rPr>
        <w:t>节能/高密优势 vs 存量改造成本：液冷能提高密度，但设施水、管网、清洗、责任边界和运维能力可能限制改造节奏。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第十部分　交给 Codex A2 的本地支持任务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A2的目标不是再次研究液冷产业，而是回答：A1交来的节点和实体，在本地仓库里能否唯一识别、有哪些点时数据、哪些字段完全/部分/不支持、还有哪些A股待核线索。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141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任务组</w:t>
            </w:r>
          </w:p>
        </w:tc>
        <w:tc>
          <w:tcPr>
            <w:tcW w:type="dxa" w:w="294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Codex要做什么</w:t>
            </w:r>
          </w:p>
        </w:tc>
        <w:tc>
          <w:tcPr>
            <w:tcW w:type="dxa" w:w="2665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禁止越权</w:t>
            </w:r>
          </w:p>
        </w:tc>
        <w:tc>
          <w:tcPr>
            <w:tcW w:type="dxa" w:w="232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交接校验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校验research_id、version、as_of、节点ID、实体名、证据ID和字段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不得改写产业命题或证据等级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校验状态与问题清单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实体/证券映射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补A股代码、当前名/曾用名、子公司、品牌、上市状态和本地身份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无法唯一匹配不得猜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实体映射表、冲突记录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本地能力审计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逐实体检查公司资料、主营、公告元数据/正文、财务、估值、价格和历史覆盖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A2不做财务结论和选股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complete/partial/unsupported/query_failed/no_record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节点词典扫描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用中英文同义词扫描本地主营、公司简介和公告元数据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关键词只能形成待核线索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新增线索及命中上下文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点时与版本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只使用available_at &lt;= as_of；记录输入清单/来源/时间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不得用当前快照倒填过去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point-in-time状态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证据原文入口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确认巨潮/交易所公告元数据和PDF入口是否存在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标题不能替代正文含义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可读/不可读/正文未知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停止与交回</w:t>
            </w:r>
          </w:p>
        </w:tc>
        <w:tc>
          <w:tcPr>
            <w:tcW w:type="dxa" w:w="294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输出摘要、JSON、缺口和必要冲突包，commit+push</w:t>
            </w:r>
          </w:p>
        </w:tc>
        <w:tc>
          <w:tcPr>
            <w:tcW w:type="dxa" w:w="2665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不得进入A3/B/C或股票结论</w:t>
            </w:r>
          </w:p>
        </w:tc>
        <w:tc>
          <w:tcPr>
            <w:tcW w:type="dxa" w:w="23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A2三文件+下一步操作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</w:rPr>
        <w:t>A2优先顺序</w:t>
      </w:r>
    </w:p>
    <w:p>
      <w:pPr>
        <w:pStyle w:val="ListNumber"/>
        <w:spacing w:after="30" w:line="264" w:lineRule="auto"/>
      </w:pPr>
      <w:r>
        <w:rPr>
          <w:rFonts w:ascii="Noto Sans CJK SC" w:hAnsi="Noto Sans CJK SC" w:eastAsia="Noto Sans CJK SC"/>
          <w:sz w:val="20"/>
        </w:rPr>
        <w:t>优先核对英维克、申菱环境、曙光数创/中科曙光体系、飞荣达、佳力图、高澜股份、同飞股份、中航光电等中国/A股可能映射实体。</w:t>
      </w:r>
    </w:p>
    <w:p>
      <w:pPr>
        <w:pStyle w:val="ListNumber"/>
        <w:spacing w:after="30" w:line="264" w:lineRule="auto"/>
      </w:pPr>
      <w:r>
        <w:rPr>
          <w:rFonts w:ascii="Noto Sans CJK SC" w:hAnsi="Noto Sans CJK SC" w:eastAsia="Noto Sans CJK SC"/>
          <w:sz w:val="20"/>
        </w:rPr>
        <w:t>随后核对超聚变、河南昆仑、BEEHE等非上市/待映射实体，确认法律主体、品牌和关联关系。</w:t>
      </w:r>
    </w:p>
    <w:p>
      <w:pPr>
        <w:pStyle w:val="ListNumber"/>
        <w:spacing w:after="30" w:line="264" w:lineRule="auto"/>
      </w:pPr>
      <w:r>
        <w:rPr>
          <w:rFonts w:ascii="Noto Sans CJK SC" w:hAnsi="Noto Sans CJK SC" w:eastAsia="Noto Sans CJK SC"/>
          <w:sz w:val="20"/>
        </w:rPr>
        <w:t>海外公司只需标记listed_overseas/private、实体规范名和本地是否覆盖；不要强行套A股代码。</w:t>
      </w:r>
    </w:p>
    <w:p>
      <w:pPr>
        <w:pStyle w:val="ListNumber"/>
        <w:spacing w:after="30" w:line="264" w:lineRule="auto"/>
      </w:pPr>
      <w:r>
        <w:rPr>
          <w:rFonts w:ascii="Noto Sans CJK SC" w:hAnsi="Noto Sans CJK SC" w:eastAsia="Noto Sans CJK SC"/>
          <w:sz w:val="20"/>
        </w:rPr>
        <w:t>任何本地扫描新增公司必须保留命中字段和上下文，并标记lead_only，交回ChatGPT A3判定。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A1 完成判断与停止线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E8F5E9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A1 已完成什么</w:t>
              <w:br/>
            </w:r>
            <w:r>
              <w:rPr>
                <w:rFonts w:ascii="Noto Sans CJK SC" w:hAnsi="Noto Sans CJK SC" w:eastAsia="Noto Sans CJK SC"/>
                <w:sz w:val="20"/>
              </w:rPr>
              <w:t>已形成最终需求与付款人、四张图、四种状态、七视图、35个精确节点、替代/自制/二供挑战、第一轮全球与中国实体线索，以及A2本地支持合同。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FCE8E6"/>
            <w:tcBorders>
              <w:top w:val="single" w:sz="10" w:color="A33A3A"/>
              <w:left w:val="single" w:sz="10" w:color="A33A3A"/>
              <w:bottom w:val="single" w:sz="10" w:color="A33A3A"/>
              <w:right w:val="single" w:sz="10" w:color="A33A3A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A33A3A"/>
                <w:sz w:val="21"/>
              </w:rPr>
              <w:t>A1 尚未完成什么</w:t>
              <w:br/>
            </w:r>
            <w:r>
              <w:rPr>
                <w:rFonts w:ascii="Noto Sans CJK SC" w:hAnsi="Noto Sans CJK SC" w:eastAsia="Noto Sans CJK SC"/>
                <w:sz w:val="20"/>
              </w:rPr>
              <w:t>未完成实体与证券代码消歧、未读取本地仓库、未确认供应关系与订单规模、未计算财务/估值/价格、未通过三道地基门、未形成研究候选。下一执行者必须是 Codex A2。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附录 A　证据来源索引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203"/>
        <w:gridCol w:w="2203"/>
        <w:gridCol w:w="2203"/>
        <w:gridCol w:w="2203"/>
        <w:gridCol w:w="2203"/>
        <w:gridCol w:w="2203"/>
      </w:tblGrid>
      <w:tr>
        <w:trPr>
          <w:tblHeader w:val="true"/>
          <w:cantSplit/>
        </w:trPr>
        <w:tc>
          <w:tcPr>
            <w:tcW w:type="dxa" w:w="680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来源主体</w:t>
            </w:r>
          </w:p>
        </w:tc>
        <w:tc>
          <w:tcPr>
            <w:tcW w:type="dxa" w:w="362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标题</w:t>
            </w:r>
          </w:p>
        </w:tc>
        <w:tc>
          <w:tcPr>
            <w:tcW w:type="dxa" w:w="567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级别</w:t>
            </w:r>
          </w:p>
        </w:tc>
        <w:tc>
          <w:tcPr>
            <w:tcW w:type="dxa" w:w="1134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发布日期</w:t>
            </w:r>
          </w:p>
        </w:tc>
        <w:tc>
          <w:tcPr>
            <w:tcW w:type="dxa" w:w="1928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点时状态</w:t>
            </w:r>
          </w:p>
        </w:tc>
        <w:tc>
          <w:tcPr>
            <w:tcW w:type="dxa" w:w="1701"/>
            <w:shd w:fill="0B39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节点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Microsoft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Microsoft FY2026 Q3 Earnings Conference Call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2026-04-29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N01,N02,N03,N08,N17,N19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Alphabet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Alphabet 2025 Q4 Earnings Call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2026-02-04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N01,N02,N03,N08,N17,N19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Amazon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Amazon Announces Fourth Quarter 2025 Results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2026-02-05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N01,N02,N03,N08,N17,N19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NVIDIA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NVIDIA Contributes Blackwell Platform Design to Open Hardware Ecosystem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2024-10-15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Google Cloud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Enabling 1 MW IT racks and liquid cooling at OCP EMEA Summit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2025-04-29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N02,N03,N04,N05,N08,N23,N31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Google Cloud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Introducing Brazos: Bringing liquid cooling to air-cooled data centers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2026-06-16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N05,N07,N08,N17,N20,N23,N28,N31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Meta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Meta’s open AI hardware vision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2024-10-15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N02,N03,N04,N05,N08,N23,N31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Cooling Environments Project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N02,N08,N20,N21,N32,N33,N34,N35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EV009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Coolant Distribution Unit Sub-Project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N08,N09,N10,N11,N12,N13,N17,N23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CEJN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CEJN Universal Quick Disconnect (UQD)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Stäubli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Stäubli Universal Quick Disconnect (UQD)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Parker Hannifin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Parker UQD Series – Universal Quick Disconnect Couplings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Amphenol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Amphenol Industrial Blind Mate Quick Disconnect (BMQC) Series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Georg Fischer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Georg Fischer LiquidCore In-rack Manifold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Dober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COOLWAVE DC Heat Transfer Fluids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N14,N18,N29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Dynalene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Dynalene PG-D25 Data Center DTC Heat Transfer Fluid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N14,N18,N29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STULZ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STULZ Deschutes CDU – CyberCool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Eaton-Boyd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Eaton ROL4000 Deschutes CDU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EV019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ODCC / CAICT / GCC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Liquid-cooling blind-mate quick-connect report released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2025-01-13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China Academy of Information and Communications Technology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 Cooling Blind-Mate Quick Connector Development Research Report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2025-01-13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N02,N04,N28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Schneider Electric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Motivair MCDU-70 2.5 MW CDU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2026-01-20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Schneider Electric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Schneider Electric end-to-end liquid cooling portfolio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2025-09-29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N02,N08,N17,N19,N20,N23,N28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Vertiv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Vertiv CoolChip CDU family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Modine / Airedale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Airedale 1 MW CDU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2025-06-03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nVent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nVent liquid cooling CDU and manifolds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N05,N06,N07,N08,N23,N24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CoolIT Systems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CoolIT AHx180 and DTC liquid cooling solutions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N02,N05,N08,N20,N24,N28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Eaton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Eaton to acquire Boyd Thermal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2026-03-12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N02,N08,N10,N24,N28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Danfoss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B3-260C plate heat exchanger for data centers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2026-02-09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N10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EV029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Alfa Laval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Data center cooling heat exchangers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N10,N19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Belimo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Data center valves, actuators and sensors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N06,N07,N13,N17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Dell Technologies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PowerEdge XE9680L liquid-cooled AI server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Hewlett Packard Enterprise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HPE 100% fanless direct liquid cooling architecture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2024-10-10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Lenovo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Lenovo Neptune liquid cooling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LiquidStack / Trane Technologies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GigaModular CDU platform up to 14 MW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2026-05-21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N08,N09,N10,N11,N12,N13,N24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LiquidStack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LiquidStack DataTank 48U two-phase immersion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N21,N22,N33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GRC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ICEraQ immersion cooling systems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N21,N33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ZutaCore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ZutaCore two-phase direct-to-chip cooling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N02,N08,N15,N22,N34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Meta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Meta Air-Assisted Liquid Cooling design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2022-10-18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N20,N31,N35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EV039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Envicool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Envicool in-rack CDU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Envicool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Envicool integrated liquid-cooled rack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N04,N05,N07,N08,N14,N23,N24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Guangdong Shenling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Shenling liquid cooling CDU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Guangdong Shenling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Shenling integrated liquid cooling system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N05,N08,N17,N19,N20,N23,N24,N28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Sugon Data Creation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C7000 cold-plate/hybrid liquid cooling system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N01,N02,N03,N04,N05,N08,N23,N28,N31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Sugon Data Creation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C8000 immersion liquid cooling system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N21,N33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FRD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FRD liquid cold plate product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2024-07-29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Canatal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Canatal high-density data-center cooling products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N17,N19,N20,N35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Gaolan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Gaolan data-center liquid cooling product scope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2024-05-14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N02,N04,N08,N21,N33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Tongfei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Tongfei data-center liquid cooling product scope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2026-05-08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N05,N08,N17,N19,N21,N24,N33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EV049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ODCC / industry participants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Blind-mate quick-connect report participant / liquid cooling ecosystem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2025-01-13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xFusion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FusionPoD rack-scale liquid-cooled server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N01,N02,N03,N04,N05,N08,N23,N24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Henan Kunlun Technology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KunLunPoD rack-scale liquid-cooled server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N01,N02,N03,N04,N05,N08,N23,N24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Ministry of Industry and Information Technology of China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Green data center policy and energy-efficiency requirements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2024-06-06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N17,N19,N20,N28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OCP China Day 2026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2026-07-09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N02,N04,N05,N08,N23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Trane Technologies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Trane DCDA CDU for Asia Pacific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2026-01-22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LÜDECKE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LÜDECKE Universal Quick Disconnect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EV056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KRES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KRES Universal Quick Disconnect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EV057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BEEHE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BEEHE Universal Quick Disconnect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EV058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BEEHE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BEEHE IB2000 Deschutes CDU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EV059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Castrol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Castrol ON Direct Liquid Cooling PG25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N14,N18,N29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EV060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 Compute Project / Pegatron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Pegatron ORv3 cold-plate liquid-cooled server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无日期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current_page_needs_archive_confirmation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EV061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LiquidStack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LiquidStack CDU-1MW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2024-08-22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N08,N09,N10,N11,N12,N13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EV062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ZutaCore / Valeo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Valeo CDUs and manifolds for two-phase DTC enter commercial production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2025-01-06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N05,N08,N15,N22,N34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EV063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Trane Technologies / LiquidStack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Trane Technologies completes acquisition of LiquidStack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2026-03-03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N08,N17,N19,N21,N24,N28,N33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EV064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Google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Ironwood TPU liquid cooling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2025-04-09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shd w:fill="F8FAFB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N01,N02,N03,N08,N23</w:t>
            </w:r>
          </w:p>
        </w:tc>
      </w:tr>
      <w:tr>
        <w:trPr>
          <w:cantSplit/>
        </w:trPr>
        <w:tc>
          <w:tcPr>
            <w:tcW w:type="dxa" w:w="68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4"/>
              </w:rPr>
              <w:t>EV065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NVIDIA</w:t>
            </w:r>
          </w:p>
        </w:tc>
        <w:tc>
          <w:tcPr>
            <w:tcW w:type="dxa" w:w="36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NVIDIA Blackwell platform arrives</w:t>
            </w:r>
          </w:p>
        </w:tc>
        <w:tc>
          <w:tcPr>
            <w:tcW w:type="dxa" w:w="56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13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2024-03-18</w:t>
            </w:r>
          </w:p>
        </w:tc>
        <w:tc>
          <w:tcPr>
            <w:tcW w:type="dxa" w:w="192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confirmed_before_as_of</w:t>
            </w:r>
          </w:p>
        </w:tc>
        <w:tc>
          <w:tcPr>
            <w:tcW w:type="dxa" w:w="1701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N01,N02,N03,N04,N05,N08,N23</w:t>
            </w:r>
          </w:p>
        </w:tc>
      </w:tr>
    </w:tbl>
    <w:p>
      <w:pPr>
        <w:spacing w:after="0"/>
      </w:pP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完整URL、claim、support_scope、exclusion、冲突与复核日期见《01_A1_证据清单.csv》。</w:t>
      </w:r>
    </w:p>
    <w:p>
      <w:pPr>
        <w:sectPr>
          <w:pgSz w:w="16838" w:h="11906" w:orient="landscape"/>
          <w:pgMar w:top="709" w:right="709" w:bottom="709" w:left="709" w:header="340" w:footer="340" w:gutter="0"/>
          <w:cols w:space="720"/>
          <w:docGrid w:linePitch="360"/>
        </w:sectPr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</w:rPr>
        <w:t>附录 B　方法依据与使用边界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本报告承接 V1《理论框架与AI产业链完整演练》、V2《从AI产业地图到合适股票的完整方法论》、V3《产业链完整性、数据底座与非上市公司核验方法》和 V4《ChatGPT—Codex协同研究与执行分工规范》。A1所有公司名称只用于建立待核实体范围，不构成证券推荐或投资建议。</w:t>
      </w:r>
    </w:p>
    <w:p>
      <w:pPr>
        <w:keepNext w:val="0"/>
        <w:spacing w:after="80" w:line="276" w:lineRule="auto"/>
      </w:pPr>
      <w:r>
        <w:rPr>
          <w:rFonts w:ascii="Noto Sans CJK SC" w:hAnsi="Noto Sans CJK SC" w:eastAsia="Noto Sans CJK SC"/>
          <w:b w:val="0"/>
        </w:rPr>
        <w:t>外部资料使用原则：正式来源优先；材料只在其证明范围内使用；无日期/current-page资料必须由Codex或后续归档确认点时；无法取得、互相冲突或过期的事实保持未知。</w:t>
      </w:r>
    </w:p>
    <w:sectPr w:rsidR="00FC693F" w:rsidRPr="0006063C" w:rsidSect="00034616"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6"/>
      </w:rPr>
      <w:t xml:space="preserve">热点反向穿透法 · AI数据中心液冷 A1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39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7C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AI数据中心液冷 A1 产业结构与初步线索报告</dc:title>
  <dc:subject>热点反向穿透法 A1</dc:subject>
  <dc:creator>OpenAI ChatGPT</dc:creator>
  <cp:keywords>AI, 数据中心, 液冷, 产业链, A1, 证据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